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8B19" w14:textId="77777777" w:rsidR="00E30E42" w:rsidRDefault="00E30E42" w:rsidP="00E30E42">
      <w:pPr>
        <w:tabs>
          <w:tab w:val="left" w:pos="900"/>
        </w:tabs>
        <w:spacing w:line="360" w:lineRule="auto"/>
        <w:jc w:val="center"/>
        <w:rPr>
          <w:rFonts w:cs="宋体"/>
          <w:kern w:val="0"/>
          <w:sz w:val="24"/>
          <w:szCs w:val="21"/>
        </w:rPr>
      </w:pPr>
      <w:r>
        <w:rPr>
          <w:rFonts w:cs="宋体" w:hint="eastAsia"/>
          <w:kern w:val="0"/>
          <w:sz w:val="24"/>
          <w:szCs w:val="21"/>
        </w:rPr>
        <w:t>证券</w:t>
      </w:r>
      <w:r>
        <w:rPr>
          <w:rFonts w:cs="宋体"/>
          <w:kern w:val="0"/>
          <w:sz w:val="24"/>
          <w:szCs w:val="21"/>
        </w:rPr>
        <w:t>代码</w:t>
      </w:r>
      <w:r>
        <w:rPr>
          <w:rFonts w:cs="宋体" w:hint="eastAsia"/>
          <w:kern w:val="0"/>
          <w:sz w:val="24"/>
          <w:szCs w:val="21"/>
        </w:rPr>
        <w:t>：</w:t>
      </w:r>
      <w:sdt>
        <w:sdtPr>
          <w:rPr>
            <w:rFonts w:cs="宋体" w:hint="eastAsia"/>
            <w:kern w:val="0"/>
            <w:sz w:val="24"/>
            <w:szCs w:val="21"/>
          </w:rPr>
          <w:alias w:val="证券代码"/>
          <w:tag w:val="_GBC_6dcc45cb7b65429ab288b55529dd434c"/>
          <w:id w:val="936558763"/>
          <w:placeholder>
            <w:docPart w:val="DA03EE0E91894A838DE0A9FAACC290B2"/>
          </w:placeholder>
        </w:sdtPr>
        <w:sdtEndPr/>
        <w:sdtContent>
          <w:r>
            <w:rPr>
              <w:rFonts w:cs="宋体" w:hint="eastAsia"/>
              <w:kern w:val="0"/>
              <w:sz w:val="24"/>
              <w:szCs w:val="21"/>
            </w:rPr>
            <w:t>400121</w:t>
          </w:r>
        </w:sdtContent>
      </w:sdt>
      <w:r>
        <w:rPr>
          <w:rFonts w:cs="宋体" w:hint="eastAsia"/>
          <w:kern w:val="0"/>
          <w:sz w:val="24"/>
          <w:szCs w:val="21"/>
        </w:rPr>
        <w:t xml:space="preserve">        </w:t>
      </w:r>
      <w:r>
        <w:rPr>
          <w:rFonts w:cs="宋体" w:hint="eastAsia"/>
          <w:kern w:val="0"/>
          <w:sz w:val="24"/>
          <w:szCs w:val="21"/>
        </w:rPr>
        <w:t>证券简称：</w:t>
      </w:r>
      <w:sdt>
        <w:sdtPr>
          <w:rPr>
            <w:rFonts w:cs="宋体" w:hint="eastAsia"/>
            <w:kern w:val="0"/>
            <w:sz w:val="24"/>
            <w:szCs w:val="21"/>
          </w:rPr>
          <w:alias w:val="证券简称"/>
          <w:tag w:val="_GBC_f91dd3499401483fb71e4ebf0c9d5a5b"/>
          <w:id w:val="-817337550"/>
          <w:placeholder>
            <w:docPart w:val="DA03EE0E91894A838DE0A9FAACC290B2"/>
          </w:placeholder>
        </w:sdtPr>
        <w:sdtEndPr/>
        <w:sdtContent>
          <w:r>
            <w:rPr>
              <w:rFonts w:cs="宋体" w:hint="eastAsia"/>
              <w:kern w:val="0"/>
              <w:sz w:val="24"/>
              <w:szCs w:val="21"/>
            </w:rPr>
            <w:t>退市中天</w:t>
          </w:r>
        </w:sdtContent>
      </w:sdt>
      <w:r>
        <w:rPr>
          <w:rFonts w:cs="宋体" w:hint="eastAsia"/>
          <w:kern w:val="0"/>
          <w:sz w:val="24"/>
          <w:szCs w:val="21"/>
        </w:rPr>
        <w:t xml:space="preserve">        </w:t>
      </w:r>
      <w:r>
        <w:rPr>
          <w:rFonts w:cs="宋体" w:hint="eastAsia"/>
          <w:kern w:val="0"/>
          <w:sz w:val="24"/>
          <w:szCs w:val="21"/>
        </w:rPr>
        <w:t>主办券商：</w:t>
      </w:r>
      <w:sdt>
        <w:sdtPr>
          <w:rPr>
            <w:rFonts w:cs="宋体" w:hint="eastAsia"/>
            <w:kern w:val="0"/>
            <w:sz w:val="24"/>
            <w:szCs w:val="21"/>
          </w:rPr>
          <w:alias w:val="主办券商"/>
          <w:tag w:val="_GBC_7b74d6ca5f2241468a20ff2efc6ea53f"/>
          <w:id w:val="1621489601"/>
          <w:placeholder>
            <w:docPart w:val="DA03EE0E91894A838DE0A9FAACC290B2"/>
          </w:placeholder>
        </w:sdtPr>
        <w:sdtEndPr/>
        <w:sdtContent>
          <w:r>
            <w:rPr>
              <w:rFonts w:cs="宋体" w:hint="eastAsia"/>
              <w:kern w:val="0"/>
              <w:sz w:val="24"/>
              <w:szCs w:val="21"/>
            </w:rPr>
            <w:t>山西证券</w:t>
          </w:r>
        </w:sdtContent>
      </w:sdt>
    </w:p>
    <w:p w14:paraId="56D8F1DD" w14:textId="77777777" w:rsidR="00E92886" w:rsidRPr="000F1504" w:rsidRDefault="00E42BE3">
      <w:pPr>
        <w:adjustRightInd w:val="0"/>
        <w:snapToGrid w:val="0"/>
        <w:spacing w:line="660" w:lineRule="exact"/>
        <w:ind w:firstLine="198"/>
        <w:jc w:val="center"/>
        <w:rPr>
          <w:rFonts w:eastAsiaTheme="minorEastAsia"/>
          <w:b/>
          <w:color w:val="FF0000"/>
          <w:sz w:val="32"/>
          <w:szCs w:val="32"/>
        </w:rPr>
      </w:pPr>
      <w:proofErr w:type="gramStart"/>
      <w:r w:rsidRPr="000F1504">
        <w:rPr>
          <w:rFonts w:eastAsiaTheme="minorEastAsia"/>
          <w:b/>
          <w:color w:val="FF0000"/>
          <w:sz w:val="32"/>
          <w:szCs w:val="32"/>
        </w:rPr>
        <w:t>中兴天</w:t>
      </w:r>
      <w:proofErr w:type="gramEnd"/>
      <w:r w:rsidRPr="000F1504">
        <w:rPr>
          <w:rFonts w:eastAsiaTheme="minorEastAsia"/>
          <w:b/>
          <w:color w:val="FF0000"/>
          <w:sz w:val="32"/>
          <w:szCs w:val="32"/>
        </w:rPr>
        <w:t>恒能源科技（北京）股份有限公司</w:t>
      </w:r>
    </w:p>
    <w:p w14:paraId="5BC38306" w14:textId="3F993D5E" w:rsidR="00E92886" w:rsidRPr="000F1504" w:rsidRDefault="003040FB" w:rsidP="00B26DEF">
      <w:pPr>
        <w:adjustRightInd w:val="0"/>
        <w:snapToGrid w:val="0"/>
        <w:spacing w:line="660" w:lineRule="exact"/>
        <w:ind w:firstLine="198"/>
        <w:jc w:val="center"/>
        <w:rPr>
          <w:rFonts w:eastAsiaTheme="minorEastAsia"/>
          <w:b/>
          <w:color w:val="FF0000"/>
          <w:sz w:val="32"/>
          <w:szCs w:val="32"/>
        </w:rPr>
      </w:pPr>
      <w:r w:rsidRPr="000F1504">
        <w:rPr>
          <w:rFonts w:eastAsiaTheme="minorEastAsia"/>
          <w:b/>
          <w:color w:val="FF0000"/>
          <w:sz w:val="32"/>
          <w:szCs w:val="32"/>
        </w:rPr>
        <w:t>关于</w:t>
      </w:r>
      <w:r w:rsidR="00992DF4" w:rsidRPr="000F1504">
        <w:rPr>
          <w:rFonts w:eastAsiaTheme="minorEastAsia" w:hint="eastAsia"/>
          <w:b/>
          <w:color w:val="FF0000"/>
          <w:sz w:val="32"/>
          <w:szCs w:val="32"/>
        </w:rPr>
        <w:t>江苏泓海能源有限公司</w:t>
      </w:r>
      <w:r w:rsidR="000978C2">
        <w:rPr>
          <w:rFonts w:eastAsiaTheme="minorEastAsia" w:hint="eastAsia"/>
          <w:b/>
          <w:color w:val="FF0000"/>
          <w:sz w:val="32"/>
          <w:szCs w:val="32"/>
        </w:rPr>
        <w:t>资产</w:t>
      </w:r>
      <w:r w:rsidR="00992DF4" w:rsidRPr="000F1504">
        <w:rPr>
          <w:rFonts w:eastAsiaTheme="minorEastAsia" w:hint="eastAsia"/>
          <w:b/>
          <w:color w:val="FF0000"/>
          <w:sz w:val="32"/>
          <w:szCs w:val="32"/>
        </w:rPr>
        <w:t>被司法拍卖的提示性</w:t>
      </w:r>
      <w:r w:rsidRPr="000F1504">
        <w:rPr>
          <w:rFonts w:eastAsiaTheme="minorEastAsia"/>
          <w:b/>
          <w:color w:val="FF0000"/>
          <w:sz w:val="32"/>
          <w:szCs w:val="32"/>
        </w:rPr>
        <w:t>公告</w:t>
      </w:r>
      <w:r w:rsidRPr="000F1504">
        <w:rPr>
          <w:rFonts w:eastAsiaTheme="minorEastAsia"/>
          <w:b/>
          <w:color w:val="FF0000"/>
          <w:sz w:val="32"/>
          <w:szCs w:val="32"/>
        </w:rPr>
        <w:t xml:space="preserve"> </w:t>
      </w:r>
    </w:p>
    <w:p w14:paraId="768671EA" w14:textId="77777777" w:rsidR="00E92886" w:rsidRPr="000F1504" w:rsidRDefault="00304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beforeLines="50" w:before="156" w:line="360" w:lineRule="auto"/>
        <w:ind w:firstLineChars="200" w:firstLine="482"/>
        <w:rPr>
          <w:rFonts w:eastAsiaTheme="minorEastAsia"/>
          <w:b/>
          <w:color w:val="000000"/>
          <w:sz w:val="24"/>
          <w:szCs w:val="24"/>
        </w:rPr>
      </w:pPr>
      <w:r w:rsidRPr="000F1504">
        <w:rPr>
          <w:rFonts w:eastAsiaTheme="minorEastAsia"/>
          <w:b/>
          <w:color w:val="000000"/>
          <w:sz w:val="24"/>
          <w:szCs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14:paraId="1ECD1E10" w14:textId="77777777" w:rsidR="00E92886" w:rsidRPr="000F1504" w:rsidRDefault="00E92886">
      <w:pPr>
        <w:spacing w:line="360" w:lineRule="auto"/>
        <w:rPr>
          <w:rFonts w:eastAsiaTheme="minorEastAsia"/>
          <w:b/>
          <w:bCs/>
          <w:sz w:val="24"/>
          <w:szCs w:val="24"/>
        </w:rPr>
      </w:pPr>
    </w:p>
    <w:p w14:paraId="3E070FA0" w14:textId="77777777" w:rsidR="00D73F66" w:rsidRPr="000F1504" w:rsidRDefault="00D73F66">
      <w:pPr>
        <w:spacing w:line="360" w:lineRule="auto"/>
        <w:rPr>
          <w:rFonts w:eastAsiaTheme="minorEastAsia"/>
          <w:b/>
          <w:bCs/>
          <w:sz w:val="24"/>
          <w:szCs w:val="24"/>
        </w:rPr>
      </w:pPr>
      <w:r w:rsidRPr="000F1504">
        <w:rPr>
          <w:rFonts w:eastAsiaTheme="minorEastAsia" w:hint="eastAsia"/>
          <w:b/>
          <w:bCs/>
          <w:sz w:val="24"/>
          <w:szCs w:val="24"/>
        </w:rPr>
        <w:t>重要内容提示：</w:t>
      </w:r>
    </w:p>
    <w:p w14:paraId="2FEF2F5D" w14:textId="376976DF" w:rsidR="00D73F66" w:rsidRPr="000F1504" w:rsidRDefault="00D73F66" w:rsidP="00992DF4">
      <w:pPr>
        <w:pStyle w:val="af"/>
        <w:numPr>
          <w:ilvl w:val="0"/>
          <w:numId w:val="2"/>
        </w:numPr>
        <w:spacing w:line="360" w:lineRule="auto"/>
        <w:ind w:left="-142" w:firstLineChars="0" w:firstLine="624"/>
        <w:rPr>
          <w:rFonts w:eastAsiaTheme="minorEastAsia"/>
          <w:bCs/>
          <w:sz w:val="24"/>
          <w:szCs w:val="24"/>
        </w:rPr>
      </w:pPr>
      <w:r w:rsidRPr="000F1504">
        <w:rPr>
          <w:rFonts w:eastAsiaTheme="minorEastAsia" w:hint="eastAsia"/>
          <w:bCs/>
          <w:sz w:val="24"/>
          <w:szCs w:val="24"/>
        </w:rPr>
        <w:t>本次</w:t>
      </w:r>
      <w:r w:rsidR="00992DF4" w:rsidRPr="000F1504">
        <w:rPr>
          <w:rFonts w:eastAsiaTheme="minorEastAsia" w:hint="eastAsia"/>
          <w:bCs/>
          <w:sz w:val="24"/>
          <w:szCs w:val="24"/>
        </w:rPr>
        <w:t>司法处置的</w:t>
      </w:r>
      <w:r w:rsidR="008E3107">
        <w:rPr>
          <w:rFonts w:eastAsiaTheme="minorEastAsia" w:hint="eastAsia"/>
          <w:bCs/>
          <w:sz w:val="24"/>
          <w:szCs w:val="24"/>
        </w:rPr>
        <w:t>资产为公司控股孙公司</w:t>
      </w:r>
      <w:r w:rsidR="00E01734" w:rsidRPr="000F1504">
        <w:rPr>
          <w:rFonts w:eastAsiaTheme="minorEastAsia" w:hint="eastAsia"/>
          <w:bCs/>
          <w:sz w:val="24"/>
          <w:szCs w:val="24"/>
        </w:rPr>
        <w:t>“</w:t>
      </w:r>
      <w:r w:rsidR="00992DF4" w:rsidRPr="000F1504">
        <w:rPr>
          <w:rFonts w:eastAsiaTheme="minorEastAsia" w:hint="eastAsia"/>
          <w:bCs/>
          <w:sz w:val="24"/>
          <w:szCs w:val="24"/>
        </w:rPr>
        <w:t>江苏泓海能源有限公司</w:t>
      </w:r>
      <w:r w:rsidR="00E01734" w:rsidRPr="000F1504">
        <w:rPr>
          <w:rFonts w:eastAsiaTheme="minorEastAsia" w:hint="eastAsia"/>
          <w:bCs/>
          <w:sz w:val="24"/>
          <w:szCs w:val="24"/>
        </w:rPr>
        <w:t>”（以下简称“江苏泓海”）</w:t>
      </w:r>
      <w:r w:rsidR="008E3107">
        <w:rPr>
          <w:rFonts w:eastAsiaTheme="minorEastAsia" w:hint="eastAsia"/>
          <w:bCs/>
          <w:sz w:val="24"/>
          <w:szCs w:val="24"/>
        </w:rPr>
        <w:t>的全部资产</w:t>
      </w:r>
      <w:r w:rsidR="00E01734" w:rsidRPr="000F1504">
        <w:rPr>
          <w:rFonts w:eastAsiaTheme="minorEastAsia" w:hint="eastAsia"/>
          <w:bCs/>
          <w:sz w:val="24"/>
          <w:szCs w:val="24"/>
        </w:rPr>
        <w:t>。</w:t>
      </w:r>
    </w:p>
    <w:p w14:paraId="05F8CC25" w14:textId="76E7C364" w:rsidR="00D73F66" w:rsidRDefault="00E01734" w:rsidP="00B84F44">
      <w:pPr>
        <w:pStyle w:val="af"/>
        <w:numPr>
          <w:ilvl w:val="0"/>
          <w:numId w:val="2"/>
        </w:numPr>
        <w:spacing w:line="360" w:lineRule="auto"/>
        <w:ind w:left="0" w:firstLineChars="0" w:firstLine="482"/>
        <w:rPr>
          <w:rFonts w:eastAsiaTheme="minorEastAsia"/>
          <w:bCs/>
          <w:sz w:val="24"/>
          <w:szCs w:val="24"/>
        </w:rPr>
      </w:pPr>
      <w:r w:rsidRPr="000F1504">
        <w:rPr>
          <w:rFonts w:eastAsiaTheme="minorEastAsia" w:hint="eastAsia"/>
          <w:bCs/>
          <w:sz w:val="24"/>
          <w:szCs w:val="24"/>
        </w:rPr>
        <w:t>本次拍卖江苏泓海</w:t>
      </w:r>
      <w:r w:rsidR="000F1504">
        <w:rPr>
          <w:rFonts w:eastAsiaTheme="minorEastAsia" w:hint="eastAsia"/>
          <w:bCs/>
          <w:sz w:val="24"/>
          <w:szCs w:val="24"/>
        </w:rPr>
        <w:t>的</w:t>
      </w:r>
      <w:r w:rsidR="00FF77BB">
        <w:rPr>
          <w:rFonts w:eastAsiaTheme="minorEastAsia" w:hint="eastAsia"/>
          <w:bCs/>
          <w:sz w:val="24"/>
          <w:szCs w:val="24"/>
        </w:rPr>
        <w:t>资产</w:t>
      </w:r>
      <w:r w:rsidR="00FF63EF" w:rsidRPr="000F1504">
        <w:rPr>
          <w:rFonts w:eastAsiaTheme="minorEastAsia" w:hint="eastAsia"/>
          <w:bCs/>
          <w:sz w:val="24"/>
          <w:szCs w:val="24"/>
        </w:rPr>
        <w:t>可能导致上市公司财务报表合并范围发生变更，</w:t>
      </w:r>
      <w:r w:rsidR="00AC790A" w:rsidRPr="000F1504">
        <w:rPr>
          <w:rFonts w:eastAsiaTheme="minorEastAsia" w:hint="eastAsia"/>
          <w:bCs/>
          <w:sz w:val="24"/>
          <w:szCs w:val="24"/>
        </w:rPr>
        <w:t>可能</w:t>
      </w:r>
      <w:r w:rsidR="00FF63EF" w:rsidRPr="000F1504">
        <w:rPr>
          <w:rFonts w:eastAsiaTheme="minorEastAsia" w:hint="eastAsia"/>
          <w:bCs/>
          <w:sz w:val="24"/>
          <w:szCs w:val="24"/>
        </w:rPr>
        <w:t>对公司治理结构及持续经营产生重大</w:t>
      </w:r>
      <w:r w:rsidR="000F1504" w:rsidRPr="000F1504">
        <w:rPr>
          <w:rFonts w:eastAsiaTheme="minorEastAsia" w:hint="eastAsia"/>
          <w:bCs/>
          <w:sz w:val="24"/>
          <w:szCs w:val="24"/>
        </w:rPr>
        <w:t>不利</w:t>
      </w:r>
      <w:r w:rsidR="00FF63EF" w:rsidRPr="000F1504">
        <w:rPr>
          <w:rFonts w:eastAsiaTheme="minorEastAsia" w:hint="eastAsia"/>
          <w:bCs/>
          <w:sz w:val="24"/>
          <w:szCs w:val="24"/>
        </w:rPr>
        <w:t>影响。</w:t>
      </w:r>
    </w:p>
    <w:p w14:paraId="34BC5440" w14:textId="77777777" w:rsidR="00AF7DDB" w:rsidRPr="000F1504" w:rsidRDefault="00AF7DDB" w:rsidP="00B84F44">
      <w:pPr>
        <w:pStyle w:val="af"/>
        <w:numPr>
          <w:ilvl w:val="0"/>
          <w:numId w:val="2"/>
        </w:numPr>
        <w:spacing w:line="360" w:lineRule="auto"/>
        <w:ind w:left="0" w:firstLineChars="0" w:firstLine="482"/>
        <w:rPr>
          <w:rFonts w:eastAsiaTheme="minorEastAsia"/>
          <w:bCs/>
          <w:sz w:val="24"/>
          <w:szCs w:val="24"/>
        </w:rPr>
      </w:pPr>
      <w:r w:rsidRPr="007156AD">
        <w:rPr>
          <w:rFonts w:eastAsiaTheme="minorEastAsia" w:hint="eastAsia"/>
          <w:sz w:val="24"/>
          <w:szCs w:val="24"/>
        </w:rPr>
        <w:t>江苏泓海</w:t>
      </w:r>
      <w:r>
        <w:rPr>
          <w:rFonts w:eastAsiaTheme="minorEastAsia" w:hint="eastAsia"/>
          <w:sz w:val="24"/>
          <w:szCs w:val="24"/>
        </w:rPr>
        <w:t>为“</w:t>
      </w:r>
      <w:r w:rsidRPr="007156AD">
        <w:rPr>
          <w:rFonts w:eastAsiaTheme="minorEastAsia" w:hint="eastAsia"/>
          <w:sz w:val="24"/>
          <w:szCs w:val="24"/>
        </w:rPr>
        <w:t>江阴液化天然气集散中心</w:t>
      </w:r>
      <w:r w:rsidRPr="007156AD">
        <w:rPr>
          <w:rFonts w:eastAsiaTheme="minorEastAsia" w:hint="eastAsia"/>
          <w:sz w:val="24"/>
          <w:szCs w:val="24"/>
        </w:rPr>
        <w:t>LNG</w:t>
      </w:r>
      <w:r w:rsidRPr="007156AD">
        <w:rPr>
          <w:rFonts w:eastAsiaTheme="minorEastAsia" w:hint="eastAsia"/>
          <w:sz w:val="24"/>
          <w:szCs w:val="24"/>
        </w:rPr>
        <w:t>储配站项目</w:t>
      </w:r>
      <w:r>
        <w:rPr>
          <w:rFonts w:eastAsiaTheme="minorEastAsia" w:hint="eastAsia"/>
          <w:sz w:val="24"/>
          <w:szCs w:val="24"/>
        </w:rPr>
        <w:t>”（以下简称“江阴</w:t>
      </w:r>
      <w:r>
        <w:rPr>
          <w:rFonts w:eastAsiaTheme="minorEastAsia" w:hint="eastAsia"/>
          <w:sz w:val="24"/>
          <w:szCs w:val="24"/>
        </w:rPr>
        <w:t>LNG</w:t>
      </w:r>
      <w:r>
        <w:rPr>
          <w:rFonts w:eastAsiaTheme="minorEastAsia" w:hint="eastAsia"/>
          <w:sz w:val="24"/>
          <w:szCs w:val="24"/>
        </w:rPr>
        <w:t>项目”）的实施公司，</w:t>
      </w:r>
      <w:r w:rsidRPr="000F1504">
        <w:rPr>
          <w:rFonts w:eastAsiaTheme="minorEastAsia"/>
          <w:sz w:val="24"/>
          <w:szCs w:val="24"/>
        </w:rPr>
        <w:t>若本次司法拍卖最终成交</w:t>
      </w:r>
      <w:r>
        <w:rPr>
          <w:rFonts w:eastAsiaTheme="minorEastAsia" w:hint="eastAsia"/>
          <w:sz w:val="24"/>
          <w:szCs w:val="24"/>
        </w:rPr>
        <w:t>，将导致募集资金及</w:t>
      </w:r>
      <w:proofErr w:type="gramStart"/>
      <w:r>
        <w:rPr>
          <w:rFonts w:eastAsiaTheme="minorEastAsia" w:hint="eastAsia"/>
          <w:sz w:val="24"/>
          <w:szCs w:val="24"/>
        </w:rPr>
        <w:t>募投项目</w:t>
      </w:r>
      <w:proofErr w:type="gramEnd"/>
      <w:r>
        <w:rPr>
          <w:rFonts w:eastAsiaTheme="minorEastAsia" w:hint="eastAsia"/>
          <w:sz w:val="24"/>
          <w:szCs w:val="24"/>
        </w:rPr>
        <w:t>变更。</w:t>
      </w:r>
    </w:p>
    <w:p w14:paraId="37F8E68E" w14:textId="02C41E4A" w:rsidR="003F66F7" w:rsidRDefault="00153BA4" w:rsidP="00B84F44">
      <w:pPr>
        <w:pStyle w:val="af"/>
        <w:numPr>
          <w:ilvl w:val="0"/>
          <w:numId w:val="2"/>
        </w:numPr>
        <w:spacing w:line="360" w:lineRule="auto"/>
        <w:ind w:left="0" w:firstLineChars="0" w:firstLine="482"/>
        <w:rPr>
          <w:rFonts w:eastAsiaTheme="minorEastAsia"/>
          <w:bCs/>
          <w:sz w:val="24"/>
          <w:szCs w:val="24"/>
        </w:rPr>
      </w:pPr>
      <w:r>
        <w:rPr>
          <w:rFonts w:eastAsiaTheme="minorEastAsia" w:hint="eastAsia"/>
          <w:bCs/>
          <w:sz w:val="24"/>
          <w:szCs w:val="24"/>
        </w:rPr>
        <w:t>本次拍卖尚未开始，</w:t>
      </w:r>
      <w:r w:rsidR="00FF63EF" w:rsidRPr="000F1504">
        <w:rPr>
          <w:rFonts w:eastAsiaTheme="minorEastAsia" w:hint="eastAsia"/>
          <w:bCs/>
          <w:sz w:val="24"/>
          <w:szCs w:val="24"/>
        </w:rPr>
        <w:t>根据</w:t>
      </w:r>
      <w:r w:rsidR="00FF63EF" w:rsidRPr="000F1504">
        <w:rPr>
          <w:rFonts w:eastAsiaTheme="minorEastAsia"/>
          <w:bCs/>
          <w:sz w:val="24"/>
          <w:szCs w:val="24"/>
        </w:rPr>
        <w:t>相关规定法院有权在拍卖开始前、拍卖过程中，中止拍卖或撤回拍卖，后续可能涉及竞拍、缴款、变更过户等环节，拍卖结果存在不确定性</w:t>
      </w:r>
      <w:r w:rsidR="00FF63EF" w:rsidRPr="000F1504">
        <w:rPr>
          <w:rFonts w:eastAsiaTheme="minorEastAsia" w:hint="eastAsia"/>
          <w:bCs/>
          <w:sz w:val="24"/>
          <w:szCs w:val="24"/>
        </w:rPr>
        <w:t>。</w:t>
      </w:r>
    </w:p>
    <w:p w14:paraId="62B19E1D" w14:textId="77777777" w:rsidR="005C4E64" w:rsidRPr="000F1504" w:rsidRDefault="005C4E64" w:rsidP="005C4E64">
      <w:pPr>
        <w:pStyle w:val="af"/>
        <w:spacing w:line="360" w:lineRule="auto"/>
        <w:ind w:left="482" w:firstLineChars="0" w:firstLine="0"/>
        <w:rPr>
          <w:rFonts w:eastAsiaTheme="minorEastAsia"/>
          <w:bCs/>
          <w:sz w:val="24"/>
          <w:szCs w:val="24"/>
        </w:rPr>
      </w:pPr>
    </w:p>
    <w:p w14:paraId="530BB825" w14:textId="77777777" w:rsidR="00E92886" w:rsidRPr="000F1504" w:rsidRDefault="0013366C">
      <w:pPr>
        <w:numPr>
          <w:ilvl w:val="0"/>
          <w:numId w:val="1"/>
        </w:numPr>
        <w:spacing w:line="360" w:lineRule="auto"/>
        <w:ind w:firstLineChars="200" w:firstLine="482"/>
        <w:rPr>
          <w:rFonts w:eastAsiaTheme="minorEastAsia"/>
          <w:b/>
          <w:bCs/>
          <w:sz w:val="24"/>
          <w:szCs w:val="24"/>
        </w:rPr>
      </w:pPr>
      <w:r w:rsidRPr="000F1504">
        <w:rPr>
          <w:rFonts w:eastAsiaTheme="minorEastAsia" w:hint="eastAsia"/>
          <w:b/>
          <w:bCs/>
          <w:sz w:val="24"/>
          <w:szCs w:val="24"/>
        </w:rPr>
        <w:t>基本情况</w:t>
      </w:r>
    </w:p>
    <w:p w14:paraId="03A435B7" w14:textId="3E113FD4" w:rsidR="001A62F9" w:rsidRDefault="001A62F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（一）</w:t>
      </w:r>
      <w:r w:rsidRPr="000F1504">
        <w:rPr>
          <w:rFonts w:eastAsiaTheme="minorEastAsia" w:hint="eastAsia"/>
          <w:b/>
          <w:bCs/>
          <w:sz w:val="24"/>
          <w:szCs w:val="24"/>
        </w:rPr>
        <w:t>江苏泓海</w:t>
      </w:r>
      <w:r w:rsidR="00F42D85">
        <w:rPr>
          <w:rFonts w:eastAsiaTheme="minorEastAsia" w:hint="eastAsia"/>
          <w:b/>
          <w:bCs/>
          <w:sz w:val="24"/>
          <w:szCs w:val="24"/>
        </w:rPr>
        <w:t>资产</w:t>
      </w:r>
      <w:r w:rsidRPr="000F1504">
        <w:rPr>
          <w:rFonts w:eastAsiaTheme="minorEastAsia" w:hint="eastAsia"/>
          <w:b/>
          <w:bCs/>
          <w:sz w:val="24"/>
          <w:szCs w:val="24"/>
        </w:rPr>
        <w:t>司法拍卖的</w:t>
      </w:r>
      <w:r>
        <w:rPr>
          <w:rFonts w:eastAsiaTheme="minorEastAsia" w:hint="eastAsia"/>
          <w:b/>
          <w:bCs/>
          <w:sz w:val="24"/>
          <w:szCs w:val="24"/>
        </w:rPr>
        <w:t>基本情况</w:t>
      </w:r>
    </w:p>
    <w:p w14:paraId="4DAD71E4" w14:textId="0D11127C" w:rsidR="000D7014" w:rsidRDefault="00C476BF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proofErr w:type="gramStart"/>
      <w:r w:rsidRPr="000F1504">
        <w:rPr>
          <w:rFonts w:eastAsiaTheme="minorEastAsia" w:hint="eastAsia"/>
          <w:sz w:val="24"/>
          <w:szCs w:val="24"/>
        </w:rPr>
        <w:t>中兴天</w:t>
      </w:r>
      <w:proofErr w:type="gramEnd"/>
      <w:r w:rsidRPr="000F1504">
        <w:rPr>
          <w:rFonts w:eastAsiaTheme="minorEastAsia" w:hint="eastAsia"/>
          <w:sz w:val="24"/>
          <w:szCs w:val="24"/>
        </w:rPr>
        <w:t>恒能源科技（北京）股份公司（以下简称“公司”）</w:t>
      </w:r>
      <w:r w:rsidR="00153BA4">
        <w:rPr>
          <w:rFonts w:eastAsiaTheme="minorEastAsia" w:hint="eastAsia"/>
          <w:sz w:val="24"/>
          <w:szCs w:val="24"/>
        </w:rPr>
        <w:t>近日获悉，</w:t>
      </w:r>
      <w:r w:rsidR="00153BA4">
        <w:rPr>
          <w:rFonts w:eastAsiaTheme="minorEastAsia" w:hint="eastAsia"/>
          <w:sz w:val="24"/>
          <w:szCs w:val="24"/>
        </w:rPr>
        <w:t>江苏省江阴市人民法院</w:t>
      </w:r>
      <w:r w:rsidR="00153BA4">
        <w:rPr>
          <w:rFonts w:eastAsiaTheme="minorEastAsia" w:hint="eastAsia"/>
          <w:sz w:val="24"/>
          <w:szCs w:val="24"/>
        </w:rPr>
        <w:t>发布</w:t>
      </w:r>
      <w:r w:rsidR="001769AB">
        <w:rPr>
          <w:rFonts w:eastAsiaTheme="minorEastAsia" w:hint="eastAsia"/>
          <w:sz w:val="24"/>
          <w:szCs w:val="24"/>
        </w:rPr>
        <w:t>《竞买公告》，因</w:t>
      </w:r>
      <w:r w:rsidR="004977E3" w:rsidRPr="00226660">
        <w:rPr>
          <w:rFonts w:ascii="宋体" w:hAnsi="宋体"/>
          <w:sz w:val="24"/>
        </w:rPr>
        <w:t>上海浦东发展银行股份有限公司江阴支行</w:t>
      </w:r>
      <w:r w:rsidR="004977E3">
        <w:rPr>
          <w:rFonts w:ascii="宋体" w:hAnsi="宋体" w:hint="eastAsia"/>
          <w:sz w:val="24"/>
        </w:rPr>
        <w:t>（以下简称“浦发银行江阴支行”）</w:t>
      </w:r>
      <w:r w:rsidR="004977E3" w:rsidRPr="00226660">
        <w:rPr>
          <w:rFonts w:ascii="宋体" w:hAnsi="宋体"/>
          <w:sz w:val="24"/>
        </w:rPr>
        <w:t>与江苏泓海、青岛中天能源集团股份有限公司（以下简称“青岛中天”）金融借款合同纠纷一案</w:t>
      </w:r>
      <w:r w:rsidR="000D7014">
        <w:rPr>
          <w:rFonts w:eastAsiaTheme="minorEastAsia" w:hint="eastAsia"/>
          <w:sz w:val="24"/>
          <w:szCs w:val="24"/>
        </w:rPr>
        <w:t>，</w:t>
      </w:r>
      <w:r w:rsidR="009E055A">
        <w:rPr>
          <w:rFonts w:eastAsiaTheme="minorEastAsia" w:hint="eastAsia"/>
          <w:sz w:val="24"/>
          <w:szCs w:val="24"/>
        </w:rPr>
        <w:t>江苏省江阴市人民法院依据《执行裁定书》（</w:t>
      </w:r>
      <w:r w:rsidR="009E055A">
        <w:rPr>
          <w:rFonts w:eastAsiaTheme="minorEastAsia" w:hint="eastAsia"/>
          <w:sz w:val="24"/>
          <w:szCs w:val="24"/>
        </w:rPr>
        <w:t>2</w:t>
      </w:r>
      <w:r w:rsidR="009E055A">
        <w:rPr>
          <w:rFonts w:eastAsiaTheme="minorEastAsia"/>
          <w:sz w:val="24"/>
          <w:szCs w:val="24"/>
        </w:rPr>
        <w:t>022</w:t>
      </w:r>
      <w:r w:rsidR="009E055A">
        <w:rPr>
          <w:rFonts w:eastAsiaTheme="minorEastAsia" w:hint="eastAsia"/>
          <w:sz w:val="24"/>
          <w:szCs w:val="24"/>
        </w:rPr>
        <w:t>）苏</w:t>
      </w:r>
      <w:r w:rsidR="009E055A">
        <w:rPr>
          <w:rFonts w:eastAsiaTheme="minorEastAsia" w:hint="eastAsia"/>
          <w:sz w:val="24"/>
          <w:szCs w:val="24"/>
        </w:rPr>
        <w:t>0</w:t>
      </w:r>
      <w:r w:rsidR="009E055A">
        <w:rPr>
          <w:rFonts w:eastAsiaTheme="minorEastAsia"/>
          <w:sz w:val="24"/>
          <w:szCs w:val="24"/>
        </w:rPr>
        <w:t>281</w:t>
      </w:r>
      <w:r w:rsidR="009E055A">
        <w:rPr>
          <w:rFonts w:eastAsiaTheme="minorEastAsia" w:hint="eastAsia"/>
          <w:sz w:val="24"/>
          <w:szCs w:val="24"/>
        </w:rPr>
        <w:t>执</w:t>
      </w:r>
      <w:r w:rsidR="009E055A">
        <w:rPr>
          <w:rFonts w:eastAsiaTheme="minorEastAsia"/>
          <w:sz w:val="24"/>
          <w:szCs w:val="24"/>
        </w:rPr>
        <w:t>3168</w:t>
      </w:r>
      <w:r w:rsidR="009E055A">
        <w:rPr>
          <w:rFonts w:eastAsiaTheme="minorEastAsia" w:hint="eastAsia"/>
          <w:sz w:val="24"/>
          <w:szCs w:val="24"/>
        </w:rPr>
        <w:t>号之一，</w:t>
      </w:r>
      <w:r w:rsidR="000E2DF1">
        <w:rPr>
          <w:rFonts w:eastAsiaTheme="minorEastAsia" w:hint="eastAsia"/>
          <w:sz w:val="24"/>
          <w:szCs w:val="24"/>
        </w:rPr>
        <w:t>在阿里</w:t>
      </w:r>
      <w:r w:rsidR="001769AB">
        <w:rPr>
          <w:rFonts w:eastAsiaTheme="minorEastAsia" w:hint="eastAsia"/>
          <w:sz w:val="24"/>
          <w:szCs w:val="24"/>
        </w:rPr>
        <w:t>巴巴</w:t>
      </w:r>
      <w:r w:rsidR="000E2DF1">
        <w:rPr>
          <w:rFonts w:eastAsiaTheme="minorEastAsia" w:hint="eastAsia"/>
          <w:sz w:val="24"/>
          <w:szCs w:val="24"/>
        </w:rPr>
        <w:t>司法拍卖网</w:t>
      </w:r>
      <w:r w:rsidR="001769AB">
        <w:rPr>
          <w:rFonts w:eastAsiaTheme="minorEastAsia" w:hint="eastAsia"/>
          <w:sz w:val="24"/>
          <w:szCs w:val="24"/>
        </w:rPr>
        <w:t>络平台</w:t>
      </w:r>
      <w:r w:rsidR="000E2DF1">
        <w:rPr>
          <w:rFonts w:eastAsiaTheme="minorEastAsia" w:hint="eastAsia"/>
          <w:sz w:val="24"/>
          <w:szCs w:val="24"/>
        </w:rPr>
        <w:t>依法</w:t>
      </w:r>
      <w:r w:rsidR="001769AB">
        <w:rPr>
          <w:rFonts w:eastAsiaTheme="minorEastAsia" w:hint="eastAsia"/>
          <w:sz w:val="24"/>
          <w:szCs w:val="24"/>
        </w:rPr>
        <w:t>进行公开</w:t>
      </w:r>
      <w:r w:rsidR="000E2DF1">
        <w:rPr>
          <w:rFonts w:eastAsiaTheme="minorEastAsia" w:hint="eastAsia"/>
          <w:sz w:val="24"/>
          <w:szCs w:val="24"/>
        </w:rPr>
        <w:t>拍卖江苏泓海房地产及地上附属物</w:t>
      </w:r>
      <w:r w:rsidR="000E2DF1">
        <w:rPr>
          <w:rFonts w:eastAsiaTheme="minorEastAsia" w:hint="eastAsia"/>
          <w:sz w:val="24"/>
          <w:szCs w:val="24"/>
        </w:rPr>
        <w:t>L</w:t>
      </w:r>
      <w:r w:rsidR="000E2DF1">
        <w:rPr>
          <w:rFonts w:eastAsiaTheme="minorEastAsia"/>
          <w:sz w:val="24"/>
          <w:szCs w:val="24"/>
        </w:rPr>
        <w:t>NG</w:t>
      </w:r>
      <w:r w:rsidR="000E2DF1">
        <w:rPr>
          <w:rFonts w:eastAsiaTheme="minorEastAsia" w:hint="eastAsia"/>
          <w:sz w:val="24"/>
          <w:szCs w:val="24"/>
        </w:rPr>
        <w:t>储罐（在建工程）、附属设施、电子设备等。</w:t>
      </w:r>
      <w:r w:rsidR="001769AB">
        <w:rPr>
          <w:rFonts w:eastAsiaTheme="minorEastAsia" w:hint="eastAsia"/>
          <w:sz w:val="24"/>
          <w:szCs w:val="24"/>
        </w:rPr>
        <w:t>相关内容如下：</w:t>
      </w:r>
    </w:p>
    <w:p w14:paraId="45F19B43" w14:textId="68E9790C" w:rsidR="001769AB" w:rsidRDefault="001769AB" w:rsidP="001769AB">
      <w:pPr>
        <w:spacing w:line="520" w:lineRule="exact"/>
        <w:ind w:firstLineChars="200" w:firstLine="480"/>
        <w:rPr>
          <w:sz w:val="24"/>
          <w:szCs w:val="24"/>
        </w:rPr>
      </w:pPr>
      <w:r w:rsidRPr="001769AB">
        <w:rPr>
          <w:rFonts w:eastAsiaTheme="minorEastAsia"/>
          <w:sz w:val="24"/>
          <w:szCs w:val="24"/>
        </w:rPr>
        <w:t>江阴市人民法院将于</w:t>
      </w:r>
      <w:r w:rsidRPr="001769AB">
        <w:rPr>
          <w:rFonts w:eastAsiaTheme="minorEastAsia"/>
          <w:sz w:val="24"/>
          <w:szCs w:val="24"/>
        </w:rPr>
        <w:t>2022</w:t>
      </w:r>
      <w:r w:rsidRPr="001769AB">
        <w:rPr>
          <w:rFonts w:eastAsiaTheme="minorEastAsia"/>
          <w:sz w:val="24"/>
          <w:szCs w:val="24"/>
        </w:rPr>
        <w:t>年</w:t>
      </w:r>
      <w:r w:rsidRPr="001769AB">
        <w:rPr>
          <w:rFonts w:eastAsiaTheme="minorEastAsia"/>
          <w:sz w:val="24"/>
          <w:szCs w:val="24"/>
        </w:rPr>
        <w:t>8</w:t>
      </w:r>
      <w:r w:rsidRPr="001769AB">
        <w:rPr>
          <w:rFonts w:eastAsiaTheme="minorEastAsia"/>
          <w:sz w:val="24"/>
          <w:szCs w:val="24"/>
        </w:rPr>
        <w:t>月</w:t>
      </w:r>
      <w:r w:rsidRPr="001769AB">
        <w:rPr>
          <w:rFonts w:eastAsiaTheme="minorEastAsia"/>
          <w:sz w:val="24"/>
          <w:szCs w:val="24"/>
        </w:rPr>
        <w:t>1</w:t>
      </w:r>
      <w:r w:rsidRPr="001769AB">
        <w:rPr>
          <w:rFonts w:eastAsiaTheme="minorEastAsia"/>
          <w:sz w:val="24"/>
          <w:szCs w:val="24"/>
        </w:rPr>
        <w:t>日</w:t>
      </w:r>
      <w:r w:rsidRPr="001769AB">
        <w:rPr>
          <w:rFonts w:eastAsiaTheme="minorEastAsia"/>
          <w:sz w:val="24"/>
          <w:szCs w:val="24"/>
        </w:rPr>
        <w:t>10</w:t>
      </w:r>
      <w:r w:rsidRPr="001769AB">
        <w:rPr>
          <w:rFonts w:eastAsiaTheme="minorEastAsia"/>
          <w:sz w:val="24"/>
          <w:szCs w:val="24"/>
        </w:rPr>
        <w:t>时至</w:t>
      </w:r>
      <w:r w:rsidRPr="001769AB">
        <w:rPr>
          <w:rFonts w:eastAsiaTheme="minorEastAsia"/>
          <w:sz w:val="24"/>
          <w:szCs w:val="24"/>
        </w:rPr>
        <w:t>2022</w:t>
      </w:r>
      <w:r w:rsidRPr="001769AB">
        <w:rPr>
          <w:rFonts w:eastAsiaTheme="minorEastAsia"/>
          <w:sz w:val="24"/>
          <w:szCs w:val="24"/>
        </w:rPr>
        <w:t>年</w:t>
      </w:r>
      <w:r w:rsidRPr="001769AB">
        <w:rPr>
          <w:rFonts w:eastAsiaTheme="minorEastAsia"/>
          <w:sz w:val="24"/>
          <w:szCs w:val="24"/>
        </w:rPr>
        <w:t>8</w:t>
      </w:r>
      <w:r w:rsidRPr="001769AB">
        <w:rPr>
          <w:rFonts w:eastAsiaTheme="minorEastAsia"/>
          <w:sz w:val="24"/>
          <w:szCs w:val="24"/>
        </w:rPr>
        <w:t>月</w:t>
      </w:r>
      <w:r w:rsidRPr="001769AB">
        <w:rPr>
          <w:rFonts w:eastAsiaTheme="minorEastAsia"/>
          <w:sz w:val="24"/>
          <w:szCs w:val="24"/>
        </w:rPr>
        <w:t>2</w:t>
      </w:r>
      <w:r w:rsidRPr="001769AB">
        <w:rPr>
          <w:rFonts w:eastAsiaTheme="minorEastAsia"/>
          <w:sz w:val="24"/>
          <w:szCs w:val="24"/>
        </w:rPr>
        <w:t>日</w:t>
      </w:r>
      <w:r w:rsidRPr="001769AB">
        <w:rPr>
          <w:rFonts w:eastAsiaTheme="minorEastAsia"/>
          <w:sz w:val="24"/>
          <w:szCs w:val="24"/>
        </w:rPr>
        <w:t>10</w:t>
      </w:r>
      <w:r w:rsidRPr="001769AB">
        <w:rPr>
          <w:rFonts w:eastAsiaTheme="minorEastAsia"/>
          <w:sz w:val="24"/>
          <w:szCs w:val="24"/>
        </w:rPr>
        <w:t>时（延时</w:t>
      </w:r>
      <w:r w:rsidRPr="001769AB">
        <w:rPr>
          <w:rFonts w:eastAsiaTheme="minorEastAsia"/>
          <w:sz w:val="24"/>
          <w:szCs w:val="24"/>
        </w:rPr>
        <w:lastRenderedPageBreak/>
        <w:t>除外）在阿里巴巴司法拍卖网络平台（网址：</w:t>
      </w:r>
      <w:r w:rsidRPr="001769AB">
        <w:rPr>
          <w:rFonts w:eastAsiaTheme="minorEastAsia"/>
          <w:sz w:val="24"/>
          <w:szCs w:val="24"/>
        </w:rPr>
        <w:t>http://sf.taobao.com/0510/05</w:t>
      </w:r>
      <w:r w:rsidRPr="001769AB">
        <w:rPr>
          <w:rFonts w:eastAsiaTheme="minorEastAsia"/>
          <w:sz w:val="24"/>
          <w:szCs w:val="24"/>
        </w:rPr>
        <w:t>）进行公开拍卖（变卖）活动，</w:t>
      </w:r>
      <w:r w:rsidRPr="00A21BDA">
        <w:rPr>
          <w:rFonts w:eastAsiaTheme="minorEastAsia" w:hint="eastAsia"/>
          <w:sz w:val="24"/>
          <w:szCs w:val="24"/>
        </w:rPr>
        <w:t>（法院账户名：</w:t>
      </w:r>
      <w:r w:rsidRPr="00A21BDA">
        <w:rPr>
          <w:rFonts w:eastAsiaTheme="minorEastAsia"/>
          <w:sz w:val="24"/>
          <w:szCs w:val="24"/>
        </w:rPr>
        <w:t>江阴市人民法院</w:t>
      </w:r>
      <w:r w:rsidRPr="00A21BDA">
        <w:rPr>
          <w:rFonts w:eastAsiaTheme="minorEastAsia" w:hint="eastAsia"/>
          <w:sz w:val="24"/>
          <w:szCs w:val="24"/>
        </w:rPr>
        <w:t>，法院主页网址：</w:t>
      </w:r>
      <w:r w:rsidR="00CD70D0" w:rsidRPr="00A21BDA">
        <w:rPr>
          <w:rFonts w:eastAsiaTheme="minorEastAsia"/>
          <w:sz w:val="24"/>
          <w:szCs w:val="24"/>
        </w:rPr>
        <w:t>http://sf.taobao.com/0510/05</w:t>
      </w:r>
      <w:r w:rsidR="00CD70D0" w:rsidRPr="00A21BDA">
        <w:rPr>
          <w:rFonts w:eastAsiaTheme="minorEastAsia" w:hint="eastAsia"/>
          <w:sz w:val="24"/>
          <w:szCs w:val="24"/>
        </w:rPr>
        <w:t>），</w:t>
      </w:r>
      <w:r w:rsidR="00CD70D0" w:rsidRPr="00A21BDA">
        <w:rPr>
          <w:rFonts w:eastAsiaTheme="minorEastAsia" w:hint="eastAsia"/>
          <w:sz w:val="24"/>
          <w:szCs w:val="24"/>
        </w:rPr>
        <w:t>评估价为</w:t>
      </w:r>
      <w:r w:rsidR="00CD70D0" w:rsidRPr="00A21BDA">
        <w:rPr>
          <w:rFonts w:eastAsiaTheme="minorEastAsia" w:hint="eastAsia"/>
          <w:sz w:val="24"/>
          <w:szCs w:val="24"/>
        </w:rPr>
        <w:t>1</w:t>
      </w:r>
      <w:r w:rsidR="00CD70D0">
        <w:rPr>
          <w:color w:val="000000"/>
          <w:sz w:val="24"/>
          <w:szCs w:val="24"/>
        </w:rPr>
        <w:t>,</w:t>
      </w:r>
      <w:r w:rsidR="00CD70D0" w:rsidRPr="00CD70D0">
        <w:rPr>
          <w:color w:val="000000"/>
          <w:sz w:val="24"/>
          <w:szCs w:val="24"/>
        </w:rPr>
        <w:t>400</w:t>
      </w:r>
      <w:r w:rsidR="00CD70D0">
        <w:rPr>
          <w:color w:val="000000"/>
          <w:sz w:val="24"/>
          <w:szCs w:val="24"/>
        </w:rPr>
        <w:t>,</w:t>
      </w:r>
      <w:r w:rsidR="00CD70D0" w:rsidRPr="00CD70D0">
        <w:rPr>
          <w:color w:val="000000"/>
          <w:sz w:val="24"/>
          <w:szCs w:val="24"/>
        </w:rPr>
        <w:t>416</w:t>
      </w:r>
      <w:r w:rsidR="00CD70D0">
        <w:rPr>
          <w:color w:val="000000"/>
          <w:sz w:val="24"/>
          <w:szCs w:val="24"/>
        </w:rPr>
        <w:t>,</w:t>
      </w:r>
      <w:r w:rsidR="00CD70D0" w:rsidRPr="00CD70D0">
        <w:rPr>
          <w:color w:val="000000"/>
          <w:sz w:val="24"/>
          <w:szCs w:val="24"/>
        </w:rPr>
        <w:t>645</w:t>
      </w:r>
      <w:r w:rsidR="00CD70D0">
        <w:rPr>
          <w:rFonts w:hint="eastAsia"/>
          <w:sz w:val="24"/>
          <w:szCs w:val="24"/>
        </w:rPr>
        <w:t>元，</w:t>
      </w:r>
      <w:r>
        <w:rPr>
          <w:rFonts w:hint="eastAsia"/>
          <w:sz w:val="24"/>
          <w:szCs w:val="24"/>
        </w:rPr>
        <w:t>起拍价为</w:t>
      </w:r>
      <w:r w:rsidR="00CD70D0">
        <w:rPr>
          <w:sz w:val="24"/>
          <w:szCs w:val="24"/>
        </w:rPr>
        <w:t>980,230,000</w:t>
      </w:r>
      <w:r>
        <w:rPr>
          <w:rFonts w:hint="eastAsia"/>
          <w:sz w:val="24"/>
          <w:szCs w:val="24"/>
        </w:rPr>
        <w:t>元，保证金为</w:t>
      </w:r>
      <w:r w:rsidR="00CD70D0">
        <w:rPr>
          <w:sz w:val="24"/>
          <w:szCs w:val="24"/>
        </w:rPr>
        <w:t>98,000,000</w:t>
      </w:r>
      <w:r>
        <w:rPr>
          <w:rFonts w:hint="eastAsia"/>
          <w:sz w:val="24"/>
          <w:szCs w:val="24"/>
        </w:rPr>
        <w:t>元，加价幅度为</w:t>
      </w:r>
      <w:r w:rsidR="00731C41">
        <w:rPr>
          <w:sz w:val="24"/>
          <w:szCs w:val="24"/>
        </w:rPr>
        <w:t>1,0</w:t>
      </w:r>
      <w:r>
        <w:rPr>
          <w:sz w:val="24"/>
          <w:szCs w:val="24"/>
        </w:rPr>
        <w:t>00,</w:t>
      </w:r>
      <w:r>
        <w:rPr>
          <w:rFonts w:hint="eastAsia"/>
          <w:sz w:val="24"/>
          <w:szCs w:val="24"/>
        </w:rPr>
        <w:t>000</w:t>
      </w:r>
      <w:r>
        <w:rPr>
          <w:rFonts w:hint="eastAsia"/>
          <w:sz w:val="24"/>
          <w:szCs w:val="24"/>
        </w:rPr>
        <w:t>元。</w:t>
      </w:r>
    </w:p>
    <w:p w14:paraId="741354D0" w14:textId="77777777" w:rsidR="00786057" w:rsidRDefault="00C07B20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0F1504">
        <w:rPr>
          <w:rFonts w:eastAsiaTheme="minorEastAsia"/>
          <w:sz w:val="24"/>
          <w:szCs w:val="24"/>
        </w:rPr>
        <w:t>公司将持续关注本次拍卖事项的进展情况，并按照相关规定及时履行信</w:t>
      </w:r>
      <w:r>
        <w:rPr>
          <w:rFonts w:eastAsiaTheme="minorEastAsia"/>
          <w:sz w:val="24"/>
          <w:szCs w:val="24"/>
        </w:rPr>
        <w:t>息披露义务</w:t>
      </w:r>
      <w:r>
        <w:rPr>
          <w:rFonts w:eastAsiaTheme="minorEastAsia" w:hint="eastAsia"/>
          <w:sz w:val="24"/>
          <w:szCs w:val="24"/>
        </w:rPr>
        <w:t>。</w:t>
      </w:r>
    </w:p>
    <w:p w14:paraId="24A9A7C0" w14:textId="77777777" w:rsidR="001A62F9" w:rsidRPr="001A62F9" w:rsidRDefault="001A62F9">
      <w:pPr>
        <w:spacing w:line="360" w:lineRule="auto"/>
        <w:ind w:firstLineChars="200" w:firstLine="482"/>
        <w:rPr>
          <w:rFonts w:eastAsiaTheme="minorEastAsia"/>
          <w:b/>
          <w:sz w:val="24"/>
          <w:szCs w:val="24"/>
        </w:rPr>
      </w:pPr>
      <w:r w:rsidRPr="001A62F9">
        <w:rPr>
          <w:rFonts w:eastAsiaTheme="minorEastAsia" w:hint="eastAsia"/>
          <w:b/>
          <w:sz w:val="24"/>
          <w:szCs w:val="24"/>
        </w:rPr>
        <w:t>（二）</w:t>
      </w:r>
      <w:r w:rsidR="001F14BB">
        <w:rPr>
          <w:rFonts w:eastAsiaTheme="minorEastAsia" w:hint="eastAsia"/>
          <w:b/>
          <w:sz w:val="24"/>
          <w:szCs w:val="24"/>
        </w:rPr>
        <w:t>江苏</w:t>
      </w:r>
      <w:proofErr w:type="gramStart"/>
      <w:r w:rsidR="001F14BB">
        <w:rPr>
          <w:rFonts w:eastAsiaTheme="minorEastAsia" w:hint="eastAsia"/>
          <w:b/>
          <w:sz w:val="24"/>
          <w:szCs w:val="24"/>
        </w:rPr>
        <w:t>泓</w:t>
      </w:r>
      <w:proofErr w:type="gramEnd"/>
      <w:r w:rsidR="001F14BB">
        <w:rPr>
          <w:rFonts w:eastAsiaTheme="minorEastAsia" w:hint="eastAsia"/>
          <w:b/>
          <w:sz w:val="24"/>
          <w:szCs w:val="24"/>
        </w:rPr>
        <w:t>海</w:t>
      </w:r>
      <w:r w:rsidRPr="001A62F9">
        <w:rPr>
          <w:rFonts w:eastAsiaTheme="minorEastAsia"/>
          <w:b/>
          <w:sz w:val="24"/>
          <w:szCs w:val="24"/>
        </w:rPr>
        <w:t>相关介绍</w:t>
      </w:r>
    </w:p>
    <w:p w14:paraId="1B9531B7" w14:textId="77777777" w:rsidR="002645E4" w:rsidRPr="000F1504" w:rsidRDefault="001A62F9" w:rsidP="002645E4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7156AD">
        <w:rPr>
          <w:rFonts w:eastAsiaTheme="minorEastAsia" w:hint="eastAsia"/>
          <w:sz w:val="24"/>
          <w:szCs w:val="24"/>
        </w:rPr>
        <w:t>江苏泓海</w:t>
      </w:r>
      <w:r>
        <w:rPr>
          <w:rFonts w:eastAsiaTheme="minorEastAsia" w:hint="eastAsia"/>
          <w:sz w:val="24"/>
          <w:szCs w:val="24"/>
        </w:rPr>
        <w:t>为江阴</w:t>
      </w:r>
      <w:r>
        <w:rPr>
          <w:rFonts w:eastAsiaTheme="minorEastAsia" w:hint="eastAsia"/>
          <w:sz w:val="24"/>
          <w:szCs w:val="24"/>
        </w:rPr>
        <w:t>LNG</w:t>
      </w:r>
      <w:r>
        <w:rPr>
          <w:rFonts w:eastAsiaTheme="minorEastAsia" w:hint="eastAsia"/>
          <w:sz w:val="24"/>
          <w:szCs w:val="24"/>
        </w:rPr>
        <w:t>项目</w:t>
      </w:r>
      <w:r w:rsidR="00A1792B">
        <w:rPr>
          <w:rFonts w:eastAsiaTheme="minorEastAsia" w:hint="eastAsia"/>
          <w:sz w:val="24"/>
          <w:szCs w:val="24"/>
        </w:rPr>
        <w:t>的实施公司</w:t>
      </w:r>
      <w:r w:rsidR="00672E68">
        <w:rPr>
          <w:rFonts w:eastAsiaTheme="minorEastAsia" w:hint="eastAsia"/>
          <w:sz w:val="24"/>
          <w:szCs w:val="24"/>
        </w:rPr>
        <w:t>，</w:t>
      </w:r>
      <w:r w:rsidR="002645E4">
        <w:rPr>
          <w:rFonts w:eastAsiaTheme="minorEastAsia" w:hint="eastAsia"/>
          <w:sz w:val="24"/>
          <w:szCs w:val="24"/>
        </w:rPr>
        <w:t>江阴</w:t>
      </w:r>
      <w:r w:rsidR="002645E4">
        <w:rPr>
          <w:rFonts w:eastAsiaTheme="minorEastAsia" w:hint="eastAsia"/>
          <w:sz w:val="24"/>
          <w:szCs w:val="24"/>
        </w:rPr>
        <w:t>LNG</w:t>
      </w:r>
      <w:r w:rsidR="002645E4">
        <w:rPr>
          <w:rFonts w:eastAsiaTheme="minorEastAsia" w:hint="eastAsia"/>
          <w:sz w:val="24"/>
          <w:szCs w:val="24"/>
        </w:rPr>
        <w:t>项目为公司非公开发行募集资金项目，投入金额为</w:t>
      </w:r>
      <w:r w:rsidR="002645E4" w:rsidRPr="002645E4">
        <w:rPr>
          <w:rFonts w:eastAsiaTheme="minorEastAsia"/>
          <w:sz w:val="24"/>
          <w:szCs w:val="24"/>
        </w:rPr>
        <w:t>116,084.85</w:t>
      </w:r>
      <w:r w:rsidR="002645E4" w:rsidRPr="002645E4">
        <w:rPr>
          <w:rFonts w:eastAsiaTheme="minorEastAsia"/>
          <w:sz w:val="24"/>
          <w:szCs w:val="24"/>
        </w:rPr>
        <w:t>万元</w:t>
      </w:r>
      <w:r w:rsidR="008507F9">
        <w:rPr>
          <w:rFonts w:eastAsiaTheme="minorEastAsia" w:hint="eastAsia"/>
          <w:sz w:val="24"/>
          <w:szCs w:val="24"/>
        </w:rPr>
        <w:t>。</w:t>
      </w:r>
      <w:r w:rsidR="002645E4" w:rsidRPr="002645E4">
        <w:rPr>
          <w:rFonts w:eastAsiaTheme="minorEastAsia" w:hint="eastAsia"/>
          <w:sz w:val="24"/>
          <w:szCs w:val="24"/>
        </w:rPr>
        <w:t>2</w:t>
      </w:r>
      <w:r w:rsidR="002645E4" w:rsidRPr="002645E4">
        <w:rPr>
          <w:rFonts w:eastAsiaTheme="minorEastAsia"/>
          <w:sz w:val="24"/>
          <w:szCs w:val="24"/>
        </w:rPr>
        <w:t>017</w:t>
      </w:r>
      <w:r w:rsidR="002645E4" w:rsidRPr="002645E4">
        <w:rPr>
          <w:rFonts w:eastAsiaTheme="minorEastAsia" w:hint="eastAsia"/>
          <w:sz w:val="24"/>
          <w:szCs w:val="24"/>
        </w:rPr>
        <w:t>年</w:t>
      </w:r>
      <w:r w:rsidR="002645E4" w:rsidRPr="002645E4">
        <w:rPr>
          <w:rFonts w:eastAsiaTheme="minorEastAsia" w:hint="eastAsia"/>
          <w:sz w:val="24"/>
          <w:szCs w:val="24"/>
        </w:rPr>
        <w:t>10</w:t>
      </w:r>
      <w:r w:rsidR="002645E4" w:rsidRPr="002645E4">
        <w:rPr>
          <w:rFonts w:eastAsiaTheme="minorEastAsia" w:hint="eastAsia"/>
          <w:sz w:val="24"/>
          <w:szCs w:val="24"/>
        </w:rPr>
        <w:t>月，</w:t>
      </w:r>
      <w:r w:rsidR="002645E4">
        <w:rPr>
          <w:rFonts w:eastAsiaTheme="minorEastAsia"/>
          <w:sz w:val="24"/>
          <w:szCs w:val="24"/>
        </w:rPr>
        <w:t>为</w:t>
      </w:r>
      <w:r w:rsidR="002645E4" w:rsidRPr="002645E4">
        <w:rPr>
          <w:rFonts w:eastAsiaTheme="minorEastAsia"/>
          <w:sz w:val="24"/>
          <w:szCs w:val="24"/>
        </w:rPr>
        <w:t>提高募集资金使用效率和投资回报，公司根据募集资金投资项目的实际情况变更</w:t>
      </w:r>
      <w:r w:rsidR="008507F9">
        <w:rPr>
          <w:rFonts w:eastAsiaTheme="minorEastAsia" w:hint="eastAsia"/>
          <w:sz w:val="24"/>
          <w:szCs w:val="24"/>
        </w:rPr>
        <w:t>江阴</w:t>
      </w:r>
      <w:r w:rsidR="008507F9">
        <w:rPr>
          <w:rFonts w:eastAsiaTheme="minorEastAsia" w:hint="eastAsia"/>
          <w:sz w:val="24"/>
          <w:szCs w:val="24"/>
        </w:rPr>
        <w:t>LNG</w:t>
      </w:r>
      <w:r w:rsidR="008507F9">
        <w:rPr>
          <w:rFonts w:eastAsiaTheme="minorEastAsia" w:hint="eastAsia"/>
          <w:sz w:val="24"/>
          <w:szCs w:val="24"/>
        </w:rPr>
        <w:t>项目</w:t>
      </w:r>
      <w:r w:rsidR="002645E4" w:rsidRPr="002645E4">
        <w:rPr>
          <w:rFonts w:eastAsiaTheme="minorEastAsia"/>
          <w:sz w:val="24"/>
          <w:szCs w:val="24"/>
        </w:rPr>
        <w:t>部分资金用途，用于收购广东华丰中天液化天然气有限公司（以下简称</w:t>
      </w:r>
      <w:r w:rsidR="002645E4" w:rsidRPr="002645E4">
        <w:rPr>
          <w:rFonts w:eastAsiaTheme="minorEastAsia"/>
          <w:sz w:val="24"/>
          <w:szCs w:val="24"/>
        </w:rPr>
        <w:t>“</w:t>
      </w:r>
      <w:r w:rsidR="002645E4" w:rsidRPr="002645E4">
        <w:rPr>
          <w:rFonts w:eastAsiaTheme="minorEastAsia"/>
          <w:sz w:val="24"/>
          <w:szCs w:val="24"/>
        </w:rPr>
        <w:t>标的公司</w:t>
      </w:r>
      <w:r w:rsidR="002645E4" w:rsidRPr="002645E4">
        <w:rPr>
          <w:rFonts w:eastAsiaTheme="minorEastAsia"/>
          <w:sz w:val="24"/>
          <w:szCs w:val="24"/>
        </w:rPr>
        <w:t>”</w:t>
      </w:r>
      <w:r w:rsidR="002645E4" w:rsidRPr="002645E4">
        <w:rPr>
          <w:rFonts w:eastAsiaTheme="minorEastAsia"/>
          <w:sz w:val="24"/>
          <w:szCs w:val="24"/>
        </w:rPr>
        <w:t>、</w:t>
      </w:r>
      <w:r w:rsidR="002645E4" w:rsidRPr="002645E4">
        <w:rPr>
          <w:rFonts w:eastAsiaTheme="minorEastAsia"/>
          <w:sz w:val="24"/>
          <w:szCs w:val="24"/>
        </w:rPr>
        <w:t>“</w:t>
      </w:r>
      <w:r w:rsidR="002645E4" w:rsidRPr="002645E4">
        <w:rPr>
          <w:rFonts w:eastAsiaTheme="minorEastAsia"/>
          <w:sz w:val="24"/>
          <w:szCs w:val="24"/>
        </w:rPr>
        <w:t>华丰中天</w:t>
      </w:r>
      <w:r w:rsidR="002645E4" w:rsidRPr="002645E4">
        <w:rPr>
          <w:rFonts w:eastAsiaTheme="minorEastAsia"/>
          <w:sz w:val="24"/>
          <w:szCs w:val="24"/>
        </w:rPr>
        <w:t>”</w:t>
      </w:r>
      <w:r w:rsidR="002645E4" w:rsidRPr="002645E4">
        <w:rPr>
          <w:rFonts w:eastAsiaTheme="minorEastAsia"/>
          <w:sz w:val="24"/>
          <w:szCs w:val="24"/>
        </w:rPr>
        <w:t>）的</w:t>
      </w:r>
      <w:r w:rsidR="002645E4" w:rsidRPr="002645E4">
        <w:rPr>
          <w:rFonts w:eastAsiaTheme="minorEastAsia"/>
          <w:sz w:val="24"/>
          <w:szCs w:val="24"/>
        </w:rPr>
        <w:t>55%</w:t>
      </w:r>
      <w:r w:rsidR="002645E4" w:rsidRPr="002645E4">
        <w:rPr>
          <w:rFonts w:eastAsiaTheme="minorEastAsia"/>
          <w:sz w:val="24"/>
          <w:szCs w:val="24"/>
        </w:rPr>
        <w:t>的股权并增资。具体实施方式是</w:t>
      </w:r>
      <w:r w:rsidR="008507F9">
        <w:rPr>
          <w:rFonts w:eastAsiaTheme="minorEastAsia" w:hint="eastAsia"/>
          <w:sz w:val="24"/>
          <w:szCs w:val="24"/>
        </w:rPr>
        <w:t>公司</w:t>
      </w:r>
      <w:r w:rsidR="002645E4" w:rsidRPr="002645E4">
        <w:rPr>
          <w:rFonts w:eastAsiaTheme="minorEastAsia"/>
          <w:sz w:val="24"/>
          <w:szCs w:val="24"/>
        </w:rPr>
        <w:t>以</w:t>
      </w:r>
      <w:r w:rsidR="002645E4" w:rsidRPr="002645E4">
        <w:rPr>
          <w:rFonts w:eastAsiaTheme="minorEastAsia"/>
          <w:sz w:val="24"/>
          <w:szCs w:val="24"/>
        </w:rPr>
        <w:t>50,600</w:t>
      </w:r>
      <w:r w:rsidR="002645E4" w:rsidRPr="002645E4">
        <w:rPr>
          <w:rFonts w:eastAsiaTheme="minorEastAsia"/>
          <w:sz w:val="24"/>
          <w:szCs w:val="24"/>
        </w:rPr>
        <w:t>万元收购标的公司</w:t>
      </w:r>
      <w:r w:rsidR="002645E4" w:rsidRPr="002645E4">
        <w:rPr>
          <w:rFonts w:eastAsiaTheme="minorEastAsia"/>
          <w:sz w:val="24"/>
          <w:szCs w:val="24"/>
        </w:rPr>
        <w:t>55%</w:t>
      </w:r>
      <w:r w:rsidR="002645E4" w:rsidRPr="002645E4">
        <w:rPr>
          <w:rFonts w:eastAsiaTheme="minorEastAsia"/>
          <w:sz w:val="24"/>
          <w:szCs w:val="24"/>
        </w:rPr>
        <w:t>股权，并为收购后的标的公司增资</w:t>
      </w:r>
      <w:r w:rsidR="002645E4" w:rsidRPr="002645E4">
        <w:rPr>
          <w:rFonts w:eastAsiaTheme="minorEastAsia"/>
          <w:sz w:val="24"/>
          <w:szCs w:val="24"/>
        </w:rPr>
        <w:t>5,500</w:t>
      </w:r>
      <w:r w:rsidR="002645E4" w:rsidRPr="002645E4">
        <w:rPr>
          <w:rFonts w:eastAsiaTheme="minorEastAsia"/>
          <w:sz w:val="24"/>
          <w:szCs w:val="24"/>
        </w:rPr>
        <w:t>万元，用于项目建设及日常运营</w:t>
      </w:r>
      <w:r w:rsidR="002645E4" w:rsidRPr="002645E4">
        <w:rPr>
          <w:rFonts w:eastAsiaTheme="minorEastAsia" w:hint="eastAsia"/>
          <w:sz w:val="24"/>
          <w:szCs w:val="24"/>
        </w:rPr>
        <w:t>，</w:t>
      </w:r>
      <w:r w:rsidR="002645E4" w:rsidRPr="002645E4">
        <w:rPr>
          <w:rFonts w:eastAsiaTheme="minorEastAsia"/>
          <w:sz w:val="24"/>
          <w:szCs w:val="24"/>
        </w:rPr>
        <w:t>此次变更涉及的募集资金为</w:t>
      </w:r>
      <w:r w:rsidR="002645E4" w:rsidRPr="002645E4">
        <w:rPr>
          <w:rFonts w:eastAsiaTheme="minorEastAsia"/>
          <w:sz w:val="24"/>
          <w:szCs w:val="24"/>
        </w:rPr>
        <w:t>56,100</w:t>
      </w:r>
      <w:r w:rsidR="002645E4" w:rsidRPr="002645E4">
        <w:rPr>
          <w:rFonts w:eastAsiaTheme="minorEastAsia"/>
          <w:sz w:val="24"/>
          <w:szCs w:val="24"/>
        </w:rPr>
        <w:t>万元</w:t>
      </w:r>
      <w:r w:rsidR="002645E4" w:rsidRPr="002645E4">
        <w:rPr>
          <w:rFonts w:eastAsiaTheme="minorEastAsia" w:hint="eastAsia"/>
          <w:sz w:val="24"/>
          <w:szCs w:val="24"/>
        </w:rPr>
        <w:t>。</w:t>
      </w:r>
      <w:r w:rsidR="002645E4" w:rsidRPr="002645E4">
        <w:rPr>
          <w:rFonts w:eastAsiaTheme="minorEastAsia"/>
          <w:sz w:val="24"/>
          <w:szCs w:val="24"/>
        </w:rPr>
        <w:t>变更</w:t>
      </w:r>
      <w:r w:rsidR="008507F9">
        <w:rPr>
          <w:rFonts w:eastAsiaTheme="minorEastAsia" w:hint="eastAsia"/>
          <w:sz w:val="24"/>
          <w:szCs w:val="24"/>
        </w:rPr>
        <w:t>江阴</w:t>
      </w:r>
      <w:r w:rsidR="008507F9">
        <w:rPr>
          <w:rFonts w:eastAsiaTheme="minorEastAsia" w:hint="eastAsia"/>
          <w:sz w:val="24"/>
          <w:szCs w:val="24"/>
        </w:rPr>
        <w:t>LNG</w:t>
      </w:r>
      <w:r w:rsidR="008507F9">
        <w:rPr>
          <w:rFonts w:eastAsiaTheme="minorEastAsia" w:hint="eastAsia"/>
          <w:sz w:val="24"/>
          <w:szCs w:val="24"/>
        </w:rPr>
        <w:t>项目</w:t>
      </w:r>
      <w:r w:rsidR="002645E4" w:rsidRPr="002645E4">
        <w:rPr>
          <w:rFonts w:eastAsiaTheme="minorEastAsia"/>
          <w:sz w:val="24"/>
          <w:szCs w:val="24"/>
        </w:rPr>
        <w:t>部分资金用途</w:t>
      </w:r>
      <w:r w:rsidR="002645E4">
        <w:rPr>
          <w:rFonts w:eastAsiaTheme="minorEastAsia" w:hint="eastAsia"/>
          <w:sz w:val="24"/>
          <w:szCs w:val="24"/>
        </w:rPr>
        <w:t>后，用于江阴</w:t>
      </w:r>
      <w:r w:rsidR="002645E4">
        <w:rPr>
          <w:rFonts w:eastAsiaTheme="minorEastAsia" w:hint="eastAsia"/>
          <w:sz w:val="24"/>
          <w:szCs w:val="24"/>
        </w:rPr>
        <w:t>LNG</w:t>
      </w:r>
      <w:r w:rsidR="002645E4">
        <w:rPr>
          <w:rFonts w:eastAsiaTheme="minorEastAsia" w:hint="eastAsia"/>
          <w:sz w:val="24"/>
          <w:szCs w:val="24"/>
        </w:rPr>
        <w:t>项目的资金</w:t>
      </w:r>
      <w:r w:rsidR="003803ED">
        <w:rPr>
          <w:rFonts w:eastAsiaTheme="minorEastAsia" w:hint="eastAsia"/>
          <w:sz w:val="24"/>
          <w:szCs w:val="24"/>
        </w:rPr>
        <w:t>调整为</w:t>
      </w:r>
      <w:r w:rsidR="003803ED">
        <w:rPr>
          <w:rFonts w:eastAsiaTheme="minorEastAsia" w:hint="eastAsia"/>
          <w:sz w:val="24"/>
          <w:szCs w:val="24"/>
        </w:rPr>
        <w:t>59,984.85</w:t>
      </w:r>
      <w:r w:rsidR="002645E4">
        <w:rPr>
          <w:rFonts w:eastAsiaTheme="minorEastAsia" w:hint="eastAsia"/>
          <w:sz w:val="24"/>
          <w:szCs w:val="24"/>
        </w:rPr>
        <w:t>万元。</w:t>
      </w:r>
    </w:p>
    <w:p w14:paraId="45A0FF77" w14:textId="77777777" w:rsidR="0043396D" w:rsidRDefault="0043396D" w:rsidP="0043396D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截至本公告披露日，江阴</w:t>
      </w:r>
      <w:r>
        <w:rPr>
          <w:rFonts w:eastAsiaTheme="minorEastAsia" w:hint="eastAsia"/>
          <w:sz w:val="24"/>
          <w:szCs w:val="24"/>
        </w:rPr>
        <w:t>LNG</w:t>
      </w:r>
      <w:r>
        <w:rPr>
          <w:rFonts w:eastAsiaTheme="minorEastAsia" w:hint="eastAsia"/>
          <w:sz w:val="24"/>
          <w:szCs w:val="24"/>
        </w:rPr>
        <w:t>项目尚未投入金额为</w:t>
      </w:r>
      <w:r>
        <w:rPr>
          <w:rFonts w:eastAsiaTheme="minorEastAsia" w:hint="eastAsia"/>
          <w:sz w:val="24"/>
          <w:szCs w:val="24"/>
        </w:rPr>
        <w:t>59,984.85</w:t>
      </w:r>
      <w:r>
        <w:rPr>
          <w:rFonts w:eastAsiaTheme="minorEastAsia" w:hint="eastAsia"/>
          <w:sz w:val="24"/>
          <w:szCs w:val="24"/>
        </w:rPr>
        <w:t>万元。该项目</w:t>
      </w:r>
      <w:r w:rsidRPr="007156AD">
        <w:rPr>
          <w:rFonts w:eastAsiaTheme="minorEastAsia" w:hint="eastAsia"/>
          <w:sz w:val="24"/>
          <w:szCs w:val="24"/>
        </w:rPr>
        <w:t>陆域部分已完工</w:t>
      </w:r>
      <w:r w:rsidRPr="007156AD">
        <w:rPr>
          <w:rFonts w:eastAsiaTheme="minorEastAsia" w:hint="eastAsia"/>
          <w:sz w:val="24"/>
          <w:szCs w:val="24"/>
        </w:rPr>
        <w:t xml:space="preserve"> 99%</w:t>
      </w:r>
      <w:r w:rsidRPr="000F1504">
        <w:rPr>
          <w:rFonts w:eastAsiaTheme="minorEastAsia" w:hint="eastAsia"/>
          <w:sz w:val="24"/>
          <w:szCs w:val="24"/>
        </w:rPr>
        <w:t>，尚未正式</w:t>
      </w:r>
      <w:proofErr w:type="gramStart"/>
      <w:r w:rsidRPr="000F1504">
        <w:rPr>
          <w:rFonts w:eastAsiaTheme="minorEastAsia" w:hint="eastAsia"/>
          <w:sz w:val="24"/>
          <w:szCs w:val="24"/>
        </w:rPr>
        <w:t>进行投产</w:t>
      </w:r>
      <w:proofErr w:type="gramEnd"/>
      <w:r w:rsidRPr="000F1504">
        <w:rPr>
          <w:rFonts w:eastAsiaTheme="minorEastAsia" w:hint="eastAsia"/>
          <w:sz w:val="24"/>
          <w:szCs w:val="24"/>
        </w:rPr>
        <w:t>运营。</w:t>
      </w:r>
    </w:p>
    <w:p w14:paraId="49DAA53B" w14:textId="77777777" w:rsidR="00786057" w:rsidRPr="000F1504" w:rsidRDefault="00786057">
      <w:pPr>
        <w:spacing w:line="360" w:lineRule="auto"/>
        <w:ind w:firstLineChars="200" w:firstLine="482"/>
        <w:rPr>
          <w:rFonts w:eastAsiaTheme="minorEastAsia"/>
          <w:b/>
          <w:sz w:val="24"/>
          <w:szCs w:val="24"/>
        </w:rPr>
      </w:pPr>
      <w:r w:rsidRPr="000F1504">
        <w:rPr>
          <w:rFonts w:eastAsiaTheme="minorEastAsia" w:hint="eastAsia"/>
          <w:b/>
          <w:sz w:val="24"/>
          <w:szCs w:val="24"/>
        </w:rPr>
        <w:t>二、其他相关说明</w:t>
      </w:r>
    </w:p>
    <w:p w14:paraId="6401A677" w14:textId="47CCA3BD" w:rsidR="00AF7DDB" w:rsidRDefault="002645E4" w:rsidP="00AF7DDB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（一</w:t>
      </w:r>
      <w:r w:rsidR="00BD0F90" w:rsidRPr="000F1504">
        <w:rPr>
          <w:rFonts w:eastAsiaTheme="minorEastAsia" w:hint="eastAsia"/>
          <w:sz w:val="24"/>
          <w:szCs w:val="24"/>
        </w:rPr>
        <w:t>）</w:t>
      </w:r>
      <w:r w:rsidR="00BD0F90" w:rsidRPr="000F1504">
        <w:rPr>
          <w:rFonts w:eastAsiaTheme="minorEastAsia"/>
          <w:sz w:val="24"/>
          <w:szCs w:val="24"/>
        </w:rPr>
        <w:t>鉴于本次被司法拍卖事项</w:t>
      </w:r>
      <w:r w:rsidR="002A7BC0">
        <w:rPr>
          <w:rFonts w:eastAsiaTheme="minorEastAsia" w:hint="eastAsia"/>
          <w:sz w:val="24"/>
          <w:szCs w:val="24"/>
        </w:rPr>
        <w:t>尚未开始</w:t>
      </w:r>
      <w:r w:rsidR="00BD0F90" w:rsidRPr="000F1504">
        <w:rPr>
          <w:rFonts w:eastAsiaTheme="minorEastAsia"/>
          <w:sz w:val="24"/>
          <w:szCs w:val="24"/>
        </w:rPr>
        <w:t>，根据相关规定法院有权在拍卖开始前、拍卖过程中，中止拍卖或撤回拍卖，后续可能还涉及竞拍、缴款、变更过户等环节，拍卖结果存在不确定性。</w:t>
      </w:r>
    </w:p>
    <w:p w14:paraId="2E5C21DC" w14:textId="77777777" w:rsidR="00BD0F90" w:rsidRPr="00AF7DDB" w:rsidRDefault="00BD0F90" w:rsidP="00AF7DDB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AF7DDB">
        <w:rPr>
          <w:rFonts w:eastAsiaTheme="minorEastAsia"/>
          <w:sz w:val="24"/>
          <w:szCs w:val="24"/>
        </w:rPr>
        <w:t>若本次司法拍卖最终成交，经上述程序完成后，</w:t>
      </w:r>
      <w:r w:rsidR="00AC790A" w:rsidRPr="00AF7DDB">
        <w:rPr>
          <w:rFonts w:eastAsiaTheme="minorEastAsia" w:hint="eastAsia"/>
          <w:sz w:val="24"/>
          <w:szCs w:val="24"/>
        </w:rPr>
        <w:t>将</w:t>
      </w:r>
      <w:r w:rsidR="00AC790A" w:rsidRPr="00AF7DDB">
        <w:rPr>
          <w:rFonts w:eastAsiaTheme="minorEastAsia" w:hint="eastAsia"/>
          <w:bCs/>
          <w:sz w:val="24"/>
          <w:szCs w:val="24"/>
        </w:rPr>
        <w:t>导致上市公司财务报表合并范围发生变更，对公司治理结构及持续经营产生重大</w:t>
      </w:r>
      <w:r w:rsidR="000F1504" w:rsidRPr="00AF7DDB">
        <w:rPr>
          <w:rFonts w:eastAsiaTheme="minorEastAsia" w:hint="eastAsia"/>
          <w:bCs/>
          <w:sz w:val="24"/>
          <w:szCs w:val="24"/>
        </w:rPr>
        <w:t>不利</w:t>
      </w:r>
      <w:r w:rsidR="00DE2A16">
        <w:rPr>
          <w:rFonts w:eastAsiaTheme="minorEastAsia" w:hint="eastAsia"/>
          <w:bCs/>
          <w:sz w:val="24"/>
          <w:szCs w:val="24"/>
        </w:rPr>
        <w:t>影响，</w:t>
      </w:r>
      <w:r w:rsidR="00AF7DDB">
        <w:rPr>
          <w:rFonts w:eastAsiaTheme="minorEastAsia" w:hint="eastAsia"/>
          <w:bCs/>
          <w:sz w:val="24"/>
          <w:szCs w:val="24"/>
        </w:rPr>
        <w:t>且会</w:t>
      </w:r>
      <w:r w:rsidR="00AF7DDB" w:rsidRPr="00AF7DDB">
        <w:rPr>
          <w:rFonts w:eastAsiaTheme="minorEastAsia" w:hint="eastAsia"/>
          <w:sz w:val="24"/>
          <w:szCs w:val="24"/>
        </w:rPr>
        <w:t>导致募集资金及</w:t>
      </w:r>
      <w:proofErr w:type="gramStart"/>
      <w:r w:rsidR="00AF7DDB" w:rsidRPr="00AF7DDB">
        <w:rPr>
          <w:rFonts w:eastAsiaTheme="minorEastAsia" w:hint="eastAsia"/>
          <w:sz w:val="24"/>
          <w:szCs w:val="24"/>
        </w:rPr>
        <w:t>募投项目</w:t>
      </w:r>
      <w:proofErr w:type="gramEnd"/>
      <w:r w:rsidR="00AF7DDB">
        <w:rPr>
          <w:rFonts w:eastAsiaTheme="minorEastAsia" w:hint="eastAsia"/>
          <w:sz w:val="24"/>
          <w:szCs w:val="24"/>
        </w:rPr>
        <w:t>发生</w:t>
      </w:r>
      <w:r w:rsidR="00AF7DDB" w:rsidRPr="00AF7DDB">
        <w:rPr>
          <w:rFonts w:eastAsiaTheme="minorEastAsia" w:hint="eastAsia"/>
          <w:sz w:val="24"/>
          <w:szCs w:val="24"/>
        </w:rPr>
        <w:t>变更。</w:t>
      </w:r>
    </w:p>
    <w:p w14:paraId="1F8BCDB7" w14:textId="77777777" w:rsidR="00BD60E2" w:rsidRPr="000F1504" w:rsidRDefault="00BD60E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0F1504">
        <w:rPr>
          <w:rFonts w:eastAsiaTheme="minorEastAsia" w:hint="eastAsia"/>
          <w:bCs/>
          <w:sz w:val="24"/>
          <w:szCs w:val="24"/>
        </w:rPr>
        <w:t>（</w:t>
      </w:r>
      <w:r w:rsidR="002645E4">
        <w:rPr>
          <w:rFonts w:eastAsiaTheme="minorEastAsia" w:hint="eastAsia"/>
          <w:sz w:val="24"/>
          <w:szCs w:val="24"/>
        </w:rPr>
        <w:t>二</w:t>
      </w:r>
      <w:r w:rsidRPr="000F1504">
        <w:rPr>
          <w:rFonts w:eastAsiaTheme="minorEastAsia" w:hint="eastAsia"/>
          <w:sz w:val="24"/>
          <w:szCs w:val="24"/>
        </w:rPr>
        <w:t>）</w:t>
      </w:r>
      <w:r w:rsidRPr="000F1504">
        <w:rPr>
          <w:rFonts w:eastAsiaTheme="minorEastAsia"/>
          <w:sz w:val="24"/>
          <w:szCs w:val="24"/>
        </w:rPr>
        <w:t>公司将持续关注本次拍卖事项的进展情况，并按照相关规定及时履行信</w:t>
      </w:r>
      <w:r w:rsidR="003C6FFC">
        <w:rPr>
          <w:rFonts w:eastAsiaTheme="minorEastAsia"/>
          <w:sz w:val="24"/>
          <w:szCs w:val="24"/>
        </w:rPr>
        <w:t>息披露义务。公司所有信息均以在指定媒体刊登的信息为准</w:t>
      </w:r>
      <w:r w:rsidR="003C6FFC">
        <w:rPr>
          <w:rFonts w:eastAsiaTheme="minorEastAsia" w:hint="eastAsia"/>
          <w:sz w:val="24"/>
          <w:szCs w:val="24"/>
        </w:rPr>
        <w:t>，</w:t>
      </w:r>
      <w:r w:rsidRPr="000F1504">
        <w:rPr>
          <w:rFonts w:eastAsiaTheme="minorEastAsia"/>
          <w:sz w:val="24"/>
          <w:szCs w:val="24"/>
        </w:rPr>
        <w:t>敬请广大投资者注意投资风险。</w:t>
      </w:r>
    </w:p>
    <w:p w14:paraId="515FA252" w14:textId="77777777" w:rsidR="00BD60E2" w:rsidRPr="000F1504" w:rsidRDefault="00BD60E2">
      <w:pPr>
        <w:spacing w:line="360" w:lineRule="auto"/>
        <w:ind w:firstLineChars="200" w:firstLine="482"/>
        <w:rPr>
          <w:rFonts w:eastAsiaTheme="minorEastAsia"/>
          <w:b/>
          <w:sz w:val="24"/>
          <w:szCs w:val="24"/>
        </w:rPr>
      </w:pPr>
      <w:r w:rsidRPr="000F1504">
        <w:rPr>
          <w:rFonts w:eastAsiaTheme="minorEastAsia" w:hint="eastAsia"/>
          <w:b/>
          <w:sz w:val="24"/>
          <w:szCs w:val="24"/>
        </w:rPr>
        <w:t>三、风险提示</w:t>
      </w:r>
    </w:p>
    <w:p w14:paraId="5CE31082" w14:textId="77777777" w:rsidR="002B11DC" w:rsidRPr="000F1504" w:rsidRDefault="002B11DC" w:rsidP="002B11DC">
      <w:pPr>
        <w:spacing w:line="360" w:lineRule="auto"/>
        <w:ind w:firstLineChars="200" w:firstLine="480"/>
        <w:rPr>
          <w:rFonts w:eastAsiaTheme="minorEastAsia"/>
          <w:bCs/>
          <w:sz w:val="24"/>
          <w:szCs w:val="24"/>
        </w:rPr>
      </w:pPr>
      <w:r w:rsidRPr="000F1504">
        <w:rPr>
          <w:rFonts w:eastAsiaTheme="minorEastAsia"/>
          <w:bCs/>
          <w:sz w:val="24"/>
          <w:szCs w:val="24"/>
        </w:rPr>
        <w:t>（</w:t>
      </w:r>
      <w:r w:rsidRPr="000F1504">
        <w:rPr>
          <w:rFonts w:eastAsiaTheme="minorEastAsia" w:hint="eastAsia"/>
          <w:bCs/>
          <w:sz w:val="24"/>
          <w:szCs w:val="24"/>
        </w:rPr>
        <w:t>一</w:t>
      </w:r>
      <w:r w:rsidRPr="000F1504">
        <w:rPr>
          <w:rFonts w:eastAsiaTheme="minorEastAsia"/>
          <w:bCs/>
          <w:sz w:val="24"/>
          <w:szCs w:val="24"/>
        </w:rPr>
        <w:t>）截至本公告披露日，公司违规担保剩余所涉及诉讼公司可能需要承担</w:t>
      </w:r>
      <w:r w:rsidRPr="000F1504">
        <w:rPr>
          <w:rFonts w:eastAsiaTheme="minorEastAsia"/>
          <w:bCs/>
          <w:sz w:val="24"/>
          <w:szCs w:val="24"/>
        </w:rPr>
        <w:lastRenderedPageBreak/>
        <w:t>相应担保责任的违规担保本金余额为</w:t>
      </w:r>
      <w:r w:rsidRPr="000F1504">
        <w:rPr>
          <w:rFonts w:eastAsiaTheme="minorEastAsia"/>
          <w:bCs/>
          <w:sz w:val="24"/>
          <w:szCs w:val="24"/>
        </w:rPr>
        <w:t>150,279.47</w:t>
      </w:r>
      <w:r w:rsidRPr="000F1504">
        <w:rPr>
          <w:rFonts w:eastAsiaTheme="minorEastAsia"/>
          <w:bCs/>
          <w:sz w:val="24"/>
          <w:szCs w:val="24"/>
        </w:rPr>
        <w:t>万元，公司通过法院判决确定的需承担的担保金额约为</w:t>
      </w:r>
      <w:r w:rsidRPr="000F1504">
        <w:rPr>
          <w:rFonts w:eastAsiaTheme="minorEastAsia"/>
          <w:bCs/>
          <w:sz w:val="24"/>
          <w:szCs w:val="24"/>
        </w:rPr>
        <w:t>132,899.65</w:t>
      </w:r>
      <w:r w:rsidRPr="000F1504">
        <w:rPr>
          <w:rFonts w:eastAsiaTheme="minorEastAsia"/>
          <w:bCs/>
          <w:sz w:val="24"/>
          <w:szCs w:val="24"/>
        </w:rPr>
        <w:t>万元（不包含未定利息）。公司涉及诉讼的违规担保案件共计</w:t>
      </w:r>
      <w:r w:rsidRPr="000F1504">
        <w:rPr>
          <w:rFonts w:eastAsiaTheme="minorEastAsia"/>
          <w:bCs/>
          <w:sz w:val="24"/>
          <w:szCs w:val="24"/>
        </w:rPr>
        <w:t>17</w:t>
      </w:r>
      <w:r w:rsidRPr="000F1504">
        <w:rPr>
          <w:rFonts w:eastAsiaTheme="minorEastAsia"/>
          <w:bCs/>
          <w:sz w:val="24"/>
          <w:szCs w:val="24"/>
        </w:rPr>
        <w:t>件，</w:t>
      </w:r>
      <w:proofErr w:type="gramStart"/>
      <w:r w:rsidRPr="000F1504">
        <w:rPr>
          <w:rFonts w:eastAsiaTheme="minorEastAsia"/>
          <w:bCs/>
          <w:sz w:val="24"/>
          <w:szCs w:val="24"/>
        </w:rPr>
        <w:t>一审均</w:t>
      </w:r>
      <w:proofErr w:type="gramEnd"/>
      <w:r w:rsidRPr="000F1504">
        <w:rPr>
          <w:rFonts w:eastAsiaTheme="minorEastAsia"/>
          <w:bCs/>
          <w:sz w:val="24"/>
          <w:szCs w:val="24"/>
        </w:rPr>
        <w:t>已判决。</w:t>
      </w:r>
    </w:p>
    <w:p w14:paraId="0DFD3A93" w14:textId="77777777" w:rsidR="002B11DC" w:rsidRPr="000F1504" w:rsidRDefault="002B11DC" w:rsidP="002B11DC">
      <w:pPr>
        <w:spacing w:line="360" w:lineRule="auto"/>
        <w:ind w:firstLineChars="200" w:firstLine="480"/>
        <w:rPr>
          <w:rFonts w:eastAsiaTheme="minorEastAsia"/>
          <w:bCs/>
          <w:sz w:val="24"/>
          <w:szCs w:val="24"/>
        </w:rPr>
      </w:pPr>
      <w:r w:rsidRPr="000F1504">
        <w:rPr>
          <w:rFonts w:eastAsiaTheme="minorEastAsia"/>
          <w:bCs/>
          <w:sz w:val="24"/>
          <w:szCs w:val="24"/>
        </w:rPr>
        <w:t>（</w:t>
      </w:r>
      <w:r w:rsidRPr="000F1504">
        <w:rPr>
          <w:rFonts w:eastAsiaTheme="minorEastAsia" w:hint="eastAsia"/>
          <w:bCs/>
          <w:sz w:val="24"/>
          <w:szCs w:val="24"/>
        </w:rPr>
        <w:t>二</w:t>
      </w:r>
      <w:r w:rsidRPr="000F1504">
        <w:rPr>
          <w:rFonts w:eastAsiaTheme="minorEastAsia"/>
          <w:bCs/>
          <w:sz w:val="24"/>
          <w:szCs w:val="24"/>
        </w:rPr>
        <w:t>）因债务逾期，公司及下属子公司的资产及账户大部分已处于冻结状态，导致公司融资能力下降，加剧公司资金紧张状况，对公司业务发展造成不利影响。公司可能存在因债务逾期面临诉讼仲裁、银行账户冻结、资产被查封等进一步扩大的风险</w:t>
      </w:r>
      <w:r w:rsidRPr="000F1504">
        <w:rPr>
          <w:rFonts w:eastAsiaTheme="minorEastAsia"/>
          <w:bCs/>
          <w:sz w:val="24"/>
          <w:szCs w:val="24"/>
        </w:rPr>
        <w:t>,</w:t>
      </w:r>
      <w:r w:rsidRPr="000F1504">
        <w:rPr>
          <w:rFonts w:eastAsiaTheme="minorEastAsia"/>
          <w:bCs/>
          <w:sz w:val="24"/>
          <w:szCs w:val="24"/>
        </w:rPr>
        <w:t>可能对公司生产经营活动造成一定影响。</w:t>
      </w:r>
    </w:p>
    <w:p w14:paraId="5393EAD7" w14:textId="27A2AB89" w:rsidR="002B11DC" w:rsidRPr="000F1504" w:rsidRDefault="002B11DC" w:rsidP="00DB080E">
      <w:pPr>
        <w:spacing w:line="360" w:lineRule="auto"/>
        <w:ind w:firstLineChars="200" w:firstLine="480"/>
        <w:rPr>
          <w:rFonts w:eastAsiaTheme="minorEastAsia"/>
          <w:bCs/>
          <w:sz w:val="24"/>
          <w:szCs w:val="24"/>
        </w:rPr>
      </w:pPr>
      <w:r w:rsidRPr="000F1504">
        <w:rPr>
          <w:rFonts w:eastAsiaTheme="minorEastAsia"/>
          <w:bCs/>
          <w:sz w:val="24"/>
          <w:szCs w:val="24"/>
        </w:rPr>
        <w:t>（</w:t>
      </w:r>
      <w:r w:rsidRPr="000F1504">
        <w:rPr>
          <w:rFonts w:eastAsiaTheme="minorEastAsia" w:hint="eastAsia"/>
          <w:bCs/>
          <w:sz w:val="24"/>
          <w:szCs w:val="24"/>
        </w:rPr>
        <w:t>三</w:t>
      </w:r>
      <w:r w:rsidRPr="000F1504">
        <w:rPr>
          <w:rFonts w:eastAsiaTheme="minorEastAsia"/>
          <w:bCs/>
          <w:sz w:val="24"/>
          <w:szCs w:val="24"/>
        </w:rPr>
        <w:t>）公司于</w:t>
      </w:r>
      <w:r w:rsidRPr="000F1504">
        <w:rPr>
          <w:rFonts w:eastAsiaTheme="minorEastAsia"/>
          <w:bCs/>
          <w:sz w:val="24"/>
          <w:szCs w:val="24"/>
        </w:rPr>
        <w:t>2021</w:t>
      </w:r>
      <w:r w:rsidRPr="000F1504">
        <w:rPr>
          <w:rFonts w:eastAsiaTheme="minorEastAsia"/>
          <w:bCs/>
          <w:sz w:val="24"/>
          <w:szCs w:val="24"/>
        </w:rPr>
        <w:t>年</w:t>
      </w:r>
      <w:r w:rsidRPr="000F1504">
        <w:rPr>
          <w:rFonts w:eastAsiaTheme="minorEastAsia"/>
          <w:bCs/>
          <w:sz w:val="24"/>
          <w:szCs w:val="24"/>
        </w:rPr>
        <w:t>9</w:t>
      </w:r>
      <w:r w:rsidRPr="000F1504">
        <w:rPr>
          <w:rFonts w:eastAsiaTheme="minorEastAsia"/>
          <w:bCs/>
          <w:sz w:val="24"/>
          <w:szCs w:val="24"/>
        </w:rPr>
        <w:t>月</w:t>
      </w:r>
      <w:r w:rsidRPr="000F1504">
        <w:rPr>
          <w:rFonts w:eastAsiaTheme="minorEastAsia"/>
          <w:bCs/>
          <w:sz w:val="24"/>
          <w:szCs w:val="24"/>
        </w:rPr>
        <w:t>18</w:t>
      </w:r>
      <w:r w:rsidRPr="000F1504">
        <w:rPr>
          <w:rFonts w:eastAsiaTheme="minorEastAsia"/>
          <w:bCs/>
          <w:sz w:val="24"/>
          <w:szCs w:val="24"/>
        </w:rPr>
        <w:t>日收到中国证券监督管理委员会发来的《立案告知书》，因公司涉嫌信息披露违法违规，决定于</w:t>
      </w:r>
      <w:r w:rsidRPr="000F1504">
        <w:rPr>
          <w:rFonts w:eastAsiaTheme="minorEastAsia"/>
          <w:bCs/>
          <w:sz w:val="24"/>
          <w:szCs w:val="24"/>
        </w:rPr>
        <w:t>2021</w:t>
      </w:r>
      <w:r w:rsidRPr="000F1504">
        <w:rPr>
          <w:rFonts w:eastAsiaTheme="minorEastAsia"/>
          <w:bCs/>
          <w:sz w:val="24"/>
          <w:szCs w:val="24"/>
        </w:rPr>
        <w:t>年</w:t>
      </w:r>
      <w:r w:rsidRPr="000F1504">
        <w:rPr>
          <w:rFonts w:eastAsiaTheme="minorEastAsia"/>
          <w:bCs/>
          <w:sz w:val="24"/>
          <w:szCs w:val="24"/>
        </w:rPr>
        <w:t>9</w:t>
      </w:r>
      <w:r w:rsidRPr="000F1504">
        <w:rPr>
          <w:rFonts w:eastAsiaTheme="minorEastAsia"/>
          <w:bCs/>
          <w:sz w:val="24"/>
          <w:szCs w:val="24"/>
        </w:rPr>
        <w:t>月</w:t>
      </w:r>
      <w:r w:rsidRPr="000F1504">
        <w:rPr>
          <w:rFonts w:eastAsiaTheme="minorEastAsia"/>
          <w:bCs/>
          <w:sz w:val="24"/>
          <w:szCs w:val="24"/>
        </w:rPr>
        <w:t>1</w:t>
      </w:r>
      <w:r w:rsidRPr="000F1504">
        <w:rPr>
          <w:rFonts w:eastAsiaTheme="minorEastAsia"/>
          <w:bCs/>
          <w:sz w:val="24"/>
          <w:szCs w:val="24"/>
        </w:rPr>
        <w:t>日对公司进行立案。公司在被立案调查期间，不能进行公开发行证券、非公开发行股票、发行优先股、重大资产重组。</w:t>
      </w:r>
    </w:p>
    <w:p w14:paraId="0065AEA7" w14:textId="77777777" w:rsidR="008E457B" w:rsidRPr="005D2936" w:rsidRDefault="002B11DC" w:rsidP="008E457B">
      <w:pPr>
        <w:autoSpaceDE w:val="0"/>
        <w:autoSpaceDN w:val="0"/>
        <w:spacing w:line="520" w:lineRule="exact"/>
        <w:ind w:firstLineChars="200" w:firstLine="480"/>
        <w:rPr>
          <w:rFonts w:eastAsiaTheme="minorEastAsia"/>
          <w:sz w:val="24"/>
          <w:szCs w:val="24"/>
        </w:rPr>
      </w:pPr>
      <w:r w:rsidRPr="005D2936">
        <w:rPr>
          <w:rFonts w:eastAsiaTheme="minorEastAsia"/>
          <w:sz w:val="24"/>
          <w:szCs w:val="24"/>
        </w:rPr>
        <w:t>（</w:t>
      </w:r>
      <w:r w:rsidR="00DB080E" w:rsidRPr="005D2936">
        <w:rPr>
          <w:rFonts w:eastAsiaTheme="minorEastAsia" w:hint="eastAsia"/>
          <w:sz w:val="24"/>
          <w:szCs w:val="24"/>
        </w:rPr>
        <w:t>四</w:t>
      </w:r>
      <w:r w:rsidRPr="005D2936">
        <w:rPr>
          <w:rFonts w:eastAsiaTheme="minorEastAsia"/>
          <w:sz w:val="24"/>
          <w:szCs w:val="24"/>
        </w:rPr>
        <w:t>）</w:t>
      </w:r>
      <w:r w:rsidR="008E457B" w:rsidRPr="005D2936">
        <w:rPr>
          <w:rFonts w:eastAsiaTheme="minorEastAsia" w:hint="eastAsia"/>
          <w:sz w:val="24"/>
          <w:szCs w:val="24"/>
        </w:rPr>
        <w:t>公司破产事项</w:t>
      </w:r>
    </w:p>
    <w:p w14:paraId="1BDA1745" w14:textId="45FBFE1D" w:rsidR="008E457B" w:rsidRPr="005D2936" w:rsidRDefault="008E457B" w:rsidP="008E457B">
      <w:pPr>
        <w:autoSpaceDE w:val="0"/>
        <w:autoSpaceDN w:val="0"/>
        <w:spacing w:line="520" w:lineRule="exact"/>
        <w:ind w:firstLineChars="200" w:firstLine="480"/>
        <w:rPr>
          <w:rFonts w:eastAsiaTheme="minorEastAsia"/>
          <w:sz w:val="24"/>
          <w:szCs w:val="24"/>
        </w:rPr>
      </w:pPr>
      <w:r w:rsidRPr="005D2936">
        <w:rPr>
          <w:rFonts w:eastAsiaTheme="minorEastAsia"/>
          <w:sz w:val="24"/>
          <w:szCs w:val="24"/>
        </w:rPr>
        <w:t>1</w:t>
      </w:r>
      <w:r w:rsidRPr="005D2936">
        <w:rPr>
          <w:rFonts w:eastAsiaTheme="minorEastAsia" w:hint="eastAsia"/>
          <w:sz w:val="24"/>
          <w:szCs w:val="24"/>
        </w:rPr>
        <w:t>、</w:t>
      </w:r>
      <w:r w:rsidRPr="005D2936">
        <w:rPr>
          <w:rFonts w:eastAsiaTheme="minorEastAsia" w:hint="eastAsia"/>
          <w:sz w:val="24"/>
          <w:szCs w:val="24"/>
        </w:rPr>
        <w:t>公司已于</w:t>
      </w:r>
      <w:r w:rsidRPr="005D2936">
        <w:rPr>
          <w:rFonts w:eastAsiaTheme="minorEastAsia" w:hint="eastAsia"/>
          <w:sz w:val="24"/>
          <w:szCs w:val="24"/>
        </w:rPr>
        <w:t>2</w:t>
      </w:r>
      <w:r w:rsidRPr="005D2936">
        <w:rPr>
          <w:rFonts w:eastAsiaTheme="minorEastAsia"/>
          <w:sz w:val="24"/>
          <w:szCs w:val="24"/>
        </w:rPr>
        <w:t>021</w:t>
      </w:r>
      <w:r w:rsidRPr="005D2936">
        <w:rPr>
          <w:rFonts w:eastAsiaTheme="minorEastAsia" w:hint="eastAsia"/>
          <w:sz w:val="24"/>
          <w:szCs w:val="24"/>
        </w:rPr>
        <w:t>年</w:t>
      </w:r>
      <w:r w:rsidRPr="005D2936">
        <w:rPr>
          <w:rFonts w:eastAsiaTheme="minorEastAsia" w:hint="eastAsia"/>
          <w:sz w:val="24"/>
          <w:szCs w:val="24"/>
        </w:rPr>
        <w:t>11</w:t>
      </w:r>
      <w:r w:rsidRPr="005D2936">
        <w:rPr>
          <w:rFonts w:eastAsiaTheme="minorEastAsia" w:hint="eastAsia"/>
          <w:sz w:val="24"/>
          <w:szCs w:val="24"/>
        </w:rPr>
        <w:t>月</w:t>
      </w:r>
      <w:r w:rsidRPr="005D2936">
        <w:rPr>
          <w:rFonts w:eastAsiaTheme="minorEastAsia" w:hint="eastAsia"/>
          <w:sz w:val="24"/>
          <w:szCs w:val="24"/>
        </w:rPr>
        <w:t>26</w:t>
      </w:r>
      <w:r w:rsidRPr="005D2936">
        <w:rPr>
          <w:rFonts w:eastAsiaTheme="minorEastAsia" w:hint="eastAsia"/>
          <w:sz w:val="24"/>
          <w:szCs w:val="24"/>
        </w:rPr>
        <w:t>日收到</w:t>
      </w:r>
      <w:r w:rsidRPr="005D2936">
        <w:rPr>
          <w:rFonts w:eastAsiaTheme="minorEastAsia"/>
          <w:sz w:val="24"/>
          <w:szCs w:val="24"/>
        </w:rPr>
        <w:t>陕西省宝鸡市中级人民法院发来的破产重整《通知书》，</w:t>
      </w:r>
      <w:r w:rsidRPr="005D2936">
        <w:rPr>
          <w:rFonts w:eastAsiaTheme="minorEastAsia" w:hint="eastAsia"/>
          <w:sz w:val="24"/>
          <w:szCs w:val="24"/>
        </w:rPr>
        <w:t>详见公司于</w:t>
      </w:r>
      <w:r w:rsidRPr="005D2936">
        <w:rPr>
          <w:rFonts w:eastAsiaTheme="minorEastAsia" w:hint="eastAsia"/>
          <w:sz w:val="24"/>
          <w:szCs w:val="24"/>
        </w:rPr>
        <w:t>2021</w:t>
      </w:r>
      <w:r w:rsidRPr="005D2936">
        <w:rPr>
          <w:rFonts w:eastAsiaTheme="minorEastAsia" w:hint="eastAsia"/>
          <w:sz w:val="24"/>
          <w:szCs w:val="24"/>
        </w:rPr>
        <w:t>年</w:t>
      </w:r>
      <w:r w:rsidRPr="005D2936">
        <w:rPr>
          <w:rFonts w:eastAsiaTheme="minorEastAsia" w:hint="eastAsia"/>
          <w:sz w:val="24"/>
          <w:szCs w:val="24"/>
        </w:rPr>
        <w:t>11</w:t>
      </w:r>
      <w:r w:rsidRPr="005D2936">
        <w:rPr>
          <w:rFonts w:eastAsiaTheme="minorEastAsia" w:hint="eastAsia"/>
          <w:sz w:val="24"/>
          <w:szCs w:val="24"/>
        </w:rPr>
        <w:t>月</w:t>
      </w:r>
      <w:r w:rsidRPr="005D2936">
        <w:rPr>
          <w:rFonts w:eastAsiaTheme="minorEastAsia" w:hint="eastAsia"/>
          <w:sz w:val="24"/>
          <w:szCs w:val="24"/>
        </w:rPr>
        <w:t>27</w:t>
      </w:r>
      <w:r w:rsidRPr="005D2936">
        <w:rPr>
          <w:rFonts w:eastAsiaTheme="minorEastAsia" w:hint="eastAsia"/>
          <w:sz w:val="24"/>
          <w:szCs w:val="24"/>
        </w:rPr>
        <w:t>日披露的《</w:t>
      </w:r>
      <w:r w:rsidRPr="005D2936">
        <w:rPr>
          <w:rFonts w:eastAsiaTheme="minorEastAsia"/>
          <w:sz w:val="24"/>
          <w:szCs w:val="24"/>
        </w:rPr>
        <w:t>关于债权人向法院申请公司破产重整的提示性公告</w:t>
      </w:r>
      <w:r w:rsidRPr="005D2936">
        <w:rPr>
          <w:rFonts w:eastAsiaTheme="minorEastAsia" w:hint="eastAsia"/>
          <w:sz w:val="24"/>
          <w:szCs w:val="24"/>
        </w:rPr>
        <w:t>》（公告编号：</w:t>
      </w:r>
      <w:r w:rsidRPr="005D2936">
        <w:rPr>
          <w:rFonts w:eastAsiaTheme="minorEastAsia" w:hint="eastAsia"/>
          <w:sz w:val="24"/>
          <w:szCs w:val="24"/>
        </w:rPr>
        <w:t>2021-187</w:t>
      </w:r>
      <w:r w:rsidRPr="005D2936">
        <w:rPr>
          <w:rFonts w:eastAsiaTheme="minorEastAsia" w:hint="eastAsia"/>
          <w:sz w:val="24"/>
          <w:szCs w:val="24"/>
        </w:rPr>
        <w:t>），截至</w:t>
      </w:r>
      <w:r w:rsidRPr="005D2936">
        <w:rPr>
          <w:rFonts w:eastAsiaTheme="minorEastAsia"/>
          <w:sz w:val="24"/>
          <w:szCs w:val="24"/>
        </w:rPr>
        <w:t>目前，公司重整申请尚未收到法院受理裁定。</w:t>
      </w:r>
    </w:p>
    <w:p w14:paraId="18BB6AF1" w14:textId="7C971302" w:rsidR="008E457B" w:rsidRPr="005D2936" w:rsidRDefault="008E457B" w:rsidP="008E457B">
      <w:pPr>
        <w:autoSpaceDE w:val="0"/>
        <w:autoSpaceDN w:val="0"/>
        <w:spacing w:line="520" w:lineRule="exact"/>
        <w:ind w:firstLineChars="200" w:firstLine="480"/>
        <w:rPr>
          <w:rFonts w:eastAsiaTheme="minorEastAsia"/>
          <w:sz w:val="24"/>
          <w:szCs w:val="24"/>
        </w:rPr>
      </w:pPr>
      <w:r w:rsidRPr="005D2936">
        <w:rPr>
          <w:rFonts w:eastAsiaTheme="minorEastAsia"/>
          <w:sz w:val="24"/>
          <w:szCs w:val="24"/>
        </w:rPr>
        <w:t>2</w:t>
      </w:r>
      <w:r w:rsidRPr="005D2936">
        <w:rPr>
          <w:rFonts w:eastAsiaTheme="minorEastAsia" w:hint="eastAsia"/>
          <w:sz w:val="24"/>
          <w:szCs w:val="24"/>
        </w:rPr>
        <w:t>、</w:t>
      </w:r>
      <w:r w:rsidRPr="005D2936">
        <w:rPr>
          <w:rFonts w:eastAsiaTheme="minorEastAsia"/>
          <w:sz w:val="24"/>
          <w:szCs w:val="24"/>
        </w:rPr>
        <w:t>202</w:t>
      </w:r>
      <w:r w:rsidRPr="005D2936">
        <w:rPr>
          <w:rFonts w:eastAsiaTheme="minorEastAsia" w:hint="eastAsia"/>
          <w:sz w:val="24"/>
          <w:szCs w:val="24"/>
        </w:rPr>
        <w:t>2</w:t>
      </w:r>
      <w:r w:rsidRPr="005D2936">
        <w:rPr>
          <w:rFonts w:eastAsiaTheme="minorEastAsia"/>
          <w:sz w:val="24"/>
          <w:szCs w:val="24"/>
        </w:rPr>
        <w:t>年</w:t>
      </w:r>
      <w:r w:rsidRPr="005D2936">
        <w:rPr>
          <w:rFonts w:eastAsiaTheme="minorEastAsia" w:hint="eastAsia"/>
          <w:sz w:val="24"/>
          <w:szCs w:val="24"/>
        </w:rPr>
        <w:t>2</w:t>
      </w:r>
      <w:r w:rsidRPr="005D2936">
        <w:rPr>
          <w:rFonts w:eastAsiaTheme="minorEastAsia"/>
          <w:sz w:val="24"/>
          <w:szCs w:val="24"/>
        </w:rPr>
        <w:t>月</w:t>
      </w:r>
      <w:r w:rsidRPr="005D2936">
        <w:rPr>
          <w:rFonts w:eastAsiaTheme="minorEastAsia" w:hint="eastAsia"/>
          <w:sz w:val="24"/>
          <w:szCs w:val="24"/>
        </w:rPr>
        <w:t>2</w:t>
      </w:r>
      <w:r w:rsidRPr="005D2936">
        <w:rPr>
          <w:rFonts w:eastAsiaTheme="minorEastAsia"/>
          <w:sz w:val="24"/>
          <w:szCs w:val="24"/>
        </w:rPr>
        <w:t>4</w:t>
      </w:r>
      <w:r w:rsidRPr="005D2936">
        <w:rPr>
          <w:rFonts w:eastAsiaTheme="minorEastAsia"/>
          <w:sz w:val="24"/>
          <w:szCs w:val="24"/>
        </w:rPr>
        <w:t>日，</w:t>
      </w:r>
      <w:bookmarkStart w:id="0" w:name="_Hlk96696396"/>
      <w:r w:rsidRPr="005D2936">
        <w:rPr>
          <w:rFonts w:eastAsiaTheme="minorEastAsia" w:hint="eastAsia"/>
          <w:sz w:val="24"/>
          <w:szCs w:val="24"/>
        </w:rPr>
        <w:t>全资子公司青岛中天能源集团股份有限公司</w:t>
      </w:r>
      <w:bookmarkEnd w:id="0"/>
      <w:r w:rsidRPr="005D2936">
        <w:rPr>
          <w:rFonts w:eastAsiaTheme="minorEastAsia"/>
          <w:sz w:val="24"/>
          <w:szCs w:val="24"/>
        </w:rPr>
        <w:t>收到</w:t>
      </w:r>
      <w:r w:rsidRPr="005D2936">
        <w:rPr>
          <w:rFonts w:eastAsiaTheme="minorEastAsia" w:hint="eastAsia"/>
          <w:sz w:val="24"/>
          <w:szCs w:val="24"/>
        </w:rPr>
        <w:t>山东省青岛市中级人民法院发来的（</w:t>
      </w:r>
      <w:r w:rsidRPr="005D2936">
        <w:rPr>
          <w:rFonts w:eastAsiaTheme="minorEastAsia" w:hint="eastAsia"/>
          <w:sz w:val="24"/>
          <w:szCs w:val="24"/>
        </w:rPr>
        <w:t>2</w:t>
      </w:r>
      <w:r w:rsidRPr="005D2936">
        <w:rPr>
          <w:rFonts w:eastAsiaTheme="minorEastAsia"/>
          <w:sz w:val="24"/>
          <w:szCs w:val="24"/>
        </w:rPr>
        <w:t>022</w:t>
      </w:r>
      <w:r w:rsidRPr="005D2936">
        <w:rPr>
          <w:rFonts w:eastAsiaTheme="minorEastAsia" w:hint="eastAsia"/>
          <w:sz w:val="24"/>
          <w:szCs w:val="24"/>
        </w:rPr>
        <w:t>）鲁</w:t>
      </w:r>
      <w:r w:rsidRPr="005D2936">
        <w:rPr>
          <w:rFonts w:eastAsiaTheme="minorEastAsia" w:hint="eastAsia"/>
          <w:sz w:val="24"/>
          <w:szCs w:val="24"/>
        </w:rPr>
        <w:t>0</w:t>
      </w:r>
      <w:r w:rsidRPr="005D2936">
        <w:rPr>
          <w:rFonts w:eastAsiaTheme="minorEastAsia"/>
          <w:sz w:val="24"/>
          <w:szCs w:val="24"/>
        </w:rPr>
        <w:t>2</w:t>
      </w:r>
      <w:proofErr w:type="gramStart"/>
      <w:r w:rsidRPr="005D2936">
        <w:rPr>
          <w:rFonts w:eastAsiaTheme="minorEastAsia" w:hint="eastAsia"/>
          <w:sz w:val="24"/>
          <w:szCs w:val="24"/>
        </w:rPr>
        <w:t>破申</w:t>
      </w:r>
      <w:r w:rsidRPr="005D2936">
        <w:rPr>
          <w:rFonts w:eastAsiaTheme="minorEastAsia" w:hint="eastAsia"/>
          <w:sz w:val="24"/>
          <w:szCs w:val="24"/>
        </w:rPr>
        <w:t>2</w:t>
      </w:r>
      <w:r w:rsidRPr="005D2936">
        <w:rPr>
          <w:rFonts w:eastAsiaTheme="minorEastAsia" w:hint="eastAsia"/>
          <w:sz w:val="24"/>
          <w:szCs w:val="24"/>
        </w:rPr>
        <w:t>号</w:t>
      </w:r>
      <w:proofErr w:type="gramEnd"/>
      <w:r w:rsidRPr="005D2936">
        <w:rPr>
          <w:rFonts w:eastAsiaTheme="minorEastAsia" w:hint="eastAsia"/>
          <w:sz w:val="24"/>
          <w:szCs w:val="24"/>
        </w:rPr>
        <w:t>《民事裁定书》，申请人北京冬冬投资有限公司向青岛中院申请对青岛中天</w:t>
      </w:r>
      <w:r w:rsidRPr="005D2936">
        <w:rPr>
          <w:rFonts w:eastAsiaTheme="minorEastAsia"/>
          <w:sz w:val="24"/>
          <w:szCs w:val="24"/>
        </w:rPr>
        <w:t>进行</w:t>
      </w:r>
      <w:r w:rsidRPr="005D2936">
        <w:rPr>
          <w:rFonts w:eastAsiaTheme="minorEastAsia" w:hint="eastAsia"/>
          <w:sz w:val="24"/>
          <w:szCs w:val="24"/>
        </w:rPr>
        <w:t>破产</w:t>
      </w:r>
      <w:r w:rsidRPr="005D2936">
        <w:rPr>
          <w:rFonts w:eastAsiaTheme="minorEastAsia"/>
          <w:sz w:val="24"/>
          <w:szCs w:val="24"/>
        </w:rPr>
        <w:t>重整。</w:t>
      </w:r>
      <w:r w:rsidRPr="005D2936">
        <w:rPr>
          <w:rFonts w:eastAsiaTheme="minorEastAsia" w:hint="eastAsia"/>
          <w:sz w:val="24"/>
          <w:szCs w:val="24"/>
        </w:rPr>
        <w:t>法院</w:t>
      </w:r>
      <w:r w:rsidRPr="005D2936">
        <w:rPr>
          <w:rFonts w:eastAsiaTheme="minorEastAsia"/>
          <w:sz w:val="24"/>
          <w:szCs w:val="24"/>
        </w:rPr>
        <w:t>裁定受理</w:t>
      </w:r>
      <w:r w:rsidRPr="005D2936">
        <w:rPr>
          <w:rFonts w:eastAsiaTheme="minorEastAsia" w:hint="eastAsia"/>
          <w:sz w:val="24"/>
          <w:szCs w:val="24"/>
        </w:rPr>
        <w:t>北京冬冬对青岛中天的重整申请</w:t>
      </w:r>
      <w:r w:rsidRPr="005D2936">
        <w:rPr>
          <w:rFonts w:eastAsiaTheme="minorEastAsia"/>
          <w:sz w:val="24"/>
          <w:szCs w:val="24"/>
        </w:rPr>
        <w:t>，并指定</w:t>
      </w:r>
      <w:r w:rsidRPr="005D2936">
        <w:rPr>
          <w:rFonts w:eastAsiaTheme="minorEastAsia" w:hint="eastAsia"/>
          <w:sz w:val="24"/>
          <w:szCs w:val="24"/>
        </w:rPr>
        <w:t>北京浩天律师事务所与泰和泰（济南）律师事务所（联合申报）为青岛中天破产重整管理人。</w:t>
      </w:r>
    </w:p>
    <w:p w14:paraId="6C40C658" w14:textId="77777777" w:rsidR="008E457B" w:rsidRPr="005D2936" w:rsidRDefault="008E457B" w:rsidP="008E457B">
      <w:pPr>
        <w:tabs>
          <w:tab w:val="left" w:pos="709"/>
        </w:tabs>
        <w:autoSpaceDE w:val="0"/>
        <w:autoSpaceDN w:val="0"/>
        <w:spacing w:line="500" w:lineRule="exact"/>
        <w:ind w:firstLineChars="200" w:firstLine="480"/>
        <w:rPr>
          <w:rFonts w:eastAsiaTheme="minorEastAsia"/>
          <w:sz w:val="24"/>
          <w:szCs w:val="24"/>
        </w:rPr>
      </w:pPr>
      <w:r w:rsidRPr="005D2936">
        <w:rPr>
          <w:rFonts w:eastAsiaTheme="minorEastAsia"/>
          <w:sz w:val="24"/>
          <w:szCs w:val="24"/>
        </w:rPr>
        <w:t>3</w:t>
      </w:r>
      <w:r w:rsidRPr="005D2936">
        <w:rPr>
          <w:rFonts w:eastAsiaTheme="minorEastAsia" w:hint="eastAsia"/>
          <w:sz w:val="24"/>
          <w:szCs w:val="24"/>
        </w:rPr>
        <w:t>、</w:t>
      </w:r>
      <w:r w:rsidRPr="005D2936">
        <w:rPr>
          <w:rFonts w:eastAsiaTheme="minorEastAsia" w:hint="eastAsia"/>
          <w:sz w:val="24"/>
          <w:szCs w:val="24"/>
        </w:rPr>
        <w:t>2</w:t>
      </w:r>
      <w:r w:rsidRPr="005D2936">
        <w:rPr>
          <w:rFonts w:eastAsiaTheme="minorEastAsia"/>
          <w:sz w:val="24"/>
          <w:szCs w:val="24"/>
        </w:rPr>
        <w:t>022</w:t>
      </w:r>
      <w:r w:rsidRPr="005D2936">
        <w:rPr>
          <w:rFonts w:eastAsiaTheme="minorEastAsia"/>
          <w:sz w:val="24"/>
          <w:szCs w:val="24"/>
        </w:rPr>
        <w:t>年</w:t>
      </w:r>
      <w:r w:rsidRPr="005D2936">
        <w:rPr>
          <w:rFonts w:eastAsiaTheme="minorEastAsia"/>
          <w:sz w:val="24"/>
          <w:szCs w:val="24"/>
        </w:rPr>
        <w:t>6</w:t>
      </w:r>
      <w:r w:rsidRPr="005D2936">
        <w:rPr>
          <w:rFonts w:eastAsiaTheme="minorEastAsia"/>
          <w:sz w:val="24"/>
          <w:szCs w:val="24"/>
        </w:rPr>
        <w:t>月</w:t>
      </w:r>
      <w:r w:rsidRPr="005D2936">
        <w:rPr>
          <w:rFonts w:eastAsiaTheme="minorEastAsia" w:hint="eastAsia"/>
          <w:sz w:val="24"/>
          <w:szCs w:val="24"/>
        </w:rPr>
        <w:t>1</w:t>
      </w:r>
      <w:r w:rsidRPr="005D2936">
        <w:rPr>
          <w:rFonts w:eastAsiaTheme="minorEastAsia"/>
          <w:sz w:val="24"/>
          <w:szCs w:val="24"/>
        </w:rPr>
        <w:t>5</w:t>
      </w:r>
      <w:r w:rsidRPr="005D2936">
        <w:rPr>
          <w:rFonts w:eastAsiaTheme="minorEastAsia"/>
          <w:sz w:val="24"/>
          <w:szCs w:val="24"/>
        </w:rPr>
        <w:t>日，</w:t>
      </w:r>
      <w:proofErr w:type="gramStart"/>
      <w:r w:rsidRPr="005D2936">
        <w:rPr>
          <w:rFonts w:eastAsiaTheme="minorEastAsia"/>
          <w:sz w:val="24"/>
          <w:szCs w:val="24"/>
        </w:rPr>
        <w:t>中兴天</w:t>
      </w:r>
      <w:proofErr w:type="gramEnd"/>
      <w:r w:rsidRPr="005D2936">
        <w:rPr>
          <w:rFonts w:eastAsiaTheme="minorEastAsia"/>
          <w:sz w:val="24"/>
          <w:szCs w:val="24"/>
        </w:rPr>
        <w:t>恒能源科技（北京）股份公司收到</w:t>
      </w:r>
      <w:r w:rsidRPr="005D2936">
        <w:rPr>
          <w:rFonts w:eastAsiaTheme="minorEastAsia" w:hint="eastAsia"/>
          <w:sz w:val="24"/>
          <w:szCs w:val="24"/>
        </w:rPr>
        <w:t>北京市第一中级人民法院发来的《通知书》，申请人北京本度律师事务所以公</w:t>
      </w:r>
      <w:r w:rsidRPr="005D2936">
        <w:rPr>
          <w:rFonts w:eastAsiaTheme="minorEastAsia"/>
          <w:sz w:val="24"/>
          <w:szCs w:val="24"/>
        </w:rPr>
        <w:t>司不能清偿到期债务并</w:t>
      </w:r>
      <w:r w:rsidRPr="005D2936">
        <w:rPr>
          <w:rFonts w:eastAsiaTheme="minorEastAsia" w:hint="eastAsia"/>
          <w:sz w:val="24"/>
          <w:szCs w:val="24"/>
        </w:rPr>
        <w:t>且明显缺乏清偿能力为由，以债权人名义向北京一中院申请对公司</w:t>
      </w:r>
      <w:r w:rsidRPr="005D2936">
        <w:rPr>
          <w:rFonts w:eastAsiaTheme="minorEastAsia"/>
          <w:sz w:val="24"/>
          <w:szCs w:val="24"/>
        </w:rPr>
        <w:t>进行</w:t>
      </w:r>
      <w:r w:rsidRPr="005D2936">
        <w:rPr>
          <w:rFonts w:eastAsiaTheme="minorEastAsia" w:hint="eastAsia"/>
          <w:sz w:val="24"/>
          <w:szCs w:val="24"/>
        </w:rPr>
        <w:t>破产</w:t>
      </w:r>
      <w:r w:rsidRPr="005D2936">
        <w:rPr>
          <w:rFonts w:eastAsiaTheme="minorEastAsia"/>
          <w:sz w:val="24"/>
          <w:szCs w:val="24"/>
        </w:rPr>
        <w:t>清算，截至目前尚未受理。</w:t>
      </w:r>
    </w:p>
    <w:p w14:paraId="07FA4E54" w14:textId="3166B68B" w:rsidR="008E457B" w:rsidRPr="005D2936" w:rsidRDefault="008E457B" w:rsidP="008E457B">
      <w:pPr>
        <w:tabs>
          <w:tab w:val="left" w:pos="709"/>
        </w:tabs>
        <w:autoSpaceDE w:val="0"/>
        <w:autoSpaceDN w:val="0"/>
        <w:spacing w:line="500" w:lineRule="exact"/>
        <w:ind w:firstLineChars="200" w:firstLine="480"/>
        <w:rPr>
          <w:rFonts w:eastAsiaTheme="minorEastAsia"/>
          <w:sz w:val="24"/>
          <w:szCs w:val="24"/>
        </w:rPr>
      </w:pPr>
      <w:r w:rsidRPr="005D2936">
        <w:rPr>
          <w:rFonts w:eastAsiaTheme="minorEastAsia"/>
          <w:sz w:val="24"/>
          <w:szCs w:val="24"/>
        </w:rPr>
        <w:t>4</w:t>
      </w:r>
      <w:r w:rsidRPr="005D2936">
        <w:rPr>
          <w:rFonts w:eastAsiaTheme="minorEastAsia" w:hint="eastAsia"/>
          <w:sz w:val="24"/>
          <w:szCs w:val="24"/>
        </w:rPr>
        <w:t>、</w:t>
      </w:r>
      <w:r w:rsidRPr="005D2936">
        <w:rPr>
          <w:rFonts w:eastAsiaTheme="minorEastAsia" w:hint="eastAsia"/>
          <w:sz w:val="24"/>
          <w:szCs w:val="24"/>
        </w:rPr>
        <w:t>2</w:t>
      </w:r>
      <w:r w:rsidRPr="005D2936">
        <w:rPr>
          <w:rFonts w:eastAsiaTheme="minorEastAsia"/>
          <w:sz w:val="24"/>
          <w:szCs w:val="24"/>
        </w:rPr>
        <w:t>022</w:t>
      </w:r>
      <w:r w:rsidRPr="005D2936">
        <w:rPr>
          <w:rFonts w:eastAsiaTheme="minorEastAsia"/>
          <w:sz w:val="24"/>
          <w:szCs w:val="24"/>
        </w:rPr>
        <w:t>年</w:t>
      </w:r>
      <w:r w:rsidRPr="005D2936">
        <w:rPr>
          <w:rFonts w:eastAsiaTheme="minorEastAsia"/>
          <w:sz w:val="24"/>
          <w:szCs w:val="24"/>
        </w:rPr>
        <w:t>6</w:t>
      </w:r>
      <w:r w:rsidRPr="005D2936">
        <w:rPr>
          <w:rFonts w:eastAsiaTheme="minorEastAsia"/>
          <w:sz w:val="24"/>
          <w:szCs w:val="24"/>
        </w:rPr>
        <w:t>月</w:t>
      </w:r>
      <w:r w:rsidRPr="005D2936">
        <w:rPr>
          <w:rFonts w:eastAsiaTheme="minorEastAsia"/>
          <w:sz w:val="24"/>
          <w:szCs w:val="24"/>
        </w:rPr>
        <w:t>22</w:t>
      </w:r>
      <w:r w:rsidRPr="005D2936">
        <w:rPr>
          <w:rFonts w:eastAsiaTheme="minorEastAsia"/>
          <w:sz w:val="24"/>
          <w:szCs w:val="24"/>
        </w:rPr>
        <w:t>日，</w:t>
      </w:r>
      <w:r w:rsidRPr="005D2936">
        <w:rPr>
          <w:rFonts w:eastAsiaTheme="minorEastAsia" w:hint="eastAsia"/>
          <w:sz w:val="24"/>
          <w:szCs w:val="24"/>
        </w:rPr>
        <w:t>公司</w:t>
      </w:r>
      <w:r w:rsidRPr="005D2936">
        <w:rPr>
          <w:rFonts w:eastAsiaTheme="minorEastAsia"/>
          <w:sz w:val="24"/>
          <w:szCs w:val="24"/>
        </w:rPr>
        <w:t>收到</w:t>
      </w:r>
      <w:r w:rsidRPr="005D2936">
        <w:rPr>
          <w:rFonts w:eastAsiaTheme="minorEastAsia" w:hint="eastAsia"/>
          <w:sz w:val="24"/>
          <w:szCs w:val="24"/>
        </w:rPr>
        <w:t>浙江省嘉兴市南湖区人民法院发来的《通知书》，申请人刘江以浙江中天能源有限公司（控股孙公司）</w:t>
      </w:r>
      <w:r w:rsidRPr="005D2936">
        <w:rPr>
          <w:rFonts w:eastAsiaTheme="minorEastAsia"/>
          <w:sz w:val="24"/>
          <w:szCs w:val="24"/>
        </w:rPr>
        <w:t>不能清偿到期债务</w:t>
      </w:r>
      <w:r w:rsidRPr="005D2936">
        <w:rPr>
          <w:rFonts w:eastAsiaTheme="minorEastAsia" w:hint="eastAsia"/>
          <w:sz w:val="24"/>
          <w:szCs w:val="24"/>
        </w:rPr>
        <w:t>，并且资产不足以清偿全部债务或者明显缺乏清偿能力为由，申请对浙江中天进行破产</w:t>
      </w:r>
      <w:r w:rsidRPr="005D2936">
        <w:rPr>
          <w:rFonts w:eastAsiaTheme="minorEastAsia"/>
          <w:sz w:val="24"/>
          <w:szCs w:val="24"/>
        </w:rPr>
        <w:t>清</w:t>
      </w:r>
      <w:r w:rsidRPr="005D2936">
        <w:rPr>
          <w:rFonts w:eastAsiaTheme="minorEastAsia"/>
          <w:sz w:val="24"/>
          <w:szCs w:val="24"/>
        </w:rPr>
        <w:lastRenderedPageBreak/>
        <w:t>算。</w:t>
      </w:r>
    </w:p>
    <w:p w14:paraId="5C5E05BC" w14:textId="3154D438" w:rsidR="005D2936" w:rsidRPr="005D2936" w:rsidRDefault="005D2936" w:rsidP="005D2936">
      <w:pPr>
        <w:spacing w:line="520" w:lineRule="exact"/>
        <w:ind w:firstLine="480"/>
        <w:jc w:val="left"/>
        <w:rPr>
          <w:rFonts w:eastAsiaTheme="minorEastAsia"/>
          <w:sz w:val="24"/>
          <w:szCs w:val="24"/>
        </w:rPr>
      </w:pPr>
      <w:r w:rsidRPr="005D2936">
        <w:rPr>
          <w:rFonts w:eastAsiaTheme="minorEastAsia"/>
          <w:sz w:val="24"/>
          <w:szCs w:val="24"/>
        </w:rPr>
        <w:t>鉴于该等事项存在重大不确定性，公司董事会提醒广大投资者：有关公司的所有信息均以公司正式刊登的公告内容为准。敬请广大投资者理性投资，注意投资风险</w:t>
      </w:r>
      <w:r w:rsidRPr="005D2936">
        <w:rPr>
          <w:rFonts w:eastAsiaTheme="minorEastAsia" w:hint="eastAsia"/>
          <w:sz w:val="24"/>
          <w:szCs w:val="24"/>
        </w:rPr>
        <w:t>。</w:t>
      </w:r>
    </w:p>
    <w:p w14:paraId="62C42783" w14:textId="77777777" w:rsidR="00E92886" w:rsidRPr="005D2936" w:rsidRDefault="00E92886">
      <w:pPr>
        <w:spacing w:line="360" w:lineRule="auto"/>
        <w:rPr>
          <w:rFonts w:eastAsiaTheme="minorEastAsia"/>
          <w:sz w:val="24"/>
          <w:szCs w:val="24"/>
        </w:rPr>
      </w:pPr>
    </w:p>
    <w:p w14:paraId="1A2CAC81" w14:textId="77777777" w:rsidR="00E92886" w:rsidRPr="000F1504" w:rsidRDefault="003040FB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0F1504">
        <w:rPr>
          <w:rFonts w:eastAsiaTheme="minorEastAsia"/>
          <w:sz w:val="24"/>
          <w:szCs w:val="24"/>
        </w:rPr>
        <w:t>特此公告。</w:t>
      </w:r>
      <w:r w:rsidRPr="000F1504">
        <w:rPr>
          <w:rFonts w:eastAsiaTheme="minorEastAsia"/>
          <w:sz w:val="24"/>
          <w:szCs w:val="24"/>
        </w:rPr>
        <w:t xml:space="preserve"> </w:t>
      </w:r>
    </w:p>
    <w:p w14:paraId="3EE28829" w14:textId="77777777" w:rsidR="00E92886" w:rsidRPr="000F1504" w:rsidRDefault="003040FB" w:rsidP="00B03035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0F1504">
        <w:rPr>
          <w:rFonts w:eastAsiaTheme="minorEastAsia"/>
          <w:sz w:val="24"/>
          <w:szCs w:val="24"/>
        </w:rPr>
        <w:t xml:space="preserve"> </w:t>
      </w:r>
    </w:p>
    <w:p w14:paraId="138E68AF" w14:textId="77777777" w:rsidR="00C40E00" w:rsidRPr="000F1504" w:rsidRDefault="00C40E00" w:rsidP="00B03035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14:paraId="5952C89B" w14:textId="77777777" w:rsidR="00587109" w:rsidRPr="000F1504" w:rsidRDefault="003040FB">
      <w:pPr>
        <w:spacing w:line="360" w:lineRule="auto"/>
        <w:ind w:firstLineChars="200" w:firstLine="480"/>
        <w:jc w:val="right"/>
        <w:rPr>
          <w:rFonts w:eastAsiaTheme="minorEastAsia"/>
          <w:sz w:val="24"/>
          <w:szCs w:val="24"/>
        </w:rPr>
      </w:pPr>
      <w:r w:rsidRPr="000F1504">
        <w:rPr>
          <w:rFonts w:eastAsiaTheme="minorEastAsia"/>
          <w:sz w:val="24"/>
          <w:szCs w:val="24"/>
        </w:rPr>
        <w:t xml:space="preserve">                    </w:t>
      </w:r>
      <w:proofErr w:type="gramStart"/>
      <w:r w:rsidR="00E42BE3" w:rsidRPr="000F1504">
        <w:rPr>
          <w:rFonts w:eastAsiaTheme="minorEastAsia"/>
          <w:sz w:val="24"/>
          <w:szCs w:val="24"/>
        </w:rPr>
        <w:t>中兴天</w:t>
      </w:r>
      <w:proofErr w:type="gramEnd"/>
      <w:r w:rsidR="00E42BE3" w:rsidRPr="000F1504">
        <w:rPr>
          <w:rFonts w:eastAsiaTheme="minorEastAsia"/>
          <w:sz w:val="24"/>
          <w:szCs w:val="24"/>
        </w:rPr>
        <w:t>恒能源科技（北京）股份有限公司</w:t>
      </w:r>
    </w:p>
    <w:p w14:paraId="57E6C3A4" w14:textId="77777777" w:rsidR="00E92886" w:rsidRPr="000F1504" w:rsidRDefault="003040FB" w:rsidP="00587109">
      <w:pPr>
        <w:spacing w:line="360" w:lineRule="auto"/>
        <w:ind w:right="960" w:firstLineChars="2400" w:firstLine="5760"/>
        <w:rPr>
          <w:rFonts w:eastAsiaTheme="minorEastAsia"/>
          <w:sz w:val="24"/>
          <w:szCs w:val="24"/>
        </w:rPr>
      </w:pPr>
      <w:r w:rsidRPr="000F1504">
        <w:rPr>
          <w:rFonts w:eastAsiaTheme="minorEastAsia"/>
          <w:sz w:val="24"/>
          <w:szCs w:val="24"/>
        </w:rPr>
        <w:t>董</w:t>
      </w:r>
      <w:r w:rsidR="00587109" w:rsidRPr="000F1504">
        <w:rPr>
          <w:rFonts w:eastAsiaTheme="minorEastAsia" w:hint="eastAsia"/>
          <w:sz w:val="24"/>
          <w:szCs w:val="24"/>
        </w:rPr>
        <w:t xml:space="preserve"> </w:t>
      </w:r>
      <w:r w:rsidRPr="000F1504">
        <w:rPr>
          <w:rFonts w:eastAsiaTheme="minorEastAsia"/>
          <w:sz w:val="24"/>
          <w:szCs w:val="24"/>
        </w:rPr>
        <w:t>事</w:t>
      </w:r>
      <w:r w:rsidR="00587109" w:rsidRPr="000F1504">
        <w:rPr>
          <w:rFonts w:eastAsiaTheme="minorEastAsia" w:hint="eastAsia"/>
          <w:sz w:val="24"/>
          <w:szCs w:val="24"/>
        </w:rPr>
        <w:t xml:space="preserve"> </w:t>
      </w:r>
      <w:r w:rsidRPr="000F1504">
        <w:rPr>
          <w:rFonts w:eastAsiaTheme="minorEastAsia"/>
          <w:sz w:val="24"/>
          <w:szCs w:val="24"/>
        </w:rPr>
        <w:t>会</w:t>
      </w:r>
      <w:r w:rsidRPr="000F1504">
        <w:rPr>
          <w:rFonts w:eastAsiaTheme="minorEastAsia"/>
          <w:sz w:val="24"/>
          <w:szCs w:val="24"/>
        </w:rPr>
        <w:t xml:space="preserve"> </w:t>
      </w:r>
    </w:p>
    <w:p w14:paraId="4AEC428B" w14:textId="0FC709CD" w:rsidR="00E92886" w:rsidRDefault="003040FB">
      <w:pPr>
        <w:spacing w:line="360" w:lineRule="auto"/>
        <w:ind w:firstLineChars="200" w:firstLine="480"/>
        <w:jc w:val="center"/>
        <w:rPr>
          <w:rFonts w:eastAsiaTheme="minorEastAsia"/>
          <w:sz w:val="24"/>
          <w:szCs w:val="24"/>
        </w:rPr>
      </w:pPr>
      <w:r w:rsidRPr="000F1504">
        <w:rPr>
          <w:rFonts w:eastAsiaTheme="minorEastAsia"/>
          <w:sz w:val="24"/>
          <w:szCs w:val="24"/>
        </w:rPr>
        <w:t xml:space="preserve">   </w:t>
      </w:r>
      <w:r w:rsidR="00587109" w:rsidRPr="000F1504">
        <w:rPr>
          <w:rFonts w:eastAsiaTheme="minorEastAsia"/>
          <w:sz w:val="24"/>
          <w:szCs w:val="24"/>
        </w:rPr>
        <w:t xml:space="preserve">                         </w:t>
      </w:r>
      <w:r w:rsidRPr="000F1504">
        <w:rPr>
          <w:rFonts w:eastAsiaTheme="minorEastAsia"/>
          <w:sz w:val="24"/>
          <w:szCs w:val="24"/>
        </w:rPr>
        <w:t xml:space="preserve"> 20</w:t>
      </w:r>
      <w:r w:rsidR="00587109" w:rsidRPr="000F1504">
        <w:rPr>
          <w:rFonts w:eastAsiaTheme="minorEastAsia"/>
          <w:sz w:val="24"/>
          <w:szCs w:val="24"/>
        </w:rPr>
        <w:t>2</w:t>
      </w:r>
      <w:r w:rsidR="005D2936">
        <w:rPr>
          <w:rFonts w:eastAsiaTheme="minorEastAsia"/>
          <w:sz w:val="24"/>
          <w:szCs w:val="24"/>
        </w:rPr>
        <w:t>2</w:t>
      </w:r>
      <w:r w:rsidRPr="000F1504">
        <w:rPr>
          <w:rFonts w:eastAsiaTheme="minorEastAsia"/>
          <w:sz w:val="24"/>
          <w:szCs w:val="24"/>
        </w:rPr>
        <w:t>年</w:t>
      </w:r>
      <w:r w:rsidR="005D2936">
        <w:rPr>
          <w:rFonts w:eastAsiaTheme="minorEastAsia"/>
          <w:sz w:val="24"/>
          <w:szCs w:val="24"/>
        </w:rPr>
        <w:t>7</w:t>
      </w:r>
      <w:r w:rsidRPr="000F1504">
        <w:rPr>
          <w:rFonts w:eastAsiaTheme="minorEastAsia"/>
          <w:sz w:val="24"/>
          <w:szCs w:val="24"/>
        </w:rPr>
        <w:t>月</w:t>
      </w:r>
      <w:r w:rsidR="005D2936">
        <w:rPr>
          <w:rFonts w:eastAsiaTheme="minorEastAsia"/>
          <w:sz w:val="24"/>
          <w:szCs w:val="24"/>
        </w:rPr>
        <w:t>5</w:t>
      </w:r>
      <w:r w:rsidRPr="000F1504">
        <w:rPr>
          <w:rFonts w:eastAsiaTheme="minorEastAsia"/>
          <w:sz w:val="24"/>
          <w:szCs w:val="24"/>
        </w:rPr>
        <w:t>日</w:t>
      </w:r>
    </w:p>
    <w:sectPr w:rsidR="00E9288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72A14" w14:textId="77777777" w:rsidR="00722135" w:rsidRDefault="00722135" w:rsidP="00E42BE3">
      <w:r>
        <w:separator/>
      </w:r>
    </w:p>
  </w:endnote>
  <w:endnote w:type="continuationSeparator" w:id="0">
    <w:p w14:paraId="754B28DB" w14:textId="77777777" w:rsidR="00722135" w:rsidRDefault="00722135" w:rsidP="00E4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912A9" w14:textId="77777777" w:rsidR="00722135" w:rsidRDefault="00722135" w:rsidP="00E42BE3">
      <w:r>
        <w:separator/>
      </w:r>
    </w:p>
  </w:footnote>
  <w:footnote w:type="continuationSeparator" w:id="0">
    <w:p w14:paraId="0237B850" w14:textId="77777777" w:rsidR="00722135" w:rsidRDefault="00722135" w:rsidP="00E42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B337" w14:textId="2B3289DA" w:rsidR="00E30E42" w:rsidRPr="00E30E42" w:rsidRDefault="00E30E42" w:rsidP="00E30E42">
    <w:pPr>
      <w:pStyle w:val="ab"/>
      <w:jc w:val="right"/>
      <w:rPr>
        <w:rFonts w:asciiTheme="majorEastAsia" w:eastAsiaTheme="majorEastAsia" w:hAnsiTheme="majorEastAsia"/>
      </w:rPr>
    </w:pPr>
    <w:r w:rsidRPr="00EA5BA0">
      <w:rPr>
        <w:rFonts w:asciiTheme="majorEastAsia" w:eastAsiaTheme="majorEastAsia" w:hAnsiTheme="majorEastAsia" w:hint="eastAsia"/>
      </w:rPr>
      <w:t>公告编号：</w:t>
    </w:r>
    <w:sdt>
      <w:sdtPr>
        <w:rPr>
          <w:rFonts w:asciiTheme="majorEastAsia" w:eastAsiaTheme="majorEastAsia" w:hAnsiTheme="majorEastAsia" w:hint="eastAsia"/>
        </w:rPr>
        <w:alias w:val="公告编号"/>
        <w:tag w:val="_GBC_3c0415a756d542359d6122d57b0e83c7"/>
        <w:id w:val="1290481106"/>
      </w:sdtPr>
      <w:sdtEndPr/>
      <w:sdtContent>
        <w:r w:rsidRPr="00EA5BA0">
          <w:rPr>
            <w:rFonts w:asciiTheme="majorEastAsia" w:eastAsiaTheme="majorEastAsia" w:hAnsiTheme="majorEastAsia" w:hint="eastAsia"/>
          </w:rPr>
          <w:t>2022-00</w:t>
        </w:r>
        <w:r>
          <w:rPr>
            <w:rFonts w:asciiTheme="majorEastAsia" w:eastAsiaTheme="majorEastAsia" w:hAnsiTheme="majorEastAsia"/>
          </w:rPr>
          <w:t>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FF5"/>
    <w:multiLevelType w:val="singleLevel"/>
    <w:tmpl w:val="0A5E6FF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38036A4"/>
    <w:multiLevelType w:val="multilevel"/>
    <w:tmpl w:val="138036A4"/>
    <w:lvl w:ilvl="0">
      <w:start w:val="1"/>
      <w:numFmt w:val="bullet"/>
      <w:lvlText w:val=""/>
      <w:lvlJc w:val="left"/>
      <w:pPr>
        <w:ind w:left="78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4" w:hanging="420"/>
      </w:pPr>
      <w:rPr>
        <w:rFonts w:ascii="Wingdings" w:hAnsi="Wingdings" w:hint="default"/>
      </w:rPr>
    </w:lvl>
  </w:abstractNum>
  <w:abstractNum w:abstractNumId="2" w15:restartNumberingAfterBreak="0">
    <w:nsid w:val="7C4958EF"/>
    <w:multiLevelType w:val="hybridMultilevel"/>
    <w:tmpl w:val="23086B30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num w:numId="1" w16cid:durableId="1013918038">
    <w:abstractNumId w:val="0"/>
  </w:num>
  <w:num w:numId="2" w16cid:durableId="207106032">
    <w:abstractNumId w:val="2"/>
  </w:num>
  <w:num w:numId="3" w16cid:durableId="1699625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2F8763A"/>
    <w:rsid w:val="FF7DB6DF"/>
    <w:rsid w:val="00001C3D"/>
    <w:rsid w:val="00061167"/>
    <w:rsid w:val="00070495"/>
    <w:rsid w:val="000978C2"/>
    <w:rsid w:val="000C07A3"/>
    <w:rsid w:val="000D7014"/>
    <w:rsid w:val="000E15EA"/>
    <w:rsid w:val="000E2DF1"/>
    <w:rsid w:val="000F1504"/>
    <w:rsid w:val="0013366C"/>
    <w:rsid w:val="00147658"/>
    <w:rsid w:val="00153BA4"/>
    <w:rsid w:val="00160EA1"/>
    <w:rsid w:val="001746B3"/>
    <w:rsid w:val="001769AB"/>
    <w:rsid w:val="001A62F9"/>
    <w:rsid w:val="001C0AB8"/>
    <w:rsid w:val="001F14BB"/>
    <w:rsid w:val="00215FC7"/>
    <w:rsid w:val="00242BDE"/>
    <w:rsid w:val="002645E4"/>
    <w:rsid w:val="002A0219"/>
    <w:rsid w:val="002A7BC0"/>
    <w:rsid w:val="002B11DC"/>
    <w:rsid w:val="002C22C5"/>
    <w:rsid w:val="002E1FCC"/>
    <w:rsid w:val="003040FB"/>
    <w:rsid w:val="00361EC7"/>
    <w:rsid w:val="00366E85"/>
    <w:rsid w:val="003803ED"/>
    <w:rsid w:val="003863DB"/>
    <w:rsid w:val="003911C8"/>
    <w:rsid w:val="00397E1D"/>
    <w:rsid w:val="003B1B20"/>
    <w:rsid w:val="003C6FFC"/>
    <w:rsid w:val="003F31B4"/>
    <w:rsid w:val="003F66F7"/>
    <w:rsid w:val="003F7612"/>
    <w:rsid w:val="00400C17"/>
    <w:rsid w:val="00406B91"/>
    <w:rsid w:val="00433094"/>
    <w:rsid w:val="0043396D"/>
    <w:rsid w:val="00443473"/>
    <w:rsid w:val="004465BA"/>
    <w:rsid w:val="00484F9A"/>
    <w:rsid w:val="004977E3"/>
    <w:rsid w:val="004E201C"/>
    <w:rsid w:val="00502D81"/>
    <w:rsid w:val="005111BF"/>
    <w:rsid w:val="005229BF"/>
    <w:rsid w:val="00544479"/>
    <w:rsid w:val="005651D8"/>
    <w:rsid w:val="00583B3C"/>
    <w:rsid w:val="00587109"/>
    <w:rsid w:val="0059627C"/>
    <w:rsid w:val="005B24AE"/>
    <w:rsid w:val="005C4E64"/>
    <w:rsid w:val="005D2936"/>
    <w:rsid w:val="0060093B"/>
    <w:rsid w:val="0060527A"/>
    <w:rsid w:val="00625EEC"/>
    <w:rsid w:val="00672E68"/>
    <w:rsid w:val="00680A33"/>
    <w:rsid w:val="00683116"/>
    <w:rsid w:val="006C3D20"/>
    <w:rsid w:val="006E0B26"/>
    <w:rsid w:val="00713A08"/>
    <w:rsid w:val="007156AD"/>
    <w:rsid w:val="00722135"/>
    <w:rsid w:val="0072297E"/>
    <w:rsid w:val="007262F3"/>
    <w:rsid w:val="00731C41"/>
    <w:rsid w:val="00744E66"/>
    <w:rsid w:val="007725F8"/>
    <w:rsid w:val="00780055"/>
    <w:rsid w:val="00780D84"/>
    <w:rsid w:val="00786057"/>
    <w:rsid w:val="007B34B6"/>
    <w:rsid w:val="007B5558"/>
    <w:rsid w:val="007D7F09"/>
    <w:rsid w:val="007E3C33"/>
    <w:rsid w:val="007E5A53"/>
    <w:rsid w:val="00804D38"/>
    <w:rsid w:val="008061AC"/>
    <w:rsid w:val="008208C5"/>
    <w:rsid w:val="0084661B"/>
    <w:rsid w:val="008507F9"/>
    <w:rsid w:val="0085638D"/>
    <w:rsid w:val="008738D8"/>
    <w:rsid w:val="008906DB"/>
    <w:rsid w:val="008B572B"/>
    <w:rsid w:val="008E0139"/>
    <w:rsid w:val="008E3107"/>
    <w:rsid w:val="008E457B"/>
    <w:rsid w:val="009262F1"/>
    <w:rsid w:val="009263BD"/>
    <w:rsid w:val="00931637"/>
    <w:rsid w:val="0093353D"/>
    <w:rsid w:val="00934379"/>
    <w:rsid w:val="00954ED3"/>
    <w:rsid w:val="00985BD9"/>
    <w:rsid w:val="00992DF4"/>
    <w:rsid w:val="009B7CE0"/>
    <w:rsid w:val="009D5350"/>
    <w:rsid w:val="009E055A"/>
    <w:rsid w:val="009E5BB8"/>
    <w:rsid w:val="00A074B5"/>
    <w:rsid w:val="00A1792B"/>
    <w:rsid w:val="00A21BDA"/>
    <w:rsid w:val="00A377A2"/>
    <w:rsid w:val="00A64F05"/>
    <w:rsid w:val="00A67B8F"/>
    <w:rsid w:val="00A93F54"/>
    <w:rsid w:val="00AC5EAC"/>
    <w:rsid w:val="00AC70BF"/>
    <w:rsid w:val="00AC790A"/>
    <w:rsid w:val="00AF7BB8"/>
    <w:rsid w:val="00AF7DDB"/>
    <w:rsid w:val="00B03035"/>
    <w:rsid w:val="00B12C9B"/>
    <w:rsid w:val="00B26DEF"/>
    <w:rsid w:val="00B546F5"/>
    <w:rsid w:val="00B55587"/>
    <w:rsid w:val="00B8309A"/>
    <w:rsid w:val="00B84F44"/>
    <w:rsid w:val="00BC42D0"/>
    <w:rsid w:val="00BD0C91"/>
    <w:rsid w:val="00BD0F90"/>
    <w:rsid w:val="00BD60E2"/>
    <w:rsid w:val="00BD680A"/>
    <w:rsid w:val="00C02290"/>
    <w:rsid w:val="00C07B20"/>
    <w:rsid w:val="00C16238"/>
    <w:rsid w:val="00C36B35"/>
    <w:rsid w:val="00C40E00"/>
    <w:rsid w:val="00C476BF"/>
    <w:rsid w:val="00C61110"/>
    <w:rsid w:val="00C86E68"/>
    <w:rsid w:val="00CB5F4C"/>
    <w:rsid w:val="00CC60C1"/>
    <w:rsid w:val="00CD70D0"/>
    <w:rsid w:val="00D12BEC"/>
    <w:rsid w:val="00D1483D"/>
    <w:rsid w:val="00D52BB2"/>
    <w:rsid w:val="00D73F66"/>
    <w:rsid w:val="00D86D01"/>
    <w:rsid w:val="00D94127"/>
    <w:rsid w:val="00D95E3F"/>
    <w:rsid w:val="00DA060A"/>
    <w:rsid w:val="00DA5919"/>
    <w:rsid w:val="00DB080E"/>
    <w:rsid w:val="00DE243B"/>
    <w:rsid w:val="00DE2A16"/>
    <w:rsid w:val="00E01734"/>
    <w:rsid w:val="00E13340"/>
    <w:rsid w:val="00E30E42"/>
    <w:rsid w:val="00E42BE3"/>
    <w:rsid w:val="00E4605A"/>
    <w:rsid w:val="00E55881"/>
    <w:rsid w:val="00E92886"/>
    <w:rsid w:val="00EB300B"/>
    <w:rsid w:val="00F3670A"/>
    <w:rsid w:val="00F42D85"/>
    <w:rsid w:val="00F75178"/>
    <w:rsid w:val="00FD4810"/>
    <w:rsid w:val="00FF63EF"/>
    <w:rsid w:val="00FF72EB"/>
    <w:rsid w:val="00FF77BB"/>
    <w:rsid w:val="01776A5C"/>
    <w:rsid w:val="01FC6A1E"/>
    <w:rsid w:val="02F8763A"/>
    <w:rsid w:val="03D34EC0"/>
    <w:rsid w:val="04B81DDD"/>
    <w:rsid w:val="078D04E9"/>
    <w:rsid w:val="09BB58DF"/>
    <w:rsid w:val="0AE01B5B"/>
    <w:rsid w:val="0B28640D"/>
    <w:rsid w:val="0B474C5D"/>
    <w:rsid w:val="0DE143B4"/>
    <w:rsid w:val="0DEB31D5"/>
    <w:rsid w:val="10D012D9"/>
    <w:rsid w:val="13DC01B3"/>
    <w:rsid w:val="14881D88"/>
    <w:rsid w:val="195E492C"/>
    <w:rsid w:val="1AD56506"/>
    <w:rsid w:val="23E25FAF"/>
    <w:rsid w:val="28771621"/>
    <w:rsid w:val="2A0F2430"/>
    <w:rsid w:val="2DC6686B"/>
    <w:rsid w:val="344724A9"/>
    <w:rsid w:val="370E6E74"/>
    <w:rsid w:val="43EF4644"/>
    <w:rsid w:val="46EE7CFB"/>
    <w:rsid w:val="4CA17629"/>
    <w:rsid w:val="50CB637E"/>
    <w:rsid w:val="56A011B6"/>
    <w:rsid w:val="57364DEB"/>
    <w:rsid w:val="5F067B5E"/>
    <w:rsid w:val="5F77734B"/>
    <w:rsid w:val="62825B75"/>
    <w:rsid w:val="68B51D55"/>
    <w:rsid w:val="6D82120F"/>
    <w:rsid w:val="6D834100"/>
    <w:rsid w:val="6FD1341F"/>
    <w:rsid w:val="72F64673"/>
    <w:rsid w:val="77046360"/>
    <w:rsid w:val="793BC81A"/>
    <w:rsid w:val="7ACD11E2"/>
    <w:rsid w:val="7BA74142"/>
    <w:rsid w:val="7D554354"/>
    <w:rsid w:val="7E764D73"/>
    <w:rsid w:val="7F2154F5"/>
    <w:rsid w:val="7F77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BB76F1"/>
  <w15:docId w15:val="{381A9D4F-75F3-4F22-9C3E-A1417134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Pr>
      <w:b/>
      <w:bCs/>
    </w:rPr>
  </w:style>
  <w:style w:type="paragraph" w:styleId="a4">
    <w:name w:val="annotation text"/>
    <w:basedOn w:val="a"/>
    <w:link w:val="a6"/>
    <w:qFormat/>
    <w:pPr>
      <w:jc w:val="left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basedOn w:val="a0"/>
    <w:qFormat/>
    <w:rPr>
      <w:sz w:val="21"/>
      <w:szCs w:val="21"/>
    </w:rPr>
  </w:style>
  <w:style w:type="table" w:styleId="ae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批注框文本 字符"/>
    <w:basedOn w:val="a0"/>
    <w:link w:val="a7"/>
    <w:qFormat/>
    <w:rPr>
      <w:rFonts w:ascii="Times New Roman" w:hAnsi="Times New Roman"/>
      <w:kern w:val="2"/>
      <w:sz w:val="18"/>
      <w:szCs w:val="18"/>
    </w:rPr>
  </w:style>
  <w:style w:type="character" w:customStyle="1" w:styleId="a6">
    <w:name w:val="批注文字 字符"/>
    <w:basedOn w:val="a0"/>
    <w:link w:val="a4"/>
    <w:qFormat/>
    <w:rPr>
      <w:rFonts w:ascii="Times New Roman" w:hAnsi="Times New Roman"/>
      <w:kern w:val="2"/>
      <w:sz w:val="21"/>
    </w:rPr>
  </w:style>
  <w:style w:type="character" w:customStyle="1" w:styleId="a5">
    <w:name w:val="批注主题 字符"/>
    <w:basedOn w:val="a6"/>
    <w:link w:val="a3"/>
    <w:qFormat/>
    <w:rPr>
      <w:rFonts w:ascii="Times New Roman" w:hAnsi="Times New Roman"/>
      <w:b/>
      <w:bCs/>
      <w:kern w:val="2"/>
      <w:sz w:val="21"/>
    </w:rPr>
  </w:style>
  <w:style w:type="character" w:customStyle="1" w:styleId="ac">
    <w:name w:val="页眉 字符"/>
    <w:basedOn w:val="a0"/>
    <w:link w:val="ab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a">
    <w:name w:val="页脚 字符"/>
    <w:basedOn w:val="a0"/>
    <w:link w:val="a9"/>
    <w:qFormat/>
    <w:rPr>
      <w:rFonts w:ascii="Times New Roman" w:hAnsi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fontstyle01">
    <w:name w:val="fontstyle01"/>
    <w:basedOn w:val="a0"/>
    <w:rsid w:val="00683116"/>
    <w:rPr>
      <w:rFonts w:ascii="仿宋" w:eastAsia="仿宋" w:hAnsi="仿宋" w:hint="eastAsia"/>
      <w:b w:val="0"/>
      <w:bCs w:val="0"/>
      <w:i w:val="0"/>
      <w:iCs w:val="0"/>
      <w:color w:val="000000"/>
      <w:sz w:val="28"/>
      <w:szCs w:val="28"/>
    </w:rPr>
  </w:style>
  <w:style w:type="character" w:styleId="af0">
    <w:name w:val="Hyperlink"/>
    <w:basedOn w:val="a0"/>
    <w:rsid w:val="00CD70D0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D7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41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65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03EE0E91894A838DE0A9FAACC290B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44AEF13-F6ED-4701-97B7-36C408A3C730}"/>
      </w:docPartPr>
      <w:docPartBody>
        <w:p w:rsidR="007A55E6" w:rsidRDefault="009D1901" w:rsidP="009D1901">
          <w:pPr>
            <w:pStyle w:val="DA03EE0E91894A838DE0A9FAACC290B2"/>
          </w:pPr>
          <w:r w:rsidRPr="00FB0F7B">
            <w:rPr>
              <w:rStyle w:val="a3"/>
              <w:rFonts w:hint="eastAsia"/>
              <w:color w:val="333399"/>
              <w:u w:val="single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01"/>
    <w:rsid w:val="00030117"/>
    <w:rsid w:val="006A3442"/>
    <w:rsid w:val="007A55E6"/>
    <w:rsid w:val="009C653F"/>
    <w:rsid w:val="009D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1901"/>
  </w:style>
  <w:style w:type="paragraph" w:customStyle="1" w:styleId="DA03EE0E91894A838DE0A9FAACC290B2">
    <w:name w:val="DA03EE0E91894A838DE0A9FAACC290B2"/>
    <w:rsid w:val="009D190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396</Words>
  <Characters>2258</Characters>
  <Application>Microsoft Office Word</Application>
  <DocSecurity>0</DocSecurity>
  <Lines>18</Lines>
  <Paragraphs>5</Paragraphs>
  <ScaleCrop>false</ScaleCrop>
  <Company>KWM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 Wenjuan-GoHo</dc:creator>
  <cp:lastModifiedBy>guo</cp:lastModifiedBy>
  <cp:revision>131</cp:revision>
  <cp:lastPrinted>2021-12-22T08:26:00Z</cp:lastPrinted>
  <dcterms:created xsi:type="dcterms:W3CDTF">2019-07-09T22:48:00Z</dcterms:created>
  <dcterms:modified xsi:type="dcterms:W3CDTF">2022-07-04T01:51:00Z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