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eastAsia="方正小标宋简体"/>
          <w:color w:val="FF0000"/>
          <w:spacing w:val="140"/>
          <w:w w:val="90"/>
          <w:kern w:val="11"/>
          <w:sz w:val="84"/>
          <w:szCs w:val="84"/>
        </w:rPr>
        <w:t>深圳证券交易所</w:t>
      </w:r>
    </w:p>
    <w:p>
      <w:pPr>
        <w:spacing w:line="420" w:lineRule="exact"/>
        <w:rPr>
          <w:rFonts w:ascii="仿宋_GB2312" w:eastAsia="仿宋_GB2312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182245</wp:posOffset>
                </wp:positionV>
                <wp:extent cx="5591175" cy="0"/>
                <wp:effectExtent l="0" t="0" r="9525" b="1905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.1pt;margin-top:14.35pt;height:0pt;width:440.25pt;z-index:251659264;mso-width-relative:page;mso-height-relative:page;" filled="f" stroked="t" coordsize="21600,21600" o:gfxdata="UEsDBAoAAAAAAIdO4kAAAAAAAAAAAAAAAAAEAAAAZHJzL1BLAwQUAAAACACHTuJA/nNhmwsBAAAG&#10;AQAADwAAAGRycy9kb3ducmV2LnhtbAEGAfn+PD94bWwgdmVyc2lvbj0iMS4wIiBlbmNvZGluZz0i&#10;VVRGLTgiIHN0YW5kYWxvbmU9InllcyI/Pg0KPGE6ZG93blJldlN0ZyB4bWxuczphPSJodHRwOi8v&#10;c2NoZW1hcy5vcGVueG1sZm9ybWF0cy5vcmcvZHJhd2luZ21sLzIwMDYvbWFpbiIgc2hhcGVDaGVj&#10;a1N1bT0ibjc5SGNxUFh0YzQvd3dvKzN6T2EyRD09JiMxMDsiIHRleHRDaGVja1N1bT0iIiB2ZXI9&#10;IjEiPjxhOmJvdW5kcyBsPSIyIiB0PSIyODciIHI9Ijg4MDciIGI9IjI4NyIvPjwvYTpkb3duUmV2&#10;U3RnPlBLAwQUAAAACACHTuJAhRWp0uQBAACrAwAADgAAAGRycy9lMm9Eb2MueG1srVOxjhMxEO2R&#10;+AfLPdkkInCssrkiUWgOiHTHB0y83qyF7bFsJ5v8BD+ARAcVJf39DcdnMPYmAUJzBVuMPJ6ZN/Pe&#10;eKfXe6PZTvqg0FZ8NBhyJq3AWtlNxd/fLZ9dcRYi2Bo0Wlnxgwz8evb0ybRzpRxji7qWnhGIDWXn&#10;Kt7G6MqiCKKVBsIAnbQUbNAbiOT6TVF76Ajd6GI8HL4oOvS18yhkCHS76IP8iOgfA4hNo4RcoNga&#10;aWOP6qWGSJRCq1zgszxt00gR3zVNkJHpihPTmC01ofM62WI2hXLjwbVKHEeAx4xwwcmAstT0DLWA&#10;CGzr1T9QRgmPAZs4EGiKnkhWhFiMhhfa3LbgZOZCUgd3Fj38P1jxdrfyTNUVH3NmwdDCHz59//Hx&#10;y8/7z2Qfvn1lz5NInQsl5c7tyieaYm9v3Q2KD4FZnLdgNzIPe3dwhDBKFcVfJckJjlqtuzdYUw5s&#10;I2bF9o03CZK0YPu8mMN5MXIfmaDLyeTVaPRywpk4xQooT4XOh/haomHpUHGtbNIMStjdhJgGgfKU&#10;kq4tLpXWee/aso6mnVwRdAoF1KpO0ez4zXquPdsBPZ3lckhfpnWR5nFr676LtkfWiWgv2Rrrw8qf&#10;1KAd5nGO7y09kj/9XP37H5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5zYZsLAQAABgEAAA8A&#10;AAAAAAAAAQAgAAAAIgAAAGRycy9kb3ducmV2LnhtbFBLAQIUABQAAAAIAIdO4kCFFanS5AEAAKsD&#10;AAAOAAAAAAAAAAEAIAAAAFoBAABkcnMvZTJvRG9jLnhtbFBLBQYAAAAABgAGAFkBAACw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/>
          <w:sz w:val="32"/>
          <w:szCs w:val="32"/>
        </w:rPr>
      </w:pPr>
    </w:p>
    <w:p>
      <w:pPr>
        <w:snapToGrid w:val="0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关于对鼎龙文化股份有限公司</w:t>
      </w:r>
      <w:r>
        <w:rPr>
          <w:rFonts w:hint="default" w:ascii="方正小标宋简体" w:eastAsia="方正小标宋简体"/>
          <w:sz w:val="44"/>
          <w:szCs w:val="44"/>
        </w:rPr>
        <w:t>及相关责任人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的监管函</w:t>
      </w:r>
    </w:p>
    <w:p>
      <w:pPr>
        <w:jc w:val="right"/>
        <w:rPr>
          <w:rFonts w:ascii="宋体" w:hAnsi="宋体"/>
          <w:sz w:val="24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公司部监管函〔</w:t>
      </w:r>
      <w:r>
        <w:rPr>
          <w:rFonts w:ascii="仿宋" w:hAnsi="仿宋" w:eastAsia="仿宋"/>
          <w:sz w:val="32"/>
        </w:rPr>
        <w:t>2024</w:t>
      </w:r>
      <w:r>
        <w:rPr>
          <w:rFonts w:hint="eastAsia" w:ascii="仿宋" w:hAnsi="仿宋" w:eastAsia="仿宋"/>
          <w:sz w:val="32"/>
        </w:rPr>
        <w:t xml:space="preserve">〕第 </w:t>
      </w:r>
      <w:r>
        <w:rPr>
          <w:rFonts w:ascii="仿宋" w:hAnsi="仿宋" w:eastAsia="仿宋"/>
          <w:sz w:val="32"/>
        </w:rPr>
        <w:t>135</w:t>
      </w:r>
      <w:r>
        <w:rPr>
          <w:rFonts w:hint="eastAsia" w:ascii="仿宋" w:hAnsi="仿宋" w:eastAsia="仿宋"/>
          <w:sz w:val="32"/>
        </w:rPr>
        <w:t xml:space="preserve"> 号</w:t>
      </w:r>
    </w:p>
    <w:p>
      <w:pPr>
        <w:spacing w:line="560" w:lineRule="exact"/>
        <w:jc w:val="center"/>
        <w:rPr>
          <w:rFonts w:ascii="仿宋" w:hAnsi="仿宋" w:eastAsia="仿宋"/>
          <w:b/>
          <w:color w:val="FF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鼎龙文化股份有限公司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、龙学勤、徐淑军、王小平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2024年1月3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日，你公司披露《2023年度业绩预告》，预计2023年度实现归属于上市公司股东的净利润（以下简称“净利润”）为盈利0元至500万元。4月20日，你公司披露《2023年度业绩预告修正公告》，对2023年度业绩预告做出修正，预计2023年度净利润为亏损550万元至亏损820万元。</w:t>
      </w:r>
      <w:r>
        <w:rPr>
          <w:rFonts w:hint="default" w:ascii="仿宋" w:hAnsi="仿宋" w:eastAsia="仿宋"/>
          <w:sz w:val="32"/>
          <w:szCs w:val="32"/>
          <w:highlight w:val="none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你公司于4月30日披露的《2023年年度报告》，</w:t>
      </w:r>
      <w:r>
        <w:rPr>
          <w:rFonts w:hint="default" w:ascii="仿宋" w:hAnsi="仿宋" w:eastAsia="仿宋"/>
          <w:sz w:val="32"/>
          <w:szCs w:val="32"/>
          <w:highlight w:val="none"/>
          <w:lang w:eastAsia="zh-CN"/>
        </w:rPr>
        <w:t>你公司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2023年度</w:t>
      </w:r>
      <w:r>
        <w:rPr>
          <w:rFonts w:hint="default" w:ascii="仿宋" w:hAnsi="仿宋" w:eastAsia="仿宋"/>
          <w:sz w:val="32"/>
          <w:szCs w:val="32"/>
          <w:highlight w:val="none"/>
          <w:lang w:eastAsia="zh-CN"/>
        </w:rPr>
        <w:t>实际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净利润为亏损707.5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万元，你公司</w:t>
      </w:r>
      <w:r>
        <w:rPr>
          <w:rFonts w:hint="default" w:ascii="仿宋" w:hAnsi="仿宋" w:eastAsia="仿宋"/>
          <w:sz w:val="32"/>
          <w:szCs w:val="32"/>
          <w:highlight w:val="none"/>
          <w:lang w:eastAsia="zh-CN"/>
        </w:rPr>
        <w:t>首次披露的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业绩预告相关信息不准确</w:t>
      </w:r>
      <w:r>
        <w:rPr>
          <w:rFonts w:hint="default" w:ascii="仿宋" w:hAnsi="仿宋" w:eastAsia="仿宋"/>
          <w:sz w:val="32"/>
          <w:szCs w:val="32"/>
          <w:highlight w:val="none"/>
          <w:lang w:eastAsia="zh-CN"/>
        </w:rPr>
        <w:t>且未及时修正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topLinePunct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你公司的上述行为违反了本所《股票上市规则（2023年8月修订）》第1.4条、第2.1.1条、第2.1.5条、第5.1.3条的规定。</w:t>
      </w:r>
      <w:r>
        <w:rPr>
          <w:rFonts w:hint="eastAsia" w:ascii="仿宋" w:hAnsi="仿宋" w:eastAsia="仿宋"/>
          <w:sz w:val="32"/>
          <w:szCs w:val="32"/>
          <w:lang w:eastAsia="zh-CN"/>
        </w:rPr>
        <w:t>你公司董事长兼总经理龙学勤、财务总监徐淑军、董事会秘书王小平未能勤勉尽责，违反了本所</w:t>
      </w:r>
      <w:r>
        <w:rPr>
          <w:rFonts w:hint="eastAsia" w:ascii="仿宋" w:hAnsi="仿宋" w:eastAsia="仿宋"/>
          <w:sz w:val="32"/>
          <w:szCs w:val="32"/>
        </w:rPr>
        <w:t>《股票上市规则（2023年8月修订）》第5.1.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条的规定</w:t>
      </w:r>
      <w:r>
        <w:rPr>
          <w:rFonts w:hint="eastAsia" w:ascii="仿宋" w:hAnsi="仿宋" w:eastAsia="仿宋"/>
          <w:sz w:val="32"/>
          <w:szCs w:val="32"/>
          <w:lang w:eastAsia="zh-CN"/>
        </w:rPr>
        <w:t>，对上述违规行为负主要责任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topLinePunct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所希望你公司及全体董事、监事、高级管理人员认真吸取教训，并提醒你公司及全体董事、监事、高级管理人员严格遵守《证券法》《公司法》等法律法规，以及本所《股票上市规则》及相关规定，真实、准确、完整、及时、公平地履行信息披露义务，杜绝此类事件发生。</w:t>
      </w:r>
    </w:p>
    <w:p>
      <w:pPr>
        <w:topLinePunct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特此函告</w:t>
      </w:r>
      <w:r>
        <w:rPr>
          <w:rFonts w:hint="default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</w:t>
      </w:r>
    </w:p>
    <w:p>
      <w:pPr>
        <w:tabs>
          <w:tab w:val="left" w:pos="7875"/>
        </w:tabs>
        <w:spacing w:line="520" w:lineRule="exact"/>
        <w:ind w:right="1050" w:rightChars="500" w:firstLine="5280" w:firstLineChars="165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050" w:rightChars="500" w:firstLine="5280" w:firstLineChars="165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050" w:rightChars="500" w:firstLine="5280" w:firstLineChars="16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深圳证券交易所</w:t>
      </w:r>
    </w:p>
    <w:p>
      <w:pPr>
        <w:tabs>
          <w:tab w:val="left" w:pos="7875"/>
        </w:tabs>
        <w:spacing w:line="520" w:lineRule="exact"/>
        <w:ind w:right="1120" w:firstLine="4160" w:firstLineChars="13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上市公司管理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</w:rPr>
        <w:t>部</w:t>
      </w:r>
    </w:p>
    <w:p>
      <w:pPr>
        <w:tabs>
          <w:tab w:val="left" w:pos="7875"/>
        </w:tabs>
        <w:spacing w:line="520" w:lineRule="exact"/>
        <w:ind w:right="1120"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default"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default" w:ascii="仿宋" w:hAnsi="仿宋" w:eastAsia="仿宋"/>
          <w:color w:val="000000"/>
          <w:sz w:val="32"/>
          <w:szCs w:val="32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tabs>
          <w:tab w:val="left" w:pos="7875"/>
        </w:tabs>
        <w:spacing w:line="520" w:lineRule="exact"/>
        <w:ind w:right="1120" w:firstLine="5280" w:firstLineChars="165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7875"/>
        </w:tabs>
        <w:spacing w:line="520" w:lineRule="exact"/>
        <w:ind w:right="1120" w:firstLine="5280" w:firstLineChars="165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240" w:lineRule="exact"/>
        <w:ind w:right="945" w:rightChars="450"/>
        <w:rPr>
          <w:rFonts w:ascii="仿宋" w:hAnsi="仿宋"/>
          <w:color w:val="000000"/>
          <w:szCs w:val="32"/>
        </w:rPr>
      </w:pPr>
    </w:p>
    <w:p>
      <w:pPr>
        <w:spacing w:line="560" w:lineRule="exact"/>
        <w:ind w:left="766" w:leftChars="100" w:right="210" w:rightChars="100" w:hanging="556" w:hangingChars="265"/>
        <w:rPr>
          <w:rFonts w:ascii="仿宋" w:hAnsi="仿宋" w:eastAsia="仿宋"/>
          <w:sz w:val="28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60960</wp:posOffset>
                </wp:positionV>
                <wp:extent cx="5610225" cy="0"/>
                <wp:effectExtent l="0" t="0" r="9525" b="19050"/>
                <wp:wrapTopAndBottom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.1pt;margin-top:4.8pt;height:0pt;width:441.75pt;mso-wrap-distance-bottom:0pt;mso-wrap-distance-top:0pt;z-index:251660288;mso-width-relative:page;mso-height-relative:page;" filled="f" stroked="t" coordsize="21600,21600" o:gfxdata="UEsDBAoAAAAAAIdO4kAAAAAAAAAAAAAAAAAEAAAAZHJzL1BLAwQUAAAACACHTuJA3vzevgkBAAAE&#10;AQAADwAAAGRycy9kb3ducmV2LnhtbAEEAfv+PD94bWwgdmVyc2lvbj0iMS4wIiBlbmNvZGluZz0i&#10;VVRGLTgiIHN0YW5kYWxvbmU9InllcyI/Pg0KPGE6ZG93blJldlN0ZyB4bWxuczphPSJodHRwOi8v&#10;c2NoZW1hcy5vcGVueG1sZm9ybWF0cy5vcmcvZHJhd2luZ21sLzIwMDYvbWFpbiIgc2hhcGVDaGVj&#10;a1N1bT0ibjF0V2x3d3R3dnJ6NUc1MTVGSTBORj09JiMxMDsiIHRleHRDaGVja1N1bT0iIiB2ZXI9&#10;IjEiPjxhOmJvdW5kcyBsPSIyIiB0PSI5NiIgcj0iODgzNyIgYj0iOTYiLz48L2E6ZG93blJldlN0&#10;Zz5QSwMEFAAAAAgAh07iQFdL7yXkAQAAqgMAAA4AAABkcnMvZTJvRG9jLnhtbK1TO44bMQztA+QO&#10;gvp4xl7YCAYeb2Fj02wSA7s5AK3ReIRIoiDJHvsSuUCAdEmVMn1uk91jhJI/2U+zRaYQRJF85Hvk&#10;TC93RrOt9EGhrflwUHImrcBG2XXNP91evXnLWYhgG9BoZc33MvDL2etX095VcoQd6kZ6RiA2VL2r&#10;eRejq4oiiE4aCAN00pKzRW8gkunXReOhJ3Sji1FZTooefeM8ChkCvS4OTn5E9C8BxLZVQi5QbIy0&#10;8YDqpYZIlEKnXOCz3G3bShE/tm2QkemaE9OYTypC91U6i9kUqrUH1ylxbAFe0sITTgaUpaJnqAVE&#10;YBuvnkEZJTwGbONAoCkORLIixGJYPtHmpgMnMxeSOriz6OH/wYoP26VnqqFN4MyCoYHfff3158v3&#10;+9/f6Lz7+YNdJJF6FyqKndulTzTFzt64axSfA7M478CuZW72du8IYZgyikcpyQiOSq3699hQDGwi&#10;ZsV2rTcJkrRguzyY/XkwcheZoMfxZFiORmPOxMlXQHVKdD7EdxINS5eaa2WTZlDB9jrE1AhUp5D0&#10;bPFKaZ3nri3raz65GJc5IaBWTXKmsODXq7n2bAtpc/KXWZHnYZjHjW0ORbQ9kk48D4qtsNkv/UkM&#10;GmHu5rhuaUce2jn73y8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/N6+CQEAAAQBAAAPAAAA&#10;AAAAAAEAIAAAACIAAABkcnMvZG93bnJldi54bWxQSwECFAAUAAAACACHTuJAV0vvJeQBAACqAwAA&#10;DgAAAAAAAAABACAAAABYAQAAZHJzL2Uyb0RvYy54bWxQSwUGAAAAAAYABgBZAQAArgUAAAAA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0"/>
      <w:r>
        <w:rPr>
          <w:rFonts w:hint="eastAsia" w:ascii="仿宋" w:hAnsi="仿宋" w:eastAsia="仿宋"/>
          <w:sz w:val="28"/>
        </w:rPr>
        <w:t>抄报：中国证监会上市公司监管</w:t>
      </w:r>
      <w:r>
        <w:rPr>
          <w:rFonts w:hint="default" w:ascii="仿宋" w:hAnsi="仿宋" w:eastAsia="仿宋"/>
          <w:sz w:val="28"/>
        </w:rPr>
        <w:t>司</w:t>
      </w:r>
    </w:p>
    <w:p>
      <w:pPr>
        <w:spacing w:line="560" w:lineRule="exact"/>
        <w:ind w:left="952" w:leftChars="100" w:right="210" w:rightChars="100" w:hanging="742" w:hangingChars="26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抄送：广东证监局上市公司监管处</w:t>
      </w:r>
    </w:p>
    <w:p>
      <w:pPr>
        <w:spacing w:line="560" w:lineRule="exact"/>
        <w:ind w:left="952" w:leftChars="100" w:right="210" w:rightChars="100" w:hanging="742" w:hangingChars="265"/>
        <w:rPr>
          <w:rFonts w:ascii="仿宋" w:hAnsi="仿宋" w:eastAsia="仿宋"/>
          <w:sz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9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50FB32800009BA2" w:val=" "/>
    <w:docVar w:name="569F28E100006F62" w:val=" "/>
    <w:docVar w:name="570367F1000031BD" w:val=" "/>
    <w:docVar w:name="5ACD5E9B00000541" w:val=" "/>
    <w:docVar w:name="5E8476C400002681" w:val=" "/>
    <w:docVar w:name="609B878900005CE6" w:val=" "/>
    <w:docVar w:name="61E140360000A952" w:val=" "/>
  </w:docVars>
  <w:rsids>
    <w:rsidRoot w:val="00CA2620"/>
    <w:rsid w:val="000023A7"/>
    <w:rsid w:val="00003FCE"/>
    <w:rsid w:val="00015FC5"/>
    <w:rsid w:val="0001769D"/>
    <w:rsid w:val="00021419"/>
    <w:rsid w:val="00030605"/>
    <w:rsid w:val="00031A4E"/>
    <w:rsid w:val="0003260E"/>
    <w:rsid w:val="00036A14"/>
    <w:rsid w:val="00040B2F"/>
    <w:rsid w:val="00040E9D"/>
    <w:rsid w:val="00044A8C"/>
    <w:rsid w:val="00044B4E"/>
    <w:rsid w:val="000646BE"/>
    <w:rsid w:val="00066BC7"/>
    <w:rsid w:val="00070895"/>
    <w:rsid w:val="00080FA8"/>
    <w:rsid w:val="00086617"/>
    <w:rsid w:val="00087A9D"/>
    <w:rsid w:val="000B51E9"/>
    <w:rsid w:val="000B6872"/>
    <w:rsid w:val="000B6C77"/>
    <w:rsid w:val="000D087B"/>
    <w:rsid w:val="000D71D5"/>
    <w:rsid w:val="000E27D3"/>
    <w:rsid w:val="000F36DC"/>
    <w:rsid w:val="00100333"/>
    <w:rsid w:val="001005EF"/>
    <w:rsid w:val="00107E66"/>
    <w:rsid w:val="0012026B"/>
    <w:rsid w:val="00120783"/>
    <w:rsid w:val="001455C6"/>
    <w:rsid w:val="00150121"/>
    <w:rsid w:val="00155459"/>
    <w:rsid w:val="00156BDC"/>
    <w:rsid w:val="00160749"/>
    <w:rsid w:val="00161582"/>
    <w:rsid w:val="00162012"/>
    <w:rsid w:val="00165339"/>
    <w:rsid w:val="00165B57"/>
    <w:rsid w:val="00171EBC"/>
    <w:rsid w:val="00176944"/>
    <w:rsid w:val="001A11A1"/>
    <w:rsid w:val="001A5877"/>
    <w:rsid w:val="001B0DF0"/>
    <w:rsid w:val="001C32D4"/>
    <w:rsid w:val="001C54E4"/>
    <w:rsid w:val="001D163B"/>
    <w:rsid w:val="001D2395"/>
    <w:rsid w:val="001D6DF3"/>
    <w:rsid w:val="001E12A6"/>
    <w:rsid w:val="001F0D3F"/>
    <w:rsid w:val="001F1B66"/>
    <w:rsid w:val="001F4C3C"/>
    <w:rsid w:val="002006EB"/>
    <w:rsid w:val="00202C3A"/>
    <w:rsid w:val="00204C18"/>
    <w:rsid w:val="002057A2"/>
    <w:rsid w:val="00214026"/>
    <w:rsid w:val="00227343"/>
    <w:rsid w:val="002275D5"/>
    <w:rsid w:val="00253081"/>
    <w:rsid w:val="002549E8"/>
    <w:rsid w:val="00262C3F"/>
    <w:rsid w:val="00265672"/>
    <w:rsid w:val="00277EFA"/>
    <w:rsid w:val="00287DAE"/>
    <w:rsid w:val="002B16BC"/>
    <w:rsid w:val="002C12DF"/>
    <w:rsid w:val="002C409A"/>
    <w:rsid w:val="002E382A"/>
    <w:rsid w:val="002E50F0"/>
    <w:rsid w:val="002E7237"/>
    <w:rsid w:val="002F0EF7"/>
    <w:rsid w:val="002F54C3"/>
    <w:rsid w:val="003075D5"/>
    <w:rsid w:val="00313601"/>
    <w:rsid w:val="003257D9"/>
    <w:rsid w:val="00334100"/>
    <w:rsid w:val="003564B2"/>
    <w:rsid w:val="003649D9"/>
    <w:rsid w:val="00370E68"/>
    <w:rsid w:val="003725FD"/>
    <w:rsid w:val="00382002"/>
    <w:rsid w:val="00390BF6"/>
    <w:rsid w:val="003A1F5E"/>
    <w:rsid w:val="003A70B3"/>
    <w:rsid w:val="003B095C"/>
    <w:rsid w:val="003B0A3E"/>
    <w:rsid w:val="003B3759"/>
    <w:rsid w:val="003B39BA"/>
    <w:rsid w:val="003B61B9"/>
    <w:rsid w:val="003C2904"/>
    <w:rsid w:val="003D059B"/>
    <w:rsid w:val="003D3315"/>
    <w:rsid w:val="003E1ED7"/>
    <w:rsid w:val="003E5383"/>
    <w:rsid w:val="0041033F"/>
    <w:rsid w:val="004109C2"/>
    <w:rsid w:val="00414996"/>
    <w:rsid w:val="00416EDC"/>
    <w:rsid w:val="00433CE2"/>
    <w:rsid w:val="00436DBE"/>
    <w:rsid w:val="00441C75"/>
    <w:rsid w:val="004426DD"/>
    <w:rsid w:val="00444F47"/>
    <w:rsid w:val="004464F5"/>
    <w:rsid w:val="00460155"/>
    <w:rsid w:val="00465806"/>
    <w:rsid w:val="00465965"/>
    <w:rsid w:val="00476E4C"/>
    <w:rsid w:val="00483C7B"/>
    <w:rsid w:val="004A1AFA"/>
    <w:rsid w:val="004A3BCC"/>
    <w:rsid w:val="004B429C"/>
    <w:rsid w:val="004C18D5"/>
    <w:rsid w:val="004C2D6C"/>
    <w:rsid w:val="004C713D"/>
    <w:rsid w:val="004E3500"/>
    <w:rsid w:val="004E494D"/>
    <w:rsid w:val="004E5DCC"/>
    <w:rsid w:val="004F49F5"/>
    <w:rsid w:val="00523903"/>
    <w:rsid w:val="00525ECA"/>
    <w:rsid w:val="005309CA"/>
    <w:rsid w:val="00533740"/>
    <w:rsid w:val="0054401B"/>
    <w:rsid w:val="00546B20"/>
    <w:rsid w:val="00562E7B"/>
    <w:rsid w:val="005670D4"/>
    <w:rsid w:val="005725F1"/>
    <w:rsid w:val="00573E14"/>
    <w:rsid w:val="00581FE3"/>
    <w:rsid w:val="00583839"/>
    <w:rsid w:val="00594E18"/>
    <w:rsid w:val="005A512F"/>
    <w:rsid w:val="005B20E3"/>
    <w:rsid w:val="005B329A"/>
    <w:rsid w:val="005C0E71"/>
    <w:rsid w:val="005E3CBE"/>
    <w:rsid w:val="005F1E09"/>
    <w:rsid w:val="005F3416"/>
    <w:rsid w:val="005F3C2C"/>
    <w:rsid w:val="005F4652"/>
    <w:rsid w:val="0060028A"/>
    <w:rsid w:val="0061286A"/>
    <w:rsid w:val="0061544D"/>
    <w:rsid w:val="006174E5"/>
    <w:rsid w:val="006343F4"/>
    <w:rsid w:val="00640541"/>
    <w:rsid w:val="006444F1"/>
    <w:rsid w:val="00655FB2"/>
    <w:rsid w:val="006624F7"/>
    <w:rsid w:val="00676B29"/>
    <w:rsid w:val="0069504B"/>
    <w:rsid w:val="006A13E6"/>
    <w:rsid w:val="006A1722"/>
    <w:rsid w:val="006B087C"/>
    <w:rsid w:val="006B14E3"/>
    <w:rsid w:val="006B4D48"/>
    <w:rsid w:val="006B7A05"/>
    <w:rsid w:val="006C1A81"/>
    <w:rsid w:val="006C549E"/>
    <w:rsid w:val="006D5264"/>
    <w:rsid w:val="006E407F"/>
    <w:rsid w:val="0070241B"/>
    <w:rsid w:val="007164DA"/>
    <w:rsid w:val="00722EE4"/>
    <w:rsid w:val="00727C9B"/>
    <w:rsid w:val="007340A1"/>
    <w:rsid w:val="00750978"/>
    <w:rsid w:val="00750D2A"/>
    <w:rsid w:val="007539B1"/>
    <w:rsid w:val="00755CC0"/>
    <w:rsid w:val="00755E39"/>
    <w:rsid w:val="007606EE"/>
    <w:rsid w:val="0076137E"/>
    <w:rsid w:val="007647F7"/>
    <w:rsid w:val="007712DB"/>
    <w:rsid w:val="0077648E"/>
    <w:rsid w:val="00790B48"/>
    <w:rsid w:val="0079232F"/>
    <w:rsid w:val="007A1738"/>
    <w:rsid w:val="007B4780"/>
    <w:rsid w:val="007B51CE"/>
    <w:rsid w:val="007B5990"/>
    <w:rsid w:val="007C2832"/>
    <w:rsid w:val="007C6760"/>
    <w:rsid w:val="007C6E67"/>
    <w:rsid w:val="007D04F3"/>
    <w:rsid w:val="007D3842"/>
    <w:rsid w:val="007D404C"/>
    <w:rsid w:val="007D4977"/>
    <w:rsid w:val="007E3FED"/>
    <w:rsid w:val="007E464B"/>
    <w:rsid w:val="007F7058"/>
    <w:rsid w:val="00811805"/>
    <w:rsid w:val="00832457"/>
    <w:rsid w:val="0085495B"/>
    <w:rsid w:val="008739B5"/>
    <w:rsid w:val="00880C0C"/>
    <w:rsid w:val="008B1226"/>
    <w:rsid w:val="008C26AF"/>
    <w:rsid w:val="008C35F7"/>
    <w:rsid w:val="008E0B25"/>
    <w:rsid w:val="008E1177"/>
    <w:rsid w:val="008E4FEB"/>
    <w:rsid w:val="008F3CDD"/>
    <w:rsid w:val="0090664F"/>
    <w:rsid w:val="00914A3A"/>
    <w:rsid w:val="00931C3D"/>
    <w:rsid w:val="0093389A"/>
    <w:rsid w:val="00934041"/>
    <w:rsid w:val="00934593"/>
    <w:rsid w:val="00957396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31E1"/>
    <w:rsid w:val="009C445F"/>
    <w:rsid w:val="009C560D"/>
    <w:rsid w:val="009D3820"/>
    <w:rsid w:val="009D44E1"/>
    <w:rsid w:val="00A06FD6"/>
    <w:rsid w:val="00A163A3"/>
    <w:rsid w:val="00A208F3"/>
    <w:rsid w:val="00A22A0F"/>
    <w:rsid w:val="00A35450"/>
    <w:rsid w:val="00A431F5"/>
    <w:rsid w:val="00A5001A"/>
    <w:rsid w:val="00A6470B"/>
    <w:rsid w:val="00A73183"/>
    <w:rsid w:val="00A80E63"/>
    <w:rsid w:val="00A82B1E"/>
    <w:rsid w:val="00A854E6"/>
    <w:rsid w:val="00A92298"/>
    <w:rsid w:val="00A94098"/>
    <w:rsid w:val="00A94873"/>
    <w:rsid w:val="00AA7E46"/>
    <w:rsid w:val="00AB546A"/>
    <w:rsid w:val="00AC10C2"/>
    <w:rsid w:val="00AC4119"/>
    <w:rsid w:val="00AD2B4A"/>
    <w:rsid w:val="00AD4F46"/>
    <w:rsid w:val="00AE4494"/>
    <w:rsid w:val="00AE6EDC"/>
    <w:rsid w:val="00B00C45"/>
    <w:rsid w:val="00B02D29"/>
    <w:rsid w:val="00B040E7"/>
    <w:rsid w:val="00B04149"/>
    <w:rsid w:val="00B04515"/>
    <w:rsid w:val="00B077B8"/>
    <w:rsid w:val="00B07B40"/>
    <w:rsid w:val="00B10FBF"/>
    <w:rsid w:val="00B11994"/>
    <w:rsid w:val="00B21CA6"/>
    <w:rsid w:val="00B2424B"/>
    <w:rsid w:val="00B2690D"/>
    <w:rsid w:val="00B26BDA"/>
    <w:rsid w:val="00B309FC"/>
    <w:rsid w:val="00B30B04"/>
    <w:rsid w:val="00B34132"/>
    <w:rsid w:val="00B3621D"/>
    <w:rsid w:val="00B377C3"/>
    <w:rsid w:val="00B4217B"/>
    <w:rsid w:val="00B47E31"/>
    <w:rsid w:val="00B54162"/>
    <w:rsid w:val="00B5575D"/>
    <w:rsid w:val="00B640D6"/>
    <w:rsid w:val="00B64280"/>
    <w:rsid w:val="00B6466B"/>
    <w:rsid w:val="00B7298F"/>
    <w:rsid w:val="00B74AE3"/>
    <w:rsid w:val="00B828B5"/>
    <w:rsid w:val="00B8552E"/>
    <w:rsid w:val="00B85DB1"/>
    <w:rsid w:val="00B86F91"/>
    <w:rsid w:val="00B90F93"/>
    <w:rsid w:val="00B945D0"/>
    <w:rsid w:val="00B9579E"/>
    <w:rsid w:val="00BA0E1C"/>
    <w:rsid w:val="00BA52F9"/>
    <w:rsid w:val="00BA5631"/>
    <w:rsid w:val="00BC093A"/>
    <w:rsid w:val="00BC6F67"/>
    <w:rsid w:val="00BD7724"/>
    <w:rsid w:val="00BF31F8"/>
    <w:rsid w:val="00BF3C26"/>
    <w:rsid w:val="00C15A0B"/>
    <w:rsid w:val="00C21BFB"/>
    <w:rsid w:val="00C21DF3"/>
    <w:rsid w:val="00C23751"/>
    <w:rsid w:val="00C23D89"/>
    <w:rsid w:val="00C35AEF"/>
    <w:rsid w:val="00C35FF6"/>
    <w:rsid w:val="00C43538"/>
    <w:rsid w:val="00C531DD"/>
    <w:rsid w:val="00C57839"/>
    <w:rsid w:val="00C67DED"/>
    <w:rsid w:val="00C70AF5"/>
    <w:rsid w:val="00C74B24"/>
    <w:rsid w:val="00C764F9"/>
    <w:rsid w:val="00C76AAE"/>
    <w:rsid w:val="00C80EC0"/>
    <w:rsid w:val="00C85805"/>
    <w:rsid w:val="00C85DCA"/>
    <w:rsid w:val="00CA2620"/>
    <w:rsid w:val="00CA5280"/>
    <w:rsid w:val="00CA5B8E"/>
    <w:rsid w:val="00CB1765"/>
    <w:rsid w:val="00CB5B64"/>
    <w:rsid w:val="00CB5C76"/>
    <w:rsid w:val="00CC6810"/>
    <w:rsid w:val="00CD1989"/>
    <w:rsid w:val="00CD1B75"/>
    <w:rsid w:val="00CE5554"/>
    <w:rsid w:val="00CF566C"/>
    <w:rsid w:val="00D06F1F"/>
    <w:rsid w:val="00D10136"/>
    <w:rsid w:val="00D1410B"/>
    <w:rsid w:val="00D17E67"/>
    <w:rsid w:val="00D20B44"/>
    <w:rsid w:val="00D246DA"/>
    <w:rsid w:val="00D25220"/>
    <w:rsid w:val="00D27B49"/>
    <w:rsid w:val="00D33115"/>
    <w:rsid w:val="00D52517"/>
    <w:rsid w:val="00D54756"/>
    <w:rsid w:val="00D5703B"/>
    <w:rsid w:val="00D57EC3"/>
    <w:rsid w:val="00D661A5"/>
    <w:rsid w:val="00D679B7"/>
    <w:rsid w:val="00D71E43"/>
    <w:rsid w:val="00D729A8"/>
    <w:rsid w:val="00D84DC5"/>
    <w:rsid w:val="00D919BC"/>
    <w:rsid w:val="00D9216D"/>
    <w:rsid w:val="00D978A6"/>
    <w:rsid w:val="00DA5B83"/>
    <w:rsid w:val="00DB0D67"/>
    <w:rsid w:val="00DC338F"/>
    <w:rsid w:val="00DD0140"/>
    <w:rsid w:val="00DD3374"/>
    <w:rsid w:val="00DD7593"/>
    <w:rsid w:val="00DE1B7A"/>
    <w:rsid w:val="00DE2736"/>
    <w:rsid w:val="00DE4177"/>
    <w:rsid w:val="00DF1B19"/>
    <w:rsid w:val="00DF38BC"/>
    <w:rsid w:val="00DF56D9"/>
    <w:rsid w:val="00E05849"/>
    <w:rsid w:val="00E13DFF"/>
    <w:rsid w:val="00E15B01"/>
    <w:rsid w:val="00E15DD4"/>
    <w:rsid w:val="00E16FD6"/>
    <w:rsid w:val="00E215E5"/>
    <w:rsid w:val="00E31A14"/>
    <w:rsid w:val="00E33869"/>
    <w:rsid w:val="00E35CB1"/>
    <w:rsid w:val="00E43F65"/>
    <w:rsid w:val="00E6101C"/>
    <w:rsid w:val="00E61685"/>
    <w:rsid w:val="00E7759D"/>
    <w:rsid w:val="00E8379F"/>
    <w:rsid w:val="00E862E0"/>
    <w:rsid w:val="00EA4221"/>
    <w:rsid w:val="00EB2C09"/>
    <w:rsid w:val="00EB40C1"/>
    <w:rsid w:val="00EB6163"/>
    <w:rsid w:val="00EC20B9"/>
    <w:rsid w:val="00EE4D9E"/>
    <w:rsid w:val="00EF7570"/>
    <w:rsid w:val="00EF7F7A"/>
    <w:rsid w:val="00F008F8"/>
    <w:rsid w:val="00F019C6"/>
    <w:rsid w:val="00F03A69"/>
    <w:rsid w:val="00F04312"/>
    <w:rsid w:val="00F0629B"/>
    <w:rsid w:val="00F07FDC"/>
    <w:rsid w:val="00F1546C"/>
    <w:rsid w:val="00F15E64"/>
    <w:rsid w:val="00F17BC7"/>
    <w:rsid w:val="00F2061A"/>
    <w:rsid w:val="00F25398"/>
    <w:rsid w:val="00F253A0"/>
    <w:rsid w:val="00F25CE1"/>
    <w:rsid w:val="00F4526E"/>
    <w:rsid w:val="00F57240"/>
    <w:rsid w:val="00F63F86"/>
    <w:rsid w:val="00F66D4E"/>
    <w:rsid w:val="00F722AB"/>
    <w:rsid w:val="00F73035"/>
    <w:rsid w:val="00F73F65"/>
    <w:rsid w:val="00F76A43"/>
    <w:rsid w:val="00F81BC4"/>
    <w:rsid w:val="00F91219"/>
    <w:rsid w:val="00F91FAA"/>
    <w:rsid w:val="00FA263B"/>
    <w:rsid w:val="00FB2354"/>
    <w:rsid w:val="00FB43DA"/>
    <w:rsid w:val="00FB53CF"/>
    <w:rsid w:val="00FB5428"/>
    <w:rsid w:val="00FC16E3"/>
    <w:rsid w:val="00FC3A25"/>
    <w:rsid w:val="00FC7B4D"/>
    <w:rsid w:val="00FD065D"/>
    <w:rsid w:val="00FE0ED7"/>
    <w:rsid w:val="00FF5EB0"/>
    <w:rsid w:val="0E607710"/>
    <w:rsid w:val="17F915E3"/>
    <w:rsid w:val="1C26359D"/>
    <w:rsid w:val="1DD71083"/>
    <w:rsid w:val="1FF95C9E"/>
    <w:rsid w:val="3C7C7B11"/>
    <w:rsid w:val="3F76C6F3"/>
    <w:rsid w:val="3FF55D13"/>
    <w:rsid w:val="57EBC6A5"/>
    <w:rsid w:val="59FF7FC5"/>
    <w:rsid w:val="66560D21"/>
    <w:rsid w:val="6DE9068E"/>
    <w:rsid w:val="78C25DA2"/>
    <w:rsid w:val="7B7E19AB"/>
    <w:rsid w:val="7F77FF39"/>
    <w:rsid w:val="8FFB3654"/>
    <w:rsid w:val="BEFB3449"/>
    <w:rsid w:val="D6BB18BA"/>
    <w:rsid w:val="EF56E54B"/>
    <w:rsid w:val="F27FB8AC"/>
    <w:rsid w:val="FBE6C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ody Text Indent"/>
    <w:basedOn w:val="1"/>
    <w:link w:val="15"/>
    <w:qFormat/>
    <w:uiPriority w:val="0"/>
    <w:pPr>
      <w:ind w:firstLine="964" w:firstLineChars="400"/>
      <w:jc w:val="right"/>
    </w:pPr>
    <w:rPr>
      <w:b/>
      <w:sz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16">
    <w:name w:val="文档结构图 Char"/>
    <w:basedOn w:val="10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mc="http://schemas.openxmlformats.org/markup-compatibility/2006" xmlns:xvml="urn:schemas-microsoft-com:office:excel" xmlns:xdr="http://schemas.openxmlformats.org/drawingml/2006/spreadsheetDrawing" xmlns:odx="http://opendope.org/xpaths" xmlns:a="http://schemas.openxmlformats.org/drawingml/2006/main" xmlns:b="http://schemas.openxmlformats.org/officeDocument/2006/bibliography" xmlns:dsp="http://schemas.microsoft.com/office/drawing/2008/diagram" xmlns:c="http://schemas.openxmlformats.org/drawingml/2006/chart" xmlns:w10="urn:schemas-microsoft-com:office:word" xmlns:wne="http://schemas.microsoft.com/office/word/2006/wordml" xmlns:w14="http://schemas.microsoft.com/office/word/2010/wordml" xmlns:w15="http://schemas.microsoft.com/office/word/2012/wordml" xmlns:comp="http://schemas.openxmlformats.org/drawingml/2006/compatibility" xmlns:m="http://schemas.openxmlformats.org/officeDocument/2006/math" xmlns:wps="http://schemas.microsoft.com/office/word/2010/wordprocessingShape" xmlns:o="urn:schemas-microsoft-com:office:office" xmlns:c14="http://schemas.microsoft.com/office/drawing/2007/8/2/chart" xmlns:r="http://schemas.openxmlformats.org/officeDocument/2006/relationships" xmlns:odgm="http://opendope.org/SmartArt/DataHierarchy" xmlns:v="urn:schemas-microsoft-com:vml" xmlns:pic="http://schemas.openxmlformats.org/drawingml/2006/picture" xmlns:w="http://schemas.openxmlformats.org/wordprocessingml/2006/main" xmlns:dgm="http://schemas.openxmlformats.org/drawingml/2006/diagram" xmlns:lc="http://schemas.openxmlformats.org/drawingml/2006/lockedCanvas" xmlns:we="http://schemas.microsoft.com/office/webextensions/webextension/2010/11" xmlns:w16se="http://schemas.microsoft.com/office/word/2015/wordml/symex" xmlns:oda="http://opendope.org/answers" xmlns:wp14="http://schemas.microsoft.com/office/word/2010/wordprocessingDrawing" xmlns:odc="http://opendope.org/conditions" xmlns:wp="http://schemas.openxmlformats.org/drawingml/2006/wordprocessingDrawing" xmlns:odi="http://opendope.org/components" xmlns:cdr="http://schemas.openxmlformats.org/drawingml/2006/chartDrawing" xmlns:w16cid="http://schemas.microsoft.com/office/word/2016/wordml/cid" xmlns:wetp="http://schemas.microsoft.com/office/webextensions/taskpanes/2010/11" xmlns:sl="http://schemas.openxmlformats.org/schemaLibrary/2006/main" xmlns:pvml="urn:schemas-microsoft-com:office:powerpoint" xmlns:odq="http://opendope.org/questions" xmlns:cppr="http://schemas.microsoft.com/office/2006/coverPageProps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5D337-4A32-4946-A7A4-29721A382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szse</Company>
  <Pages>2</Pages>
  <Words>96</Words>
  <Characters>553</Characters>
  <Lines>4</Lines>
  <Paragraphs>1</Paragraphs>
  <TotalTime>5</TotalTime>
  <ScaleCrop>false</ScaleCrop>
  <LinksUpToDate>false</LinksUpToDate>
  <CharactersWithSpaces>648</CharactersWithSpaces>
  <Application>WPS Office WWO_wpscloud_20230718114805-fe5f90c61f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2023-12-08T07:25:00Z</dcterms:created>
  <dc:creator>任新宇(xyren)</dc:creator>
  <cp:lastModifiedBy>柯素荣</cp:lastModifiedBy>
  <dcterms:modified xsi:type="dcterms:W3CDTF">2024-07-31T19:42:17Z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7894387B577E4EC3A19B3CCF511C07D9</vt:lpwstr>
  </property>
</Properties>
</file>