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7D7BD" w14:textId="77777777" w:rsidR="00921700" w:rsidRPr="00251592" w:rsidRDefault="00921700" w:rsidP="00BC4582">
      <w:pPr>
        <w:snapToGrid w:val="0"/>
        <w:spacing w:line="400" w:lineRule="atLeast"/>
        <w:jc w:val="center"/>
        <w:rPr>
          <w:rFonts w:ascii="宋体" w:eastAsia="宋体" w:hAnsi="宋体" w:cs="Times New Roman"/>
          <w:b/>
          <w:sz w:val="28"/>
          <w:szCs w:val="28"/>
        </w:rPr>
      </w:pPr>
      <w:r w:rsidRPr="00251592">
        <w:rPr>
          <w:rFonts w:ascii="宋体" w:eastAsia="宋体" w:hAnsi="宋体" w:cs="Times New Roman"/>
          <w:b/>
          <w:sz w:val="28"/>
          <w:szCs w:val="28"/>
        </w:rPr>
        <w:t>立信会计师事务所（特殊普通合伙）</w:t>
      </w:r>
    </w:p>
    <w:p w14:paraId="294C203D" w14:textId="77777777" w:rsidR="00921700" w:rsidRPr="00251592" w:rsidRDefault="00921700" w:rsidP="00BC4582">
      <w:pPr>
        <w:snapToGrid w:val="0"/>
        <w:spacing w:line="400" w:lineRule="atLeast"/>
        <w:jc w:val="center"/>
        <w:rPr>
          <w:rFonts w:ascii="宋体" w:eastAsia="宋体" w:hAnsi="宋体" w:cs="Times New Roman"/>
          <w:b/>
          <w:sz w:val="28"/>
          <w:szCs w:val="28"/>
        </w:rPr>
      </w:pPr>
      <w:r w:rsidRPr="00251592">
        <w:rPr>
          <w:rFonts w:ascii="宋体" w:eastAsia="宋体" w:hAnsi="宋体" w:cs="Times New Roman"/>
          <w:b/>
          <w:sz w:val="28"/>
          <w:szCs w:val="28"/>
        </w:rPr>
        <w:t>关于</w:t>
      </w:r>
      <w:r w:rsidRPr="00251592">
        <w:rPr>
          <w:rFonts w:ascii="宋体" w:eastAsia="宋体" w:hAnsi="宋体" w:cs="Times New Roman" w:hint="eastAsia"/>
          <w:b/>
          <w:sz w:val="28"/>
          <w:szCs w:val="28"/>
        </w:rPr>
        <w:t>上海霍普建筑设计事务所股份有限公司</w:t>
      </w:r>
    </w:p>
    <w:p w14:paraId="687D8EF0" w14:textId="5382C272" w:rsidR="00921700" w:rsidRPr="00251592" w:rsidRDefault="00921700" w:rsidP="00BC4582">
      <w:pPr>
        <w:snapToGrid w:val="0"/>
        <w:spacing w:line="400" w:lineRule="atLeast"/>
        <w:jc w:val="center"/>
        <w:rPr>
          <w:rFonts w:ascii="宋体" w:eastAsia="宋体" w:hAnsi="宋体" w:cs="Times New Roman"/>
          <w:b/>
          <w:sz w:val="28"/>
          <w:szCs w:val="28"/>
        </w:rPr>
      </w:pPr>
      <w:r w:rsidRPr="00251592">
        <w:rPr>
          <w:rFonts w:ascii="宋体" w:eastAsia="宋体" w:hAnsi="宋体" w:cs="Times New Roman" w:hint="eastAsia"/>
          <w:b/>
          <w:sz w:val="28"/>
          <w:szCs w:val="28"/>
        </w:rPr>
        <w:t>首次公开发行股票并在创业板上市申请文件</w:t>
      </w:r>
    </w:p>
    <w:p w14:paraId="33E171AB" w14:textId="07DA0F1F" w:rsidR="00921700" w:rsidRPr="00251592" w:rsidRDefault="00351C81" w:rsidP="00BC4582">
      <w:pPr>
        <w:snapToGrid w:val="0"/>
        <w:spacing w:line="400" w:lineRule="atLeast"/>
        <w:jc w:val="center"/>
        <w:rPr>
          <w:rFonts w:ascii="宋体" w:eastAsia="宋体" w:hAnsi="宋体" w:cs="Times New Roman"/>
          <w:b/>
          <w:sz w:val="28"/>
          <w:szCs w:val="28"/>
        </w:rPr>
      </w:pPr>
      <w:r w:rsidRPr="00251592">
        <w:rPr>
          <w:rFonts w:ascii="宋体" w:eastAsia="宋体" w:hAnsi="宋体" w:cs="Times New Roman" w:hint="eastAsia"/>
          <w:b/>
          <w:sz w:val="28"/>
          <w:szCs w:val="28"/>
        </w:rPr>
        <w:t>第二轮</w:t>
      </w:r>
      <w:r w:rsidR="00921700" w:rsidRPr="00251592">
        <w:rPr>
          <w:rFonts w:ascii="宋体" w:eastAsia="宋体" w:hAnsi="宋体" w:cs="Times New Roman" w:hint="eastAsia"/>
          <w:b/>
          <w:sz w:val="28"/>
          <w:szCs w:val="28"/>
        </w:rPr>
        <w:t>审核问询函的回复</w:t>
      </w:r>
      <w:bookmarkStart w:id="0" w:name="_GoBack"/>
      <w:bookmarkEnd w:id="0"/>
    </w:p>
    <w:p w14:paraId="6AD276D9" w14:textId="77777777" w:rsidR="00921700" w:rsidRPr="00251592" w:rsidRDefault="00921700" w:rsidP="00BC4582">
      <w:pPr>
        <w:snapToGrid w:val="0"/>
        <w:spacing w:line="400" w:lineRule="atLeast"/>
        <w:jc w:val="center"/>
        <w:rPr>
          <w:rFonts w:ascii="Times New Roman" w:eastAsiaTheme="majorEastAsia" w:hAnsi="Times New Roman" w:cs="Times New Roman"/>
          <w:b/>
          <w:szCs w:val="21"/>
        </w:rPr>
      </w:pPr>
    </w:p>
    <w:p w14:paraId="272658D9" w14:textId="2C2154ED" w:rsidR="00921700" w:rsidRPr="00251592" w:rsidRDefault="009701EA" w:rsidP="00BC4582">
      <w:pPr>
        <w:snapToGrid w:val="0"/>
        <w:spacing w:line="400" w:lineRule="atLeast"/>
        <w:jc w:val="right"/>
        <w:rPr>
          <w:rFonts w:ascii="Times New Roman" w:eastAsia="宋体" w:hAnsi="Times New Roman" w:cs="Times New Roman"/>
          <w:szCs w:val="21"/>
        </w:rPr>
      </w:pPr>
      <w:r w:rsidRPr="00251592">
        <w:rPr>
          <w:rFonts w:ascii="Times New Roman" w:eastAsia="宋体" w:hAnsi="Times New Roman" w:cs="Times New Roman" w:hint="eastAsia"/>
          <w:szCs w:val="21"/>
        </w:rPr>
        <w:t>信会师函字</w:t>
      </w:r>
      <w:r w:rsidRPr="00251592">
        <w:rPr>
          <w:rFonts w:ascii="Times New Roman" w:eastAsia="宋体" w:hAnsi="Times New Roman" w:cs="Times New Roman"/>
          <w:szCs w:val="21"/>
        </w:rPr>
        <w:t>[202</w:t>
      </w:r>
      <w:r w:rsidR="00C17BBD" w:rsidRPr="00251592">
        <w:rPr>
          <w:rFonts w:ascii="Times New Roman" w:eastAsia="宋体" w:hAnsi="Times New Roman" w:cs="Times New Roman"/>
          <w:szCs w:val="21"/>
        </w:rPr>
        <w:t>1</w:t>
      </w:r>
      <w:r w:rsidRPr="00251592">
        <w:rPr>
          <w:rFonts w:ascii="Times New Roman" w:eastAsia="宋体" w:hAnsi="Times New Roman" w:cs="Times New Roman"/>
          <w:szCs w:val="21"/>
        </w:rPr>
        <w:t>]</w:t>
      </w:r>
      <w:r w:rsidRPr="00251592">
        <w:rPr>
          <w:rFonts w:ascii="Times New Roman" w:eastAsia="宋体" w:hAnsi="Times New Roman" w:cs="Times New Roman"/>
          <w:szCs w:val="21"/>
        </w:rPr>
        <w:t>第</w:t>
      </w:r>
      <w:r w:rsidRPr="00251592">
        <w:rPr>
          <w:rFonts w:ascii="Times New Roman" w:eastAsia="宋体" w:hAnsi="Times New Roman" w:cs="Times New Roman"/>
          <w:szCs w:val="21"/>
        </w:rPr>
        <w:t>ZA</w:t>
      </w:r>
      <w:r w:rsidR="00664CC3" w:rsidRPr="00251592">
        <w:rPr>
          <w:rFonts w:ascii="Times New Roman" w:eastAsia="宋体" w:hAnsi="Times New Roman" w:cs="Times New Roman"/>
          <w:szCs w:val="21"/>
        </w:rPr>
        <w:t>180</w:t>
      </w:r>
      <w:r w:rsidRPr="00251592">
        <w:rPr>
          <w:rFonts w:ascii="Times New Roman" w:eastAsia="宋体" w:hAnsi="Times New Roman" w:cs="Times New Roman"/>
          <w:szCs w:val="21"/>
        </w:rPr>
        <w:t>号</w:t>
      </w:r>
    </w:p>
    <w:p w14:paraId="052B339C" w14:textId="77777777" w:rsidR="00921700" w:rsidRPr="00251592" w:rsidRDefault="00921700" w:rsidP="00BC4582">
      <w:pPr>
        <w:snapToGrid w:val="0"/>
        <w:spacing w:line="400" w:lineRule="atLeast"/>
        <w:jc w:val="center"/>
        <w:rPr>
          <w:rFonts w:ascii="Times New Roman" w:eastAsiaTheme="majorEastAsia" w:hAnsi="Times New Roman" w:cs="Times New Roman"/>
          <w:b/>
          <w:szCs w:val="21"/>
        </w:rPr>
      </w:pPr>
    </w:p>
    <w:p w14:paraId="656792AE" w14:textId="77777777" w:rsidR="00921700" w:rsidRPr="00251592" w:rsidRDefault="00921700" w:rsidP="00BC4582">
      <w:pPr>
        <w:tabs>
          <w:tab w:val="left" w:pos="1330"/>
        </w:tabs>
        <w:spacing w:beforeLines="50" w:before="156" w:line="400" w:lineRule="atLeast"/>
        <w:rPr>
          <w:rFonts w:ascii="宋体" w:eastAsia="宋体" w:hAnsi="宋体" w:cs="Arial"/>
          <w:b/>
          <w:szCs w:val="21"/>
        </w:rPr>
      </w:pPr>
      <w:r w:rsidRPr="00251592">
        <w:rPr>
          <w:rFonts w:ascii="宋体" w:eastAsia="宋体" w:hAnsi="宋体" w:cs="Arial"/>
          <w:b/>
          <w:szCs w:val="21"/>
        </w:rPr>
        <w:t>深圳证券交易所：</w:t>
      </w:r>
    </w:p>
    <w:p w14:paraId="51730117" w14:textId="6302AA06" w:rsidR="00921700" w:rsidRPr="00251592" w:rsidRDefault="00921700" w:rsidP="00BC4582">
      <w:pPr>
        <w:pStyle w:val="005"/>
        <w:spacing w:before="156" w:line="400" w:lineRule="atLeast"/>
        <w:ind w:firstLine="420"/>
        <w:rPr>
          <w:rFonts w:ascii="宋体" w:hAnsi="宋体" w:cs="Arial"/>
          <w:sz w:val="21"/>
          <w:szCs w:val="21"/>
        </w:rPr>
      </w:pPr>
      <w:r w:rsidRPr="00251592">
        <w:rPr>
          <w:rFonts w:ascii="宋体" w:hAnsi="宋体" w:cs="Arial" w:hint="eastAsia"/>
          <w:sz w:val="21"/>
          <w:szCs w:val="21"/>
        </w:rPr>
        <w:t>贵所出具的《</w:t>
      </w:r>
      <w:r w:rsidR="006E49A8" w:rsidRPr="00251592">
        <w:rPr>
          <w:rFonts w:ascii="宋体" w:hAnsi="宋体" w:cs="Arial" w:hint="eastAsia"/>
          <w:sz w:val="21"/>
          <w:szCs w:val="21"/>
        </w:rPr>
        <w:t>关于上海霍普建筑设计事务所股份有限公司首次公开发行股票并在创业板上市申请文件的第二轮审核问询函</w:t>
      </w:r>
      <w:r w:rsidRPr="00251592">
        <w:rPr>
          <w:rFonts w:ascii="宋体" w:hAnsi="宋体" w:cs="Arial" w:hint="eastAsia"/>
          <w:sz w:val="21"/>
          <w:szCs w:val="21"/>
        </w:rPr>
        <w:t>》收悉。根据贵所提出的相关问题，本会计师事务所本着真实、准确、完整的原则进行了逐项回复，具体回复内容如下：</w:t>
      </w:r>
    </w:p>
    <w:p w14:paraId="43FDAE11" w14:textId="77777777" w:rsidR="00921700" w:rsidRPr="00251592" w:rsidRDefault="00921700" w:rsidP="00BC4582">
      <w:pPr>
        <w:spacing w:line="400" w:lineRule="atLeast"/>
        <w:jc w:val="center"/>
        <w:rPr>
          <w:rFonts w:ascii="宋体" w:eastAsia="宋体" w:hAnsi="宋体" w:cs="Times New Roman"/>
          <w:b/>
          <w:szCs w:val="21"/>
        </w:rPr>
      </w:pPr>
    </w:p>
    <w:p w14:paraId="04433EBE" w14:textId="77777777" w:rsidR="00C17BBD" w:rsidRPr="00251592" w:rsidRDefault="00C17BBD" w:rsidP="00C17BBD">
      <w:pPr>
        <w:pStyle w:val="af6"/>
        <w:ind w:firstLine="422"/>
        <w:rPr>
          <w:rFonts w:ascii="宋体" w:hAnsi="宋体"/>
          <w:sz w:val="21"/>
          <w:szCs w:val="21"/>
        </w:rPr>
      </w:pPr>
      <w:bookmarkStart w:id="1" w:name="_Toc55861282"/>
      <w:r w:rsidRPr="00251592">
        <w:rPr>
          <w:rFonts w:ascii="宋体" w:hAnsi="宋体" w:hint="eastAsia"/>
          <w:sz w:val="21"/>
          <w:szCs w:val="21"/>
        </w:rPr>
        <w:t>问题</w:t>
      </w:r>
      <w:r w:rsidRPr="00251592">
        <w:rPr>
          <w:rFonts w:ascii="宋体" w:hAnsi="宋体"/>
          <w:sz w:val="21"/>
          <w:szCs w:val="21"/>
        </w:rPr>
        <w:t>5</w:t>
      </w:r>
      <w:bookmarkEnd w:id="1"/>
    </w:p>
    <w:p w14:paraId="22CAA35E"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hint="eastAsia"/>
          <w:sz w:val="21"/>
          <w:szCs w:val="21"/>
        </w:rPr>
        <w:t>5.</w:t>
      </w:r>
      <w:r w:rsidRPr="00251592">
        <w:rPr>
          <w:rFonts w:ascii="宋体" w:eastAsia="宋体" w:hAnsi="宋体"/>
          <w:sz w:val="21"/>
          <w:szCs w:val="21"/>
        </w:rPr>
        <w:t xml:space="preserve"> 根据申报材料及审核问询回复，发行人建筑设计业务</w:t>
      </w:r>
      <w:proofErr w:type="gramStart"/>
      <w:r w:rsidRPr="00251592">
        <w:rPr>
          <w:rFonts w:ascii="宋体" w:eastAsia="宋体" w:hAnsi="宋体"/>
          <w:sz w:val="21"/>
          <w:szCs w:val="21"/>
        </w:rPr>
        <w:t>按照按照</w:t>
      </w:r>
      <w:proofErr w:type="gramEnd"/>
      <w:r w:rsidRPr="00251592">
        <w:rPr>
          <w:rFonts w:ascii="宋体" w:eastAsia="宋体" w:hAnsi="宋体"/>
          <w:sz w:val="21"/>
          <w:szCs w:val="21"/>
        </w:rPr>
        <w:t>合同约定的应收合同款项，分阶段确认收入。报告期内，发行人存在合同改价情形，包括合同金额调增3项、合同金额调减7项，其中珠海市金湾高尔夫项目二期建设工程设计咨询合同、甘肃秦安县郑川村旅游地产项目一期建设工程设计合同（房屋建筑工程）、江门市新会骏凯豪庭08地块项目建设工程设计咨询合同等项目存在较大金额改价。发行人在前次问询回复中解释相关收入变动原因时，多数只是解释当年确认了多少收入，并未明确说明当年收入新增或减少情况，未能有针对性地回复问询。请发行人：（1）补充披露完工百分比的具体确认方法，报告期内各建筑设计项目完工百分比的确认依据是否充分合规，不同项目各阶段收入确认比例是否存在较大差异，是否存在提前确认收入的情形；（2）详细说明报告期内存在合同改价情形的具体原因，特别是改价金额较大的合同，而不仅是用“设计变更”作为合同改价的原因；（3）补充披露发行人预收客户设计费用在后续收入确认环节的具体处理，结合合同条款约定、行业惯例、同行业可比公司相关会计处理等分析发行人会计处理的合规性，并补充披露按照同行业可比公司预收账款后续会计处理对发行人财务报表的影响；（4）补充说明当年收入新增或减少情况，完善相关回复内容，并在招股说明书中予以更新。</w:t>
      </w:r>
    </w:p>
    <w:p w14:paraId="52EA044B"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请保荐人、申报会计师发表明确意见。</w:t>
      </w:r>
    </w:p>
    <w:p w14:paraId="76B3A575"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6AB798CF"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lastRenderedPageBreak/>
        <w:t>（一）</w:t>
      </w:r>
      <w:r w:rsidRPr="00251592">
        <w:rPr>
          <w:rFonts w:ascii="宋体" w:eastAsia="宋体" w:hAnsi="宋体"/>
          <w:sz w:val="21"/>
          <w:szCs w:val="21"/>
        </w:rPr>
        <w:t>补充披露完工百分比的具体确认方法，报告期内各建筑设计项目完工百分比的确认依据是否充分合规，不同项目各阶段收入确认比例是否存在较大差异，是否存在提前确认收入的情形</w:t>
      </w:r>
    </w:p>
    <w:p w14:paraId="3D53AB54" w14:textId="42AD241C" w:rsidR="00C17BBD" w:rsidRPr="00251592" w:rsidRDefault="00622023"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1</w:t>
      </w:r>
      <w:r w:rsidR="00C17BBD" w:rsidRPr="00251592">
        <w:rPr>
          <w:rFonts w:ascii="宋体" w:eastAsia="宋体" w:hAnsi="宋体"/>
          <w:b w:val="0"/>
          <w:bCs w:val="0"/>
          <w:sz w:val="21"/>
          <w:szCs w:val="21"/>
        </w:rPr>
        <w:t>、公司收入确认完工百分比的具体方法，不同项目各阶段收入确认比例是否存在较大差异</w:t>
      </w:r>
    </w:p>
    <w:p w14:paraId="4DE07FD8" w14:textId="77777777" w:rsidR="00C17BBD" w:rsidRPr="00251592" w:rsidRDefault="00C17BBD"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根据公司与各主要客户签订合同的一般条款，公司设计业务的执行流程一般可划分为概念规划设计、方案设计、初步设计、施工图提资、施工配合服务等多个阶段，合同对各阶段工作任务、工作成果、结算金额约定明确。当阶段性工作量完成、向客户交付对应阶段的设计文件并经客户认可后，按照合同约定，公司有权收取相应阶段对应的合同款项，进而确认相应收入。</w:t>
      </w:r>
    </w:p>
    <w:p w14:paraId="38956280" w14:textId="77777777" w:rsidR="00C17BBD" w:rsidRPr="00251592" w:rsidRDefault="00C17BBD"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各业务阶段完工百分比的具体确认方法，即各阶段的合同结算价款的金额、比例的确定，系综</w:t>
      </w:r>
      <w:proofErr w:type="gramStart"/>
      <w:r w:rsidRPr="00251592">
        <w:rPr>
          <w:rFonts w:ascii="宋体" w:eastAsia="宋体" w:hAnsi="宋体"/>
          <w:b w:val="0"/>
          <w:bCs w:val="0"/>
          <w:sz w:val="21"/>
          <w:szCs w:val="21"/>
        </w:rPr>
        <w:t>合考虑</w:t>
      </w:r>
      <w:proofErr w:type="gramEnd"/>
      <w:r w:rsidRPr="00251592">
        <w:rPr>
          <w:rFonts w:ascii="宋体" w:eastAsia="宋体" w:hAnsi="宋体"/>
          <w:b w:val="0"/>
          <w:bCs w:val="0"/>
          <w:sz w:val="21"/>
          <w:szCs w:val="21"/>
        </w:rPr>
        <w:t>公司在该合同各业务阶段的工作量投入量、客户认可的成果价值量，并经双方协商、谈判议定。设计项目天然存在个性化差异，对于不同项目，公司各阶段具体工作任务、设计成果往往存在一定差异，因此各阶段对应的工作量及相应的合同收款金额也必然存在一定差异。</w:t>
      </w:r>
    </w:p>
    <w:p w14:paraId="55F0AAF4" w14:textId="77777777" w:rsidR="00C17BBD" w:rsidRPr="00251592" w:rsidRDefault="00C17BBD"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通常情况下，不同项目各阶段约定的各节点结算情况处于合理范围，经客户认可并于合同中载明，相应各阶段确认收入的比例与各阶段工作量的投入</w:t>
      </w:r>
      <w:proofErr w:type="gramStart"/>
      <w:r w:rsidRPr="00251592">
        <w:rPr>
          <w:rFonts w:ascii="宋体" w:eastAsia="宋体" w:hAnsi="宋体"/>
          <w:b w:val="0"/>
          <w:bCs w:val="0"/>
          <w:sz w:val="21"/>
          <w:szCs w:val="21"/>
        </w:rPr>
        <w:t>量整体</w:t>
      </w:r>
      <w:proofErr w:type="gramEnd"/>
      <w:r w:rsidRPr="00251592">
        <w:rPr>
          <w:rFonts w:ascii="宋体" w:eastAsia="宋体" w:hAnsi="宋体"/>
          <w:b w:val="0"/>
          <w:bCs w:val="0"/>
          <w:sz w:val="21"/>
          <w:szCs w:val="21"/>
        </w:rPr>
        <w:t>相符，不同项目各阶段收入确认比例不存在较大差异。</w:t>
      </w:r>
    </w:p>
    <w:p w14:paraId="0CDB4669" w14:textId="027D59E7" w:rsidR="00C17BBD" w:rsidRPr="00251592" w:rsidRDefault="00622023"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2</w:t>
      </w:r>
      <w:r w:rsidR="00C17BBD" w:rsidRPr="00251592">
        <w:rPr>
          <w:rFonts w:ascii="宋体" w:eastAsia="宋体" w:hAnsi="宋体"/>
          <w:b w:val="0"/>
          <w:bCs w:val="0"/>
          <w:sz w:val="21"/>
          <w:szCs w:val="21"/>
        </w:rPr>
        <w:t>、报告期内各建筑设计项目完工百分比的确认依据是否充分合</w:t>
      </w:r>
      <w:proofErr w:type="gramStart"/>
      <w:r w:rsidR="00C17BBD" w:rsidRPr="00251592">
        <w:rPr>
          <w:rFonts w:ascii="宋体" w:eastAsia="宋体" w:hAnsi="宋体"/>
          <w:b w:val="0"/>
          <w:bCs w:val="0"/>
          <w:sz w:val="21"/>
          <w:szCs w:val="21"/>
        </w:rPr>
        <w:t>规</w:t>
      </w:r>
      <w:proofErr w:type="gramEnd"/>
      <w:r w:rsidR="00C17BBD" w:rsidRPr="00251592">
        <w:rPr>
          <w:rFonts w:ascii="宋体" w:eastAsia="宋体" w:hAnsi="宋体"/>
          <w:b w:val="0"/>
          <w:bCs w:val="0"/>
          <w:sz w:val="21"/>
          <w:szCs w:val="21"/>
        </w:rPr>
        <w:t>，是否存在提前确认收入的情形</w:t>
      </w:r>
    </w:p>
    <w:p w14:paraId="5328CF9C" w14:textId="77777777" w:rsidR="00C17BBD" w:rsidRPr="00251592" w:rsidRDefault="00C17BBD"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报告期内，公司设计项目各阶段确认收入的依据为客户出具的确认文件，上述确认文件对已完成的项目工作量及相应的结算金额进行确认。公司在取得上述确认文件后，确认相应阶段的收入，确认依据充分、合</w:t>
      </w:r>
      <w:proofErr w:type="gramStart"/>
      <w:r w:rsidRPr="00251592">
        <w:rPr>
          <w:rFonts w:ascii="宋体" w:eastAsia="宋体" w:hAnsi="宋体"/>
          <w:b w:val="0"/>
          <w:bCs w:val="0"/>
          <w:sz w:val="21"/>
          <w:szCs w:val="21"/>
        </w:rPr>
        <w:t>规</w:t>
      </w:r>
      <w:proofErr w:type="gramEnd"/>
      <w:r w:rsidRPr="00251592">
        <w:rPr>
          <w:rFonts w:ascii="宋体" w:eastAsia="宋体" w:hAnsi="宋体"/>
          <w:b w:val="0"/>
          <w:bCs w:val="0"/>
          <w:sz w:val="21"/>
          <w:szCs w:val="21"/>
        </w:rPr>
        <w:t>，且符合《企业会计准则》的要求，不存在提前确认收入的情形。</w:t>
      </w:r>
    </w:p>
    <w:p w14:paraId="5FB1669E"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（二）</w:t>
      </w:r>
      <w:r w:rsidRPr="00251592">
        <w:rPr>
          <w:rFonts w:ascii="宋体" w:eastAsia="宋体" w:hAnsi="宋体"/>
          <w:sz w:val="21"/>
          <w:szCs w:val="21"/>
        </w:rPr>
        <w:t>详细说明报告期内存在</w:t>
      </w:r>
      <w:proofErr w:type="gramStart"/>
      <w:r w:rsidRPr="00251592">
        <w:rPr>
          <w:rFonts w:ascii="宋体" w:eastAsia="宋体" w:hAnsi="宋体"/>
          <w:sz w:val="21"/>
          <w:szCs w:val="21"/>
        </w:rPr>
        <w:t>合同改价情形</w:t>
      </w:r>
      <w:proofErr w:type="gramEnd"/>
      <w:r w:rsidRPr="00251592">
        <w:rPr>
          <w:rFonts w:ascii="宋体" w:eastAsia="宋体" w:hAnsi="宋体"/>
          <w:sz w:val="21"/>
          <w:szCs w:val="21"/>
        </w:rPr>
        <w:t>的具体原因，特别是</w:t>
      </w:r>
      <w:proofErr w:type="gramStart"/>
      <w:r w:rsidRPr="00251592">
        <w:rPr>
          <w:rFonts w:ascii="宋体" w:eastAsia="宋体" w:hAnsi="宋体"/>
          <w:sz w:val="21"/>
          <w:szCs w:val="21"/>
        </w:rPr>
        <w:t>改价金额</w:t>
      </w:r>
      <w:proofErr w:type="gramEnd"/>
      <w:r w:rsidRPr="00251592">
        <w:rPr>
          <w:rFonts w:ascii="宋体" w:eastAsia="宋体" w:hAnsi="宋体"/>
          <w:sz w:val="21"/>
          <w:szCs w:val="21"/>
        </w:rPr>
        <w:t>较大的合同，而不仅是用“设计变更”作为</w:t>
      </w:r>
      <w:proofErr w:type="gramStart"/>
      <w:r w:rsidRPr="00251592">
        <w:rPr>
          <w:rFonts w:ascii="宋体" w:eastAsia="宋体" w:hAnsi="宋体"/>
          <w:sz w:val="21"/>
          <w:szCs w:val="21"/>
        </w:rPr>
        <w:t>合同改价的</w:t>
      </w:r>
      <w:proofErr w:type="gramEnd"/>
      <w:r w:rsidRPr="00251592">
        <w:rPr>
          <w:rFonts w:ascii="宋体" w:eastAsia="宋体" w:hAnsi="宋体"/>
          <w:sz w:val="21"/>
          <w:szCs w:val="21"/>
        </w:rPr>
        <w:t>原因</w:t>
      </w:r>
    </w:p>
    <w:p w14:paraId="09BEE482" w14:textId="77777777" w:rsidR="00C17BBD" w:rsidRPr="00251592" w:rsidRDefault="00C17BBD" w:rsidP="00C17BBD">
      <w:pPr>
        <w:widowControl/>
        <w:spacing w:beforeLines="50" w:before="156" w:afterLines="50" w:after="156" w:line="360" w:lineRule="auto"/>
        <w:ind w:firstLine="482"/>
        <w:rPr>
          <w:rFonts w:ascii="宋体" w:eastAsia="宋体" w:hAnsi="宋体" w:cs="Times New Roman"/>
          <w:kern w:val="0"/>
          <w:szCs w:val="21"/>
        </w:rPr>
      </w:pPr>
      <w:r w:rsidRPr="00251592">
        <w:rPr>
          <w:rFonts w:ascii="宋体" w:eastAsia="宋体" w:hAnsi="宋体" w:cs="Times New Roman"/>
          <w:kern w:val="0"/>
          <w:szCs w:val="21"/>
        </w:rPr>
        <w:lastRenderedPageBreak/>
        <w:t>报告期内，由于客户土地未能如期取得、客户变更开发计划等原因，公司</w:t>
      </w:r>
      <w:r w:rsidRPr="00251592">
        <w:rPr>
          <w:rFonts w:ascii="宋体" w:eastAsia="宋体" w:hAnsi="宋体" w:cs="Times New Roman" w:hint="eastAsia"/>
          <w:kern w:val="0"/>
          <w:szCs w:val="21"/>
        </w:rPr>
        <w:t>于报告期内</w:t>
      </w:r>
      <w:r w:rsidRPr="00251592">
        <w:rPr>
          <w:rFonts w:ascii="宋体" w:eastAsia="宋体" w:hAnsi="宋体" w:cs="Times New Roman"/>
          <w:kern w:val="0"/>
          <w:szCs w:val="21"/>
        </w:rPr>
        <w:t>签订</w:t>
      </w:r>
      <w:r w:rsidRPr="00251592">
        <w:rPr>
          <w:rFonts w:ascii="宋体" w:eastAsia="宋体" w:hAnsi="宋体" w:cs="Times New Roman" w:hint="eastAsia"/>
          <w:kern w:val="0"/>
          <w:szCs w:val="21"/>
        </w:rPr>
        <w:t>的</w:t>
      </w:r>
      <w:r w:rsidRPr="00251592">
        <w:rPr>
          <w:rFonts w:ascii="宋体" w:eastAsia="宋体" w:hAnsi="宋体" w:cs="Times New Roman"/>
          <w:kern w:val="0"/>
          <w:szCs w:val="21"/>
        </w:rPr>
        <w:t>业务合同存在</w:t>
      </w:r>
      <w:proofErr w:type="gramStart"/>
      <w:r w:rsidRPr="00251592">
        <w:rPr>
          <w:rFonts w:ascii="宋体" w:eastAsia="宋体" w:hAnsi="宋体" w:cs="Times New Roman"/>
          <w:kern w:val="0"/>
          <w:szCs w:val="21"/>
        </w:rPr>
        <w:t>合同改价情形</w:t>
      </w:r>
      <w:proofErr w:type="gramEnd"/>
      <w:r w:rsidRPr="00251592">
        <w:rPr>
          <w:rFonts w:ascii="宋体" w:eastAsia="宋体" w:hAnsi="宋体" w:cs="Times New Roman"/>
          <w:kern w:val="0"/>
          <w:szCs w:val="21"/>
        </w:rPr>
        <w:t>，其中合同金额调增3项、合同金额调减5项，具体情况如下：</w:t>
      </w:r>
    </w:p>
    <w:p w14:paraId="7B5105B2" w14:textId="77777777" w:rsidR="00C17BBD" w:rsidRPr="00251592" w:rsidRDefault="00C17BBD" w:rsidP="00C17BBD">
      <w:pPr>
        <w:widowControl/>
        <w:jc w:val="right"/>
        <w:rPr>
          <w:rFonts w:ascii="宋体" w:eastAsia="宋体" w:hAnsi="宋体" w:cs="Times New Roman"/>
          <w:kern w:val="0"/>
          <w:szCs w:val="21"/>
        </w:rPr>
      </w:pPr>
      <w:r w:rsidRPr="00251592">
        <w:rPr>
          <w:rFonts w:ascii="宋体" w:eastAsia="宋体" w:hAnsi="宋体" w:cs="Times New Roman"/>
          <w:kern w:val="0"/>
          <w:szCs w:val="21"/>
        </w:rPr>
        <w:t>单位：万元</w:t>
      </w:r>
    </w:p>
    <w:tbl>
      <w:tblPr>
        <w:tblW w:w="10544"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701"/>
        <w:gridCol w:w="425"/>
        <w:gridCol w:w="2835"/>
        <w:gridCol w:w="2503"/>
        <w:gridCol w:w="820"/>
        <w:gridCol w:w="1134"/>
        <w:gridCol w:w="1134"/>
        <w:gridCol w:w="992"/>
      </w:tblGrid>
      <w:tr w:rsidR="00C17BBD" w:rsidRPr="00251592" w14:paraId="3923632C" w14:textId="77777777" w:rsidTr="00622023">
        <w:trPr>
          <w:trHeight w:val="397"/>
          <w:jc w:val="center"/>
        </w:trPr>
        <w:tc>
          <w:tcPr>
            <w:tcW w:w="701" w:type="dxa"/>
            <w:vAlign w:val="center"/>
          </w:tcPr>
          <w:p w14:paraId="6E547FE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变更类型</w:t>
            </w:r>
          </w:p>
        </w:tc>
        <w:tc>
          <w:tcPr>
            <w:tcW w:w="425" w:type="dxa"/>
            <w:shd w:val="clear" w:color="auto" w:fill="auto"/>
            <w:vAlign w:val="center"/>
          </w:tcPr>
          <w:p w14:paraId="3ABB1BFB"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序号</w:t>
            </w:r>
          </w:p>
        </w:tc>
        <w:tc>
          <w:tcPr>
            <w:tcW w:w="2835" w:type="dxa"/>
            <w:shd w:val="clear" w:color="auto" w:fill="auto"/>
            <w:vAlign w:val="center"/>
          </w:tcPr>
          <w:p w14:paraId="372D310B"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合同变更原因</w:t>
            </w:r>
          </w:p>
        </w:tc>
        <w:tc>
          <w:tcPr>
            <w:tcW w:w="2503" w:type="dxa"/>
            <w:shd w:val="clear" w:color="auto" w:fill="auto"/>
            <w:noWrap/>
            <w:vAlign w:val="center"/>
          </w:tcPr>
          <w:p w14:paraId="5BBF4A1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合同名称</w:t>
            </w:r>
          </w:p>
        </w:tc>
        <w:tc>
          <w:tcPr>
            <w:tcW w:w="820" w:type="dxa"/>
            <w:shd w:val="clear" w:color="auto" w:fill="auto"/>
            <w:vAlign w:val="center"/>
          </w:tcPr>
          <w:p w14:paraId="5489243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签署</w:t>
            </w:r>
          </w:p>
          <w:p w14:paraId="2C3E90F2"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日期</w:t>
            </w:r>
          </w:p>
        </w:tc>
        <w:tc>
          <w:tcPr>
            <w:tcW w:w="1134" w:type="dxa"/>
            <w:shd w:val="clear" w:color="auto" w:fill="auto"/>
            <w:vAlign w:val="center"/>
          </w:tcPr>
          <w:p w14:paraId="774B5446"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变更前合同金额</w:t>
            </w:r>
          </w:p>
        </w:tc>
        <w:tc>
          <w:tcPr>
            <w:tcW w:w="1134" w:type="dxa"/>
            <w:vAlign w:val="center"/>
          </w:tcPr>
          <w:p w14:paraId="1FED02C2"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调整后合同金额</w:t>
            </w:r>
          </w:p>
        </w:tc>
        <w:tc>
          <w:tcPr>
            <w:tcW w:w="992" w:type="dxa"/>
            <w:shd w:val="clear" w:color="auto" w:fill="auto"/>
            <w:vAlign w:val="center"/>
          </w:tcPr>
          <w:p w14:paraId="628F93BB"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变动额占比</w:t>
            </w:r>
          </w:p>
        </w:tc>
      </w:tr>
      <w:tr w:rsidR="00C17BBD" w:rsidRPr="00251592" w14:paraId="464B59C9" w14:textId="77777777" w:rsidTr="00622023">
        <w:trPr>
          <w:trHeight w:val="397"/>
          <w:jc w:val="center"/>
        </w:trPr>
        <w:tc>
          <w:tcPr>
            <w:tcW w:w="701" w:type="dxa"/>
            <w:vMerge w:val="restart"/>
            <w:vAlign w:val="center"/>
          </w:tcPr>
          <w:p w14:paraId="1DA05A97"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合同金额调增</w:t>
            </w:r>
          </w:p>
        </w:tc>
        <w:tc>
          <w:tcPr>
            <w:tcW w:w="425" w:type="dxa"/>
            <w:shd w:val="clear" w:color="auto" w:fill="auto"/>
            <w:vAlign w:val="center"/>
          </w:tcPr>
          <w:p w14:paraId="2BC010E6"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1</w:t>
            </w:r>
          </w:p>
        </w:tc>
        <w:tc>
          <w:tcPr>
            <w:tcW w:w="2835" w:type="dxa"/>
            <w:shd w:val="clear" w:color="auto" w:fill="auto"/>
            <w:vAlign w:val="center"/>
          </w:tcPr>
          <w:p w14:paraId="02550A52" w14:textId="77777777" w:rsidR="00C17BBD" w:rsidRPr="00251592" w:rsidRDefault="00C17BBD" w:rsidP="008A2055">
            <w:pPr>
              <w:widowControl/>
              <w:jc w:val="left"/>
              <w:rPr>
                <w:rFonts w:ascii="宋体" w:eastAsia="宋体" w:hAnsi="宋体" w:cs="Times New Roman"/>
                <w:kern w:val="0"/>
                <w:sz w:val="18"/>
                <w:szCs w:val="18"/>
              </w:rPr>
            </w:pPr>
            <w:r w:rsidRPr="00251592">
              <w:rPr>
                <w:rFonts w:ascii="宋体" w:eastAsia="宋体" w:hAnsi="宋体" w:cs="Times New Roman"/>
                <w:color w:val="000000"/>
                <w:sz w:val="18"/>
                <w:szCs w:val="18"/>
              </w:rPr>
              <w:t>因项目用地规划条件调整、容积率变化导致的建筑面积变更，经双方协商，予以调整合同价款。</w:t>
            </w:r>
          </w:p>
        </w:tc>
        <w:tc>
          <w:tcPr>
            <w:tcW w:w="2503" w:type="dxa"/>
            <w:shd w:val="clear" w:color="auto" w:fill="auto"/>
            <w:noWrap/>
            <w:vAlign w:val="center"/>
          </w:tcPr>
          <w:p w14:paraId="13799933"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潍坊绿地城项目J13地块建筑设计咨询合同（方案设计）</w:t>
            </w:r>
          </w:p>
        </w:tc>
        <w:tc>
          <w:tcPr>
            <w:tcW w:w="820" w:type="dxa"/>
            <w:shd w:val="clear" w:color="auto" w:fill="auto"/>
            <w:vAlign w:val="center"/>
          </w:tcPr>
          <w:p w14:paraId="3AF6EFDA"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2018</w:t>
            </w:r>
          </w:p>
        </w:tc>
        <w:tc>
          <w:tcPr>
            <w:tcW w:w="1134" w:type="dxa"/>
            <w:shd w:val="clear" w:color="auto" w:fill="auto"/>
            <w:vAlign w:val="center"/>
          </w:tcPr>
          <w:p w14:paraId="2E5C6320"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325.32</w:t>
            </w:r>
          </w:p>
        </w:tc>
        <w:tc>
          <w:tcPr>
            <w:tcW w:w="1134" w:type="dxa"/>
            <w:vAlign w:val="center"/>
          </w:tcPr>
          <w:p w14:paraId="29538FCE"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369.20</w:t>
            </w:r>
          </w:p>
        </w:tc>
        <w:tc>
          <w:tcPr>
            <w:tcW w:w="992" w:type="dxa"/>
            <w:shd w:val="clear" w:color="auto" w:fill="auto"/>
            <w:vAlign w:val="center"/>
          </w:tcPr>
          <w:p w14:paraId="05C088C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13.49%</w:t>
            </w:r>
          </w:p>
        </w:tc>
      </w:tr>
      <w:tr w:rsidR="00C17BBD" w:rsidRPr="00251592" w14:paraId="41F43034" w14:textId="77777777" w:rsidTr="00622023">
        <w:trPr>
          <w:trHeight w:val="397"/>
          <w:jc w:val="center"/>
        </w:trPr>
        <w:tc>
          <w:tcPr>
            <w:tcW w:w="701" w:type="dxa"/>
            <w:vMerge/>
            <w:vAlign w:val="center"/>
          </w:tcPr>
          <w:p w14:paraId="53C04FA8"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425" w:type="dxa"/>
            <w:shd w:val="clear" w:color="auto" w:fill="auto"/>
            <w:vAlign w:val="center"/>
          </w:tcPr>
          <w:p w14:paraId="13BCBF7E"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w:t>
            </w:r>
          </w:p>
        </w:tc>
        <w:tc>
          <w:tcPr>
            <w:tcW w:w="2835" w:type="dxa"/>
            <w:shd w:val="clear" w:color="auto" w:fill="auto"/>
            <w:vAlign w:val="center"/>
          </w:tcPr>
          <w:p w14:paraId="4B0B07FC" w14:textId="77777777" w:rsidR="00C17BBD" w:rsidRPr="00251592" w:rsidRDefault="00C17BBD" w:rsidP="008A2055">
            <w:pPr>
              <w:widowControl/>
              <w:jc w:val="left"/>
              <w:rPr>
                <w:rFonts w:ascii="宋体" w:eastAsia="宋体" w:hAnsi="宋体" w:cs="Times New Roman"/>
                <w:kern w:val="0"/>
                <w:sz w:val="18"/>
                <w:szCs w:val="18"/>
              </w:rPr>
            </w:pPr>
            <w:r w:rsidRPr="00251592">
              <w:rPr>
                <w:rFonts w:ascii="宋体" w:eastAsia="宋体" w:hAnsi="宋体" w:cs="Times New Roman"/>
                <w:color w:val="000000"/>
                <w:sz w:val="18"/>
                <w:szCs w:val="18"/>
              </w:rPr>
              <w:t>因项目用地规划条件调整、容积率变化导致的建筑面积变更，经双方协商，予以调整合同价款。</w:t>
            </w:r>
          </w:p>
        </w:tc>
        <w:tc>
          <w:tcPr>
            <w:tcW w:w="2503" w:type="dxa"/>
            <w:shd w:val="clear" w:color="auto" w:fill="auto"/>
            <w:noWrap/>
            <w:vAlign w:val="center"/>
          </w:tcPr>
          <w:p w14:paraId="013E25C4"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潍坊绿地城项目J14地块建筑设计咨询合同（方案设计）</w:t>
            </w:r>
          </w:p>
        </w:tc>
        <w:tc>
          <w:tcPr>
            <w:tcW w:w="820" w:type="dxa"/>
            <w:shd w:val="clear" w:color="auto" w:fill="auto"/>
            <w:vAlign w:val="center"/>
          </w:tcPr>
          <w:p w14:paraId="483B942A"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2018</w:t>
            </w:r>
          </w:p>
        </w:tc>
        <w:tc>
          <w:tcPr>
            <w:tcW w:w="1134" w:type="dxa"/>
            <w:shd w:val="clear" w:color="auto" w:fill="auto"/>
            <w:vAlign w:val="center"/>
          </w:tcPr>
          <w:p w14:paraId="30AFDF6F"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615.03</w:t>
            </w:r>
          </w:p>
        </w:tc>
        <w:tc>
          <w:tcPr>
            <w:tcW w:w="1134" w:type="dxa"/>
            <w:vAlign w:val="center"/>
          </w:tcPr>
          <w:p w14:paraId="661B71E6"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737.35</w:t>
            </w:r>
          </w:p>
        </w:tc>
        <w:tc>
          <w:tcPr>
            <w:tcW w:w="992" w:type="dxa"/>
            <w:shd w:val="clear" w:color="auto" w:fill="auto"/>
            <w:vAlign w:val="center"/>
          </w:tcPr>
          <w:p w14:paraId="45ED76D2"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19.89%</w:t>
            </w:r>
          </w:p>
        </w:tc>
      </w:tr>
      <w:tr w:rsidR="00C17BBD" w:rsidRPr="00251592" w14:paraId="09408979" w14:textId="77777777" w:rsidTr="00622023">
        <w:trPr>
          <w:trHeight w:val="397"/>
          <w:jc w:val="center"/>
        </w:trPr>
        <w:tc>
          <w:tcPr>
            <w:tcW w:w="701" w:type="dxa"/>
            <w:vMerge/>
            <w:vAlign w:val="center"/>
          </w:tcPr>
          <w:p w14:paraId="4FEA1388"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425" w:type="dxa"/>
            <w:shd w:val="clear" w:color="auto" w:fill="auto"/>
            <w:vAlign w:val="center"/>
          </w:tcPr>
          <w:p w14:paraId="61FC1DAC"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hint="eastAsia"/>
                <w:color w:val="000000"/>
                <w:kern w:val="0"/>
                <w:sz w:val="18"/>
                <w:szCs w:val="18"/>
              </w:rPr>
              <w:t>3</w:t>
            </w:r>
          </w:p>
        </w:tc>
        <w:tc>
          <w:tcPr>
            <w:tcW w:w="2835" w:type="dxa"/>
            <w:shd w:val="clear" w:color="auto" w:fill="auto"/>
            <w:vAlign w:val="center"/>
          </w:tcPr>
          <w:p w14:paraId="200B4473" w14:textId="77777777" w:rsidR="00C17BBD" w:rsidRPr="00251592" w:rsidRDefault="00C17BBD" w:rsidP="008A2055">
            <w:pPr>
              <w:widowControl/>
              <w:jc w:val="left"/>
              <w:rPr>
                <w:rFonts w:ascii="宋体" w:eastAsia="宋体" w:hAnsi="宋体" w:cs="Times New Roman"/>
                <w:color w:val="000000"/>
                <w:sz w:val="18"/>
                <w:szCs w:val="18"/>
              </w:rPr>
            </w:pPr>
            <w:r w:rsidRPr="00251592">
              <w:rPr>
                <w:rFonts w:ascii="宋体" w:eastAsia="宋体" w:hAnsi="宋体" w:cs="Times New Roman"/>
                <w:color w:val="000000"/>
                <w:sz w:val="18"/>
                <w:szCs w:val="18"/>
              </w:rPr>
              <w:t>因项目</w:t>
            </w:r>
            <w:r w:rsidRPr="00251592">
              <w:rPr>
                <w:rFonts w:ascii="宋体" w:eastAsia="宋体" w:hAnsi="宋体" w:cs="Times New Roman" w:hint="eastAsia"/>
                <w:color w:val="000000"/>
                <w:sz w:val="18"/>
                <w:szCs w:val="18"/>
              </w:rPr>
              <w:t>方案</w:t>
            </w:r>
            <w:r w:rsidRPr="00251592">
              <w:rPr>
                <w:rFonts w:ascii="宋体" w:eastAsia="宋体" w:hAnsi="宋体" w:cs="Times New Roman"/>
                <w:color w:val="000000"/>
                <w:sz w:val="18"/>
                <w:szCs w:val="18"/>
              </w:rPr>
              <w:t>调整</w:t>
            </w:r>
            <w:r w:rsidRPr="00251592">
              <w:rPr>
                <w:rFonts w:ascii="宋体" w:eastAsia="宋体" w:hAnsi="宋体" w:cs="Times New Roman" w:hint="eastAsia"/>
                <w:color w:val="000000"/>
                <w:sz w:val="18"/>
                <w:szCs w:val="18"/>
              </w:rPr>
              <w:t>，根据已完成工作量、新方案规划，</w:t>
            </w:r>
            <w:r w:rsidRPr="00251592">
              <w:rPr>
                <w:rFonts w:ascii="宋体" w:eastAsia="宋体" w:hAnsi="宋体" w:cs="Times New Roman"/>
                <w:color w:val="000000"/>
                <w:sz w:val="18"/>
                <w:szCs w:val="18"/>
              </w:rPr>
              <w:t>经双方协商，予以调整合同价款。</w:t>
            </w:r>
          </w:p>
        </w:tc>
        <w:tc>
          <w:tcPr>
            <w:tcW w:w="2503" w:type="dxa"/>
            <w:shd w:val="clear" w:color="auto" w:fill="auto"/>
            <w:noWrap/>
            <w:vAlign w:val="center"/>
          </w:tcPr>
          <w:p w14:paraId="6B4DB802"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hint="eastAsia"/>
                <w:kern w:val="0"/>
                <w:sz w:val="18"/>
                <w:szCs w:val="18"/>
              </w:rPr>
              <w:t>天津保利津宁2011-18地块项目</w:t>
            </w:r>
          </w:p>
        </w:tc>
        <w:tc>
          <w:tcPr>
            <w:tcW w:w="820" w:type="dxa"/>
            <w:shd w:val="clear" w:color="auto" w:fill="auto"/>
            <w:vAlign w:val="center"/>
          </w:tcPr>
          <w:p w14:paraId="1F990277"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hint="eastAsia"/>
                <w:kern w:val="0"/>
                <w:sz w:val="18"/>
                <w:szCs w:val="18"/>
              </w:rPr>
              <w:t>2</w:t>
            </w:r>
            <w:r w:rsidRPr="00251592">
              <w:rPr>
                <w:rFonts w:ascii="宋体" w:eastAsia="宋体" w:hAnsi="宋体" w:cs="Times New Roman"/>
                <w:kern w:val="0"/>
                <w:sz w:val="18"/>
                <w:szCs w:val="18"/>
              </w:rPr>
              <w:t>018</w:t>
            </w:r>
          </w:p>
        </w:tc>
        <w:tc>
          <w:tcPr>
            <w:tcW w:w="1134" w:type="dxa"/>
            <w:shd w:val="clear" w:color="auto" w:fill="auto"/>
            <w:vAlign w:val="center"/>
          </w:tcPr>
          <w:p w14:paraId="4C004BB2"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90.57</w:t>
            </w:r>
          </w:p>
        </w:tc>
        <w:tc>
          <w:tcPr>
            <w:tcW w:w="1134" w:type="dxa"/>
            <w:vAlign w:val="center"/>
          </w:tcPr>
          <w:p w14:paraId="4264DBE8"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155.20 </w:t>
            </w:r>
          </w:p>
        </w:tc>
        <w:tc>
          <w:tcPr>
            <w:tcW w:w="992" w:type="dxa"/>
            <w:shd w:val="clear" w:color="auto" w:fill="auto"/>
            <w:vAlign w:val="center"/>
          </w:tcPr>
          <w:p w14:paraId="325530DE"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hint="eastAsia"/>
                <w:color w:val="000000"/>
                <w:sz w:val="18"/>
                <w:szCs w:val="18"/>
              </w:rPr>
              <w:t>71.36%</w:t>
            </w:r>
          </w:p>
        </w:tc>
      </w:tr>
      <w:tr w:rsidR="00C17BBD" w:rsidRPr="00251592" w14:paraId="7369381A" w14:textId="77777777" w:rsidTr="00622023">
        <w:trPr>
          <w:trHeight w:val="397"/>
          <w:jc w:val="center"/>
        </w:trPr>
        <w:tc>
          <w:tcPr>
            <w:tcW w:w="701" w:type="dxa"/>
            <w:vMerge/>
            <w:vAlign w:val="center"/>
          </w:tcPr>
          <w:p w14:paraId="0BE68BC0" w14:textId="77777777" w:rsidR="00C17BBD" w:rsidRPr="00251592" w:rsidRDefault="00C17BBD" w:rsidP="008A2055">
            <w:pPr>
              <w:widowControl/>
              <w:jc w:val="center"/>
              <w:rPr>
                <w:rFonts w:ascii="宋体" w:eastAsia="宋体" w:hAnsi="宋体" w:cs="Times New Roman"/>
                <w:kern w:val="0"/>
                <w:sz w:val="18"/>
                <w:szCs w:val="18"/>
              </w:rPr>
            </w:pPr>
          </w:p>
        </w:tc>
        <w:tc>
          <w:tcPr>
            <w:tcW w:w="6583" w:type="dxa"/>
            <w:gridSpan w:val="4"/>
            <w:shd w:val="clear" w:color="auto" w:fill="auto"/>
            <w:vAlign w:val="center"/>
          </w:tcPr>
          <w:p w14:paraId="268BFF59"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小计</w:t>
            </w:r>
          </w:p>
        </w:tc>
        <w:tc>
          <w:tcPr>
            <w:tcW w:w="1134" w:type="dxa"/>
            <w:shd w:val="clear" w:color="auto" w:fill="auto"/>
            <w:vAlign w:val="center"/>
          </w:tcPr>
          <w:p w14:paraId="63CFAE74" w14:textId="77777777" w:rsidR="00C17BBD" w:rsidRPr="00251592" w:rsidRDefault="00C17BBD" w:rsidP="008A2055">
            <w:pPr>
              <w:widowControl/>
              <w:jc w:val="right"/>
              <w:rPr>
                <w:rFonts w:ascii="宋体" w:eastAsia="宋体" w:hAnsi="宋体" w:cs="Times New Roman"/>
                <w:iCs/>
                <w:kern w:val="0"/>
                <w:sz w:val="18"/>
                <w:szCs w:val="18"/>
                <w:lang w:eastAsia="en-US" w:bidi="en-US"/>
              </w:rPr>
            </w:pPr>
            <w:r w:rsidRPr="00251592">
              <w:rPr>
                <w:rFonts w:ascii="宋体" w:eastAsia="宋体" w:hAnsi="宋体" w:cs="Times New Roman" w:hint="eastAsia"/>
                <w:color w:val="000000"/>
                <w:sz w:val="18"/>
                <w:szCs w:val="18"/>
              </w:rPr>
              <w:t>1</w:t>
            </w:r>
            <w:r w:rsidRPr="00251592">
              <w:rPr>
                <w:rFonts w:ascii="宋体" w:eastAsia="宋体" w:hAnsi="宋体" w:cs="Times New Roman"/>
                <w:color w:val="000000"/>
                <w:sz w:val="18"/>
                <w:szCs w:val="18"/>
              </w:rPr>
              <w:t>,</w:t>
            </w:r>
            <w:r w:rsidRPr="00251592">
              <w:rPr>
                <w:rFonts w:ascii="宋体" w:eastAsia="宋体" w:hAnsi="宋体" w:cs="Times New Roman" w:hint="eastAsia"/>
                <w:color w:val="000000"/>
                <w:sz w:val="18"/>
                <w:szCs w:val="18"/>
              </w:rPr>
              <w:t>030.92</w:t>
            </w:r>
          </w:p>
        </w:tc>
        <w:tc>
          <w:tcPr>
            <w:tcW w:w="1134" w:type="dxa"/>
            <w:vAlign w:val="center"/>
          </w:tcPr>
          <w:p w14:paraId="31649007" w14:textId="77777777" w:rsidR="00C17BBD" w:rsidRPr="00251592" w:rsidRDefault="00C17BBD" w:rsidP="008A2055">
            <w:pPr>
              <w:widowControl/>
              <w:jc w:val="right"/>
              <w:rPr>
                <w:rFonts w:ascii="宋体" w:eastAsia="宋体" w:hAnsi="宋体" w:cs="Times New Roman"/>
                <w:iCs/>
                <w:kern w:val="0"/>
                <w:sz w:val="18"/>
                <w:szCs w:val="18"/>
                <w:lang w:eastAsia="en-US" w:bidi="en-US"/>
              </w:rPr>
            </w:pPr>
            <w:r w:rsidRPr="00251592">
              <w:rPr>
                <w:rFonts w:ascii="宋体" w:eastAsia="宋体" w:hAnsi="宋体" w:cs="Times New Roman" w:hint="eastAsia"/>
                <w:color w:val="000000"/>
                <w:sz w:val="18"/>
                <w:szCs w:val="18"/>
              </w:rPr>
              <w:t>1</w:t>
            </w:r>
            <w:r w:rsidRPr="00251592">
              <w:rPr>
                <w:rFonts w:ascii="宋体" w:eastAsia="宋体" w:hAnsi="宋体" w:cs="Times New Roman"/>
                <w:color w:val="000000"/>
                <w:sz w:val="18"/>
                <w:szCs w:val="18"/>
              </w:rPr>
              <w:t>,</w:t>
            </w:r>
            <w:r w:rsidRPr="00251592">
              <w:rPr>
                <w:rFonts w:ascii="宋体" w:eastAsia="宋体" w:hAnsi="宋体" w:cs="Times New Roman" w:hint="eastAsia"/>
                <w:color w:val="000000"/>
                <w:sz w:val="18"/>
                <w:szCs w:val="18"/>
              </w:rPr>
              <w:t>261.75</w:t>
            </w:r>
          </w:p>
        </w:tc>
        <w:tc>
          <w:tcPr>
            <w:tcW w:w="992" w:type="dxa"/>
            <w:shd w:val="clear" w:color="auto" w:fill="auto"/>
            <w:vAlign w:val="center"/>
          </w:tcPr>
          <w:p w14:paraId="79F627FE" w14:textId="77777777" w:rsidR="00C17BBD" w:rsidRPr="00251592" w:rsidRDefault="00C17BBD" w:rsidP="008A2055">
            <w:pPr>
              <w:widowControl/>
              <w:jc w:val="right"/>
              <w:rPr>
                <w:rFonts w:ascii="宋体" w:eastAsia="宋体" w:hAnsi="宋体" w:cs="Times New Roman"/>
                <w:iCs/>
                <w:kern w:val="0"/>
                <w:sz w:val="18"/>
                <w:szCs w:val="18"/>
                <w:lang w:eastAsia="en-US" w:bidi="en-US"/>
              </w:rPr>
            </w:pPr>
            <w:r w:rsidRPr="00251592">
              <w:rPr>
                <w:rFonts w:ascii="宋体" w:eastAsia="宋体" w:hAnsi="宋体" w:cs="Times New Roman" w:hint="eastAsia"/>
                <w:color w:val="000000"/>
                <w:sz w:val="18"/>
                <w:szCs w:val="18"/>
              </w:rPr>
              <w:t>22.39%</w:t>
            </w:r>
          </w:p>
        </w:tc>
      </w:tr>
      <w:tr w:rsidR="00C17BBD" w:rsidRPr="00251592" w14:paraId="05B55660" w14:textId="77777777" w:rsidTr="00622023">
        <w:trPr>
          <w:trHeight w:val="397"/>
          <w:jc w:val="center"/>
        </w:trPr>
        <w:tc>
          <w:tcPr>
            <w:tcW w:w="701" w:type="dxa"/>
            <w:vMerge w:val="restart"/>
            <w:vAlign w:val="center"/>
          </w:tcPr>
          <w:p w14:paraId="269A2EF7"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合同金额调减</w:t>
            </w:r>
          </w:p>
        </w:tc>
        <w:tc>
          <w:tcPr>
            <w:tcW w:w="425" w:type="dxa"/>
            <w:shd w:val="clear" w:color="auto" w:fill="auto"/>
            <w:vAlign w:val="center"/>
          </w:tcPr>
          <w:p w14:paraId="04087467"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4</w:t>
            </w:r>
          </w:p>
        </w:tc>
        <w:tc>
          <w:tcPr>
            <w:tcW w:w="2835" w:type="dxa"/>
            <w:shd w:val="clear" w:color="auto" w:fill="auto"/>
            <w:vAlign w:val="center"/>
          </w:tcPr>
          <w:p w14:paraId="53664F82" w14:textId="77777777" w:rsidR="00C17BBD" w:rsidRPr="00251592" w:rsidRDefault="00C17BBD" w:rsidP="008A2055">
            <w:pPr>
              <w:widowControl/>
              <w:jc w:val="left"/>
              <w:rPr>
                <w:rFonts w:ascii="宋体" w:eastAsia="宋体" w:hAnsi="宋体" w:cs="Times New Roman"/>
                <w:kern w:val="0"/>
                <w:sz w:val="18"/>
                <w:szCs w:val="18"/>
              </w:rPr>
            </w:pPr>
            <w:r w:rsidRPr="00251592">
              <w:rPr>
                <w:rFonts w:ascii="宋体" w:eastAsia="宋体" w:hAnsi="宋体" w:cs="Times New Roman"/>
                <w:kern w:val="0"/>
                <w:sz w:val="18"/>
                <w:szCs w:val="18"/>
              </w:rPr>
              <w:t>在项目结算过程中，双方根据项目执行效果，协商调整结算价款</w:t>
            </w:r>
          </w:p>
        </w:tc>
        <w:tc>
          <w:tcPr>
            <w:tcW w:w="2503" w:type="dxa"/>
            <w:shd w:val="clear" w:color="auto" w:fill="auto"/>
            <w:noWrap/>
            <w:vAlign w:val="center"/>
          </w:tcPr>
          <w:p w14:paraId="170521FE"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昆明市呈贡B地块项目建设工程设计咨询合同</w:t>
            </w:r>
          </w:p>
        </w:tc>
        <w:tc>
          <w:tcPr>
            <w:tcW w:w="820" w:type="dxa"/>
            <w:shd w:val="clear" w:color="auto" w:fill="auto"/>
            <w:vAlign w:val="center"/>
          </w:tcPr>
          <w:p w14:paraId="3AF5D91A"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2018</w:t>
            </w:r>
          </w:p>
        </w:tc>
        <w:tc>
          <w:tcPr>
            <w:tcW w:w="1134" w:type="dxa"/>
            <w:shd w:val="clear" w:color="auto" w:fill="auto"/>
            <w:vAlign w:val="center"/>
          </w:tcPr>
          <w:p w14:paraId="04968D65" w14:textId="77777777" w:rsidR="00C17BBD" w:rsidRPr="00251592" w:rsidRDefault="00C17BBD" w:rsidP="008A2055">
            <w:pPr>
              <w:widowControl/>
              <w:jc w:val="right"/>
              <w:rPr>
                <w:rFonts w:ascii="宋体" w:eastAsia="宋体" w:hAnsi="宋体" w:cs="Times New Roman"/>
                <w:kern w:val="0"/>
                <w:sz w:val="18"/>
                <w:szCs w:val="18"/>
              </w:rPr>
            </w:pPr>
            <w:r w:rsidRPr="00251592">
              <w:rPr>
                <w:rFonts w:ascii="宋体" w:eastAsia="宋体" w:hAnsi="宋体" w:cs="Times New Roman"/>
                <w:color w:val="000000"/>
                <w:kern w:val="0"/>
                <w:sz w:val="18"/>
                <w:szCs w:val="18"/>
              </w:rPr>
              <w:t>30.00</w:t>
            </w:r>
          </w:p>
        </w:tc>
        <w:tc>
          <w:tcPr>
            <w:tcW w:w="1134" w:type="dxa"/>
            <w:vAlign w:val="center"/>
          </w:tcPr>
          <w:p w14:paraId="1EBB1217"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24.00</w:t>
            </w:r>
          </w:p>
        </w:tc>
        <w:tc>
          <w:tcPr>
            <w:tcW w:w="992" w:type="dxa"/>
            <w:shd w:val="clear" w:color="auto" w:fill="auto"/>
            <w:vAlign w:val="center"/>
          </w:tcPr>
          <w:p w14:paraId="09B1D14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20.00%</w:t>
            </w:r>
          </w:p>
        </w:tc>
      </w:tr>
      <w:tr w:rsidR="00C17BBD" w:rsidRPr="00251592" w14:paraId="46178F6D" w14:textId="77777777" w:rsidTr="00622023">
        <w:trPr>
          <w:trHeight w:val="397"/>
          <w:jc w:val="center"/>
        </w:trPr>
        <w:tc>
          <w:tcPr>
            <w:tcW w:w="701" w:type="dxa"/>
            <w:vMerge/>
            <w:vAlign w:val="center"/>
          </w:tcPr>
          <w:p w14:paraId="18BF575A"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425" w:type="dxa"/>
            <w:shd w:val="clear" w:color="auto" w:fill="auto"/>
            <w:vAlign w:val="center"/>
          </w:tcPr>
          <w:p w14:paraId="7F86CD3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5</w:t>
            </w:r>
          </w:p>
        </w:tc>
        <w:tc>
          <w:tcPr>
            <w:tcW w:w="2835" w:type="dxa"/>
            <w:shd w:val="clear" w:color="auto" w:fill="auto"/>
            <w:vAlign w:val="center"/>
          </w:tcPr>
          <w:p w14:paraId="717AC529" w14:textId="77777777" w:rsidR="00C17BBD" w:rsidRPr="00251592" w:rsidRDefault="00C17BBD" w:rsidP="008A2055">
            <w:pPr>
              <w:widowControl/>
              <w:jc w:val="left"/>
              <w:rPr>
                <w:rFonts w:ascii="宋体" w:eastAsia="宋体" w:hAnsi="宋体" w:cs="Times New Roman"/>
                <w:kern w:val="0"/>
                <w:sz w:val="18"/>
                <w:szCs w:val="18"/>
              </w:rPr>
            </w:pPr>
            <w:r w:rsidRPr="00251592">
              <w:rPr>
                <w:rFonts w:ascii="宋体" w:eastAsia="宋体" w:hAnsi="宋体" w:cs="Times New Roman"/>
                <w:kern w:val="0"/>
                <w:sz w:val="18"/>
                <w:szCs w:val="18"/>
              </w:rPr>
              <w:t>因甲方调整项目定位，对公司部分尚未完成的设计内容不再执行，进而调减合同金额</w:t>
            </w:r>
          </w:p>
        </w:tc>
        <w:tc>
          <w:tcPr>
            <w:tcW w:w="2503" w:type="dxa"/>
            <w:shd w:val="clear" w:color="auto" w:fill="auto"/>
            <w:noWrap/>
            <w:vAlign w:val="center"/>
          </w:tcPr>
          <w:p w14:paraId="0DEAB98C"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重庆市开</w:t>
            </w:r>
            <w:proofErr w:type="gramStart"/>
            <w:r w:rsidRPr="00251592">
              <w:rPr>
                <w:rFonts w:ascii="宋体" w:eastAsia="宋体" w:hAnsi="宋体" w:cs="Times New Roman"/>
                <w:kern w:val="0"/>
                <w:sz w:val="18"/>
                <w:szCs w:val="18"/>
              </w:rPr>
              <w:t>州项目</w:t>
            </w:r>
            <w:proofErr w:type="gramEnd"/>
            <w:r w:rsidRPr="00251592">
              <w:rPr>
                <w:rFonts w:ascii="宋体" w:eastAsia="宋体" w:hAnsi="宋体" w:cs="Times New Roman"/>
                <w:kern w:val="0"/>
                <w:sz w:val="18"/>
                <w:szCs w:val="18"/>
              </w:rPr>
              <w:t>概念规划设计合同</w:t>
            </w:r>
          </w:p>
        </w:tc>
        <w:tc>
          <w:tcPr>
            <w:tcW w:w="820" w:type="dxa"/>
            <w:shd w:val="clear" w:color="auto" w:fill="auto"/>
            <w:vAlign w:val="center"/>
          </w:tcPr>
          <w:p w14:paraId="00DCE8E2"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2018</w:t>
            </w:r>
          </w:p>
        </w:tc>
        <w:tc>
          <w:tcPr>
            <w:tcW w:w="1134" w:type="dxa"/>
            <w:shd w:val="clear" w:color="auto" w:fill="auto"/>
            <w:vAlign w:val="center"/>
          </w:tcPr>
          <w:p w14:paraId="35DEE258" w14:textId="77777777" w:rsidR="00C17BBD" w:rsidRPr="00251592" w:rsidRDefault="00C17BBD" w:rsidP="008A2055">
            <w:pPr>
              <w:widowControl/>
              <w:jc w:val="right"/>
              <w:rPr>
                <w:rFonts w:ascii="宋体" w:eastAsia="宋体" w:hAnsi="宋体" w:cs="Times New Roman"/>
                <w:kern w:val="0"/>
                <w:sz w:val="18"/>
                <w:szCs w:val="18"/>
              </w:rPr>
            </w:pPr>
            <w:r w:rsidRPr="00251592">
              <w:rPr>
                <w:rFonts w:ascii="宋体" w:eastAsia="宋体" w:hAnsi="宋体" w:cs="Times New Roman"/>
                <w:color w:val="000000"/>
                <w:kern w:val="0"/>
                <w:sz w:val="18"/>
                <w:szCs w:val="18"/>
              </w:rPr>
              <w:t>43.00</w:t>
            </w:r>
          </w:p>
        </w:tc>
        <w:tc>
          <w:tcPr>
            <w:tcW w:w="1134" w:type="dxa"/>
            <w:vAlign w:val="center"/>
          </w:tcPr>
          <w:p w14:paraId="429E254F"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17.20</w:t>
            </w:r>
          </w:p>
        </w:tc>
        <w:tc>
          <w:tcPr>
            <w:tcW w:w="992" w:type="dxa"/>
            <w:shd w:val="clear" w:color="auto" w:fill="auto"/>
            <w:vAlign w:val="center"/>
          </w:tcPr>
          <w:p w14:paraId="480A16C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60.00%</w:t>
            </w:r>
          </w:p>
        </w:tc>
      </w:tr>
      <w:tr w:rsidR="00C17BBD" w:rsidRPr="00251592" w14:paraId="09AEF9B5" w14:textId="77777777" w:rsidTr="00622023">
        <w:trPr>
          <w:trHeight w:val="397"/>
          <w:jc w:val="center"/>
        </w:trPr>
        <w:tc>
          <w:tcPr>
            <w:tcW w:w="701" w:type="dxa"/>
            <w:vMerge/>
            <w:vAlign w:val="center"/>
          </w:tcPr>
          <w:p w14:paraId="10E633F9"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425" w:type="dxa"/>
            <w:shd w:val="clear" w:color="auto" w:fill="auto"/>
            <w:vAlign w:val="center"/>
          </w:tcPr>
          <w:p w14:paraId="6A649618"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color w:val="000000"/>
                <w:kern w:val="0"/>
                <w:sz w:val="18"/>
                <w:szCs w:val="18"/>
              </w:rPr>
              <w:t>6</w:t>
            </w:r>
          </w:p>
        </w:tc>
        <w:tc>
          <w:tcPr>
            <w:tcW w:w="2835" w:type="dxa"/>
            <w:shd w:val="clear" w:color="auto" w:fill="auto"/>
            <w:vAlign w:val="center"/>
          </w:tcPr>
          <w:p w14:paraId="2FDF113A" w14:textId="77777777" w:rsidR="00C17BBD" w:rsidRPr="00251592" w:rsidRDefault="00C17BBD" w:rsidP="008A2055">
            <w:pPr>
              <w:widowControl/>
              <w:jc w:val="left"/>
              <w:rPr>
                <w:rFonts w:ascii="宋体" w:eastAsia="宋体" w:hAnsi="宋体" w:cs="Times New Roman"/>
                <w:kern w:val="0"/>
                <w:sz w:val="18"/>
                <w:szCs w:val="18"/>
              </w:rPr>
            </w:pPr>
            <w:r w:rsidRPr="00251592">
              <w:rPr>
                <w:rFonts w:ascii="宋体" w:eastAsia="宋体" w:hAnsi="宋体" w:cs="Times New Roman"/>
                <w:kern w:val="0"/>
                <w:sz w:val="18"/>
                <w:szCs w:val="18"/>
              </w:rPr>
              <w:t>双方协商，原合同约定的部分设计内容不再由公司完成，由甲方另行委托其他单位完成，相应调减合同金额</w:t>
            </w:r>
          </w:p>
        </w:tc>
        <w:tc>
          <w:tcPr>
            <w:tcW w:w="2503" w:type="dxa"/>
            <w:shd w:val="clear" w:color="auto" w:fill="auto"/>
            <w:noWrap/>
            <w:vAlign w:val="center"/>
          </w:tcPr>
          <w:p w14:paraId="1BA4B73D" w14:textId="77777777" w:rsidR="00C17BBD" w:rsidRPr="00251592" w:rsidRDefault="00C17BBD" w:rsidP="008A2055">
            <w:pPr>
              <w:widowControl/>
              <w:jc w:val="center"/>
              <w:rPr>
                <w:rFonts w:ascii="宋体" w:eastAsia="宋体" w:hAnsi="宋体" w:cs="Times New Roman"/>
                <w:kern w:val="0"/>
                <w:sz w:val="18"/>
                <w:szCs w:val="18"/>
              </w:rPr>
            </w:pPr>
            <w:proofErr w:type="gramStart"/>
            <w:r w:rsidRPr="00251592">
              <w:rPr>
                <w:rFonts w:ascii="宋体" w:eastAsia="宋体" w:hAnsi="宋体" w:cs="Times New Roman"/>
                <w:kern w:val="0"/>
                <w:sz w:val="18"/>
                <w:szCs w:val="18"/>
              </w:rPr>
              <w:t>恒</w:t>
            </w:r>
            <w:proofErr w:type="gramEnd"/>
            <w:r w:rsidRPr="00251592">
              <w:rPr>
                <w:rFonts w:ascii="宋体" w:eastAsia="宋体" w:hAnsi="宋体" w:cs="Times New Roman"/>
                <w:kern w:val="0"/>
                <w:sz w:val="18"/>
                <w:szCs w:val="18"/>
              </w:rPr>
              <w:t>大水世界建筑概念设计合同</w:t>
            </w:r>
          </w:p>
        </w:tc>
        <w:tc>
          <w:tcPr>
            <w:tcW w:w="820" w:type="dxa"/>
            <w:shd w:val="clear" w:color="auto" w:fill="auto"/>
            <w:vAlign w:val="center"/>
          </w:tcPr>
          <w:p w14:paraId="1916587C"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2018</w:t>
            </w:r>
          </w:p>
        </w:tc>
        <w:tc>
          <w:tcPr>
            <w:tcW w:w="1134" w:type="dxa"/>
            <w:shd w:val="clear" w:color="auto" w:fill="auto"/>
            <w:vAlign w:val="center"/>
          </w:tcPr>
          <w:p w14:paraId="094D3ECE" w14:textId="77777777" w:rsidR="00C17BBD" w:rsidRPr="00251592" w:rsidRDefault="00C17BBD" w:rsidP="008A2055">
            <w:pPr>
              <w:widowControl/>
              <w:jc w:val="right"/>
              <w:rPr>
                <w:rFonts w:ascii="宋体" w:eastAsia="宋体" w:hAnsi="宋体" w:cs="Times New Roman"/>
                <w:kern w:val="0"/>
                <w:sz w:val="18"/>
                <w:szCs w:val="18"/>
              </w:rPr>
            </w:pPr>
            <w:r w:rsidRPr="00251592">
              <w:rPr>
                <w:rFonts w:ascii="宋体" w:eastAsia="宋体" w:hAnsi="宋体" w:cs="Times New Roman"/>
                <w:color w:val="000000"/>
                <w:kern w:val="0"/>
                <w:sz w:val="18"/>
                <w:szCs w:val="18"/>
              </w:rPr>
              <w:t>277.00</w:t>
            </w:r>
          </w:p>
        </w:tc>
        <w:tc>
          <w:tcPr>
            <w:tcW w:w="1134" w:type="dxa"/>
            <w:vAlign w:val="center"/>
          </w:tcPr>
          <w:p w14:paraId="736F0953"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146.81</w:t>
            </w:r>
          </w:p>
        </w:tc>
        <w:tc>
          <w:tcPr>
            <w:tcW w:w="992" w:type="dxa"/>
            <w:shd w:val="clear" w:color="auto" w:fill="auto"/>
            <w:vAlign w:val="center"/>
          </w:tcPr>
          <w:p w14:paraId="05C5A09A"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color w:val="000000"/>
                <w:kern w:val="0"/>
                <w:sz w:val="18"/>
                <w:szCs w:val="18"/>
              </w:rPr>
              <w:t>47.00%</w:t>
            </w:r>
          </w:p>
        </w:tc>
      </w:tr>
      <w:tr w:rsidR="00C17BBD" w:rsidRPr="00251592" w14:paraId="72EF62B4" w14:textId="77777777" w:rsidTr="00622023">
        <w:trPr>
          <w:trHeight w:val="397"/>
          <w:jc w:val="center"/>
        </w:trPr>
        <w:tc>
          <w:tcPr>
            <w:tcW w:w="701" w:type="dxa"/>
            <w:vMerge/>
            <w:vAlign w:val="center"/>
          </w:tcPr>
          <w:p w14:paraId="18AE4C5A"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425" w:type="dxa"/>
            <w:shd w:val="clear" w:color="auto" w:fill="auto"/>
            <w:vAlign w:val="center"/>
          </w:tcPr>
          <w:p w14:paraId="71B3E9FD"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7</w:t>
            </w:r>
          </w:p>
        </w:tc>
        <w:tc>
          <w:tcPr>
            <w:tcW w:w="2835" w:type="dxa"/>
            <w:shd w:val="clear" w:color="auto" w:fill="auto"/>
            <w:vAlign w:val="center"/>
          </w:tcPr>
          <w:p w14:paraId="1E249230" w14:textId="77777777" w:rsidR="00C17BBD" w:rsidRPr="00251592" w:rsidRDefault="00C17BBD" w:rsidP="008A2055">
            <w:pPr>
              <w:widowControl/>
              <w:jc w:val="left"/>
              <w:rPr>
                <w:rFonts w:ascii="宋体" w:eastAsia="宋体" w:hAnsi="宋体" w:cs="Times New Roman"/>
                <w:kern w:val="0"/>
                <w:sz w:val="18"/>
                <w:szCs w:val="18"/>
              </w:rPr>
            </w:pPr>
            <w:r w:rsidRPr="00251592">
              <w:rPr>
                <w:rFonts w:ascii="宋体" w:eastAsia="宋体" w:hAnsi="宋体" w:cs="Times New Roman"/>
                <w:color w:val="000000"/>
                <w:kern w:val="0"/>
                <w:sz w:val="18"/>
                <w:szCs w:val="18"/>
              </w:rPr>
              <w:t>因甲方实际开发计划变更，对原合同设计范围和面积进行调减（由原先的一期、二期调减为一期），进而调整合同价款</w:t>
            </w:r>
          </w:p>
        </w:tc>
        <w:tc>
          <w:tcPr>
            <w:tcW w:w="2503" w:type="dxa"/>
            <w:shd w:val="clear" w:color="auto" w:fill="auto"/>
            <w:noWrap/>
            <w:vAlign w:val="center"/>
          </w:tcPr>
          <w:p w14:paraId="7C08F7E7"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江门市新会骏</w:t>
            </w:r>
            <w:proofErr w:type="gramStart"/>
            <w:r w:rsidRPr="00251592">
              <w:rPr>
                <w:rFonts w:ascii="宋体" w:eastAsia="宋体" w:hAnsi="宋体" w:cs="Times New Roman"/>
                <w:kern w:val="0"/>
                <w:sz w:val="18"/>
                <w:szCs w:val="18"/>
              </w:rPr>
              <w:t>凯</w:t>
            </w:r>
            <w:proofErr w:type="gramEnd"/>
            <w:r w:rsidRPr="00251592">
              <w:rPr>
                <w:rFonts w:ascii="宋体" w:eastAsia="宋体" w:hAnsi="宋体" w:cs="Times New Roman"/>
                <w:kern w:val="0"/>
                <w:sz w:val="18"/>
                <w:szCs w:val="18"/>
              </w:rPr>
              <w:t>豪庭08地块项目建设工程设计咨询合同</w:t>
            </w:r>
          </w:p>
        </w:tc>
        <w:tc>
          <w:tcPr>
            <w:tcW w:w="820" w:type="dxa"/>
            <w:shd w:val="clear" w:color="auto" w:fill="auto"/>
            <w:vAlign w:val="center"/>
          </w:tcPr>
          <w:p w14:paraId="7F1B4928"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2019</w:t>
            </w:r>
          </w:p>
        </w:tc>
        <w:tc>
          <w:tcPr>
            <w:tcW w:w="1134" w:type="dxa"/>
            <w:shd w:val="clear" w:color="auto" w:fill="auto"/>
            <w:vAlign w:val="center"/>
          </w:tcPr>
          <w:p w14:paraId="54D287A1"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1,084.55</w:t>
            </w:r>
          </w:p>
        </w:tc>
        <w:tc>
          <w:tcPr>
            <w:tcW w:w="1134" w:type="dxa"/>
            <w:vAlign w:val="center"/>
          </w:tcPr>
          <w:p w14:paraId="2BAA0E52"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495.41</w:t>
            </w:r>
          </w:p>
        </w:tc>
        <w:tc>
          <w:tcPr>
            <w:tcW w:w="992" w:type="dxa"/>
            <w:shd w:val="clear" w:color="auto" w:fill="auto"/>
            <w:vAlign w:val="center"/>
          </w:tcPr>
          <w:p w14:paraId="35F429AB"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54.32%</w:t>
            </w:r>
          </w:p>
        </w:tc>
      </w:tr>
      <w:tr w:rsidR="00C17BBD" w:rsidRPr="00251592" w14:paraId="18C6D8C9" w14:textId="77777777" w:rsidTr="00622023">
        <w:trPr>
          <w:trHeight w:val="397"/>
          <w:jc w:val="center"/>
        </w:trPr>
        <w:tc>
          <w:tcPr>
            <w:tcW w:w="701" w:type="dxa"/>
            <w:vMerge/>
            <w:vAlign w:val="center"/>
          </w:tcPr>
          <w:p w14:paraId="64AA8E92"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425" w:type="dxa"/>
            <w:shd w:val="clear" w:color="auto" w:fill="auto"/>
            <w:vAlign w:val="center"/>
          </w:tcPr>
          <w:p w14:paraId="7E2C688D"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hint="eastAsia"/>
                <w:color w:val="000000"/>
                <w:kern w:val="0"/>
                <w:sz w:val="18"/>
                <w:szCs w:val="18"/>
              </w:rPr>
              <w:t>8</w:t>
            </w:r>
          </w:p>
        </w:tc>
        <w:tc>
          <w:tcPr>
            <w:tcW w:w="2835" w:type="dxa"/>
            <w:shd w:val="clear" w:color="auto" w:fill="auto"/>
            <w:vAlign w:val="center"/>
          </w:tcPr>
          <w:p w14:paraId="08B3F08C"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hint="eastAsia"/>
                <w:color w:val="000000"/>
                <w:kern w:val="0"/>
                <w:sz w:val="18"/>
                <w:szCs w:val="18"/>
              </w:rPr>
              <w:t>因甲方项目方案及规划有所调整，</w:t>
            </w:r>
            <w:r w:rsidRPr="00251592">
              <w:rPr>
                <w:rFonts w:ascii="宋体" w:eastAsia="宋体" w:hAnsi="宋体" w:cs="Times New Roman"/>
                <w:color w:val="000000"/>
                <w:kern w:val="0"/>
                <w:sz w:val="18"/>
                <w:szCs w:val="18"/>
              </w:rPr>
              <w:t>进而调整合同价款</w:t>
            </w:r>
          </w:p>
        </w:tc>
        <w:tc>
          <w:tcPr>
            <w:tcW w:w="2503" w:type="dxa"/>
            <w:shd w:val="clear" w:color="auto" w:fill="auto"/>
            <w:noWrap/>
            <w:vAlign w:val="center"/>
          </w:tcPr>
          <w:p w14:paraId="7A1FE02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hint="eastAsia"/>
                <w:color w:val="000000"/>
                <w:kern w:val="0"/>
                <w:sz w:val="18"/>
                <w:szCs w:val="18"/>
              </w:rPr>
              <w:t>天津保利津宁2011-17地块项目</w:t>
            </w:r>
          </w:p>
        </w:tc>
        <w:tc>
          <w:tcPr>
            <w:tcW w:w="820" w:type="dxa"/>
            <w:shd w:val="clear" w:color="auto" w:fill="auto"/>
            <w:vAlign w:val="center"/>
          </w:tcPr>
          <w:p w14:paraId="33E657D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hint="eastAsia"/>
                <w:color w:val="000000"/>
                <w:kern w:val="0"/>
                <w:sz w:val="18"/>
                <w:szCs w:val="18"/>
              </w:rPr>
              <w:t>2</w:t>
            </w:r>
            <w:r w:rsidRPr="00251592">
              <w:rPr>
                <w:rFonts w:ascii="宋体" w:eastAsia="宋体" w:hAnsi="宋体" w:cs="Times New Roman"/>
                <w:color w:val="000000"/>
                <w:kern w:val="0"/>
                <w:sz w:val="18"/>
                <w:szCs w:val="18"/>
              </w:rPr>
              <w:t>018</w:t>
            </w:r>
          </w:p>
        </w:tc>
        <w:tc>
          <w:tcPr>
            <w:tcW w:w="1134" w:type="dxa"/>
            <w:shd w:val="clear" w:color="auto" w:fill="auto"/>
            <w:vAlign w:val="center"/>
          </w:tcPr>
          <w:p w14:paraId="26C389ED"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hint="eastAsia"/>
                <w:color w:val="000000"/>
                <w:kern w:val="0"/>
                <w:sz w:val="18"/>
                <w:szCs w:val="18"/>
              </w:rPr>
              <w:t xml:space="preserve">174.20 </w:t>
            </w:r>
          </w:p>
        </w:tc>
        <w:tc>
          <w:tcPr>
            <w:tcW w:w="1134" w:type="dxa"/>
            <w:vAlign w:val="center"/>
          </w:tcPr>
          <w:p w14:paraId="368F07E3"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hint="eastAsia"/>
                <w:color w:val="000000"/>
                <w:kern w:val="0"/>
                <w:sz w:val="18"/>
                <w:szCs w:val="18"/>
              </w:rPr>
              <w:t xml:space="preserve">134.31 </w:t>
            </w:r>
          </w:p>
        </w:tc>
        <w:tc>
          <w:tcPr>
            <w:tcW w:w="992" w:type="dxa"/>
            <w:shd w:val="clear" w:color="auto" w:fill="auto"/>
            <w:vAlign w:val="center"/>
          </w:tcPr>
          <w:p w14:paraId="282E718C"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hint="eastAsia"/>
                <w:color w:val="000000"/>
                <w:sz w:val="18"/>
                <w:szCs w:val="18"/>
              </w:rPr>
              <w:t>22.90%</w:t>
            </w:r>
          </w:p>
        </w:tc>
      </w:tr>
      <w:tr w:rsidR="00C17BBD" w:rsidRPr="00251592" w14:paraId="5DFA3058" w14:textId="77777777" w:rsidTr="00622023">
        <w:trPr>
          <w:trHeight w:val="397"/>
          <w:jc w:val="center"/>
        </w:trPr>
        <w:tc>
          <w:tcPr>
            <w:tcW w:w="701" w:type="dxa"/>
            <w:vMerge/>
            <w:vAlign w:val="center"/>
          </w:tcPr>
          <w:p w14:paraId="1F775117" w14:textId="77777777" w:rsidR="00C17BBD" w:rsidRPr="00251592" w:rsidRDefault="00C17BBD" w:rsidP="008A2055">
            <w:pPr>
              <w:widowControl/>
              <w:jc w:val="center"/>
              <w:rPr>
                <w:rFonts w:ascii="宋体" w:eastAsia="宋体" w:hAnsi="宋体" w:cs="Times New Roman"/>
                <w:kern w:val="0"/>
                <w:sz w:val="18"/>
                <w:szCs w:val="18"/>
              </w:rPr>
            </w:pPr>
          </w:p>
        </w:tc>
        <w:tc>
          <w:tcPr>
            <w:tcW w:w="6583" w:type="dxa"/>
            <w:gridSpan w:val="4"/>
            <w:shd w:val="clear" w:color="auto" w:fill="auto"/>
            <w:vAlign w:val="center"/>
          </w:tcPr>
          <w:p w14:paraId="3F6EB06E"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小计</w:t>
            </w:r>
          </w:p>
        </w:tc>
        <w:tc>
          <w:tcPr>
            <w:tcW w:w="1134" w:type="dxa"/>
            <w:shd w:val="clear" w:color="auto" w:fill="auto"/>
            <w:vAlign w:val="center"/>
          </w:tcPr>
          <w:p w14:paraId="147333F8" w14:textId="77777777" w:rsidR="00C17BBD" w:rsidRPr="00251592" w:rsidRDefault="00C17BBD" w:rsidP="008A2055">
            <w:pPr>
              <w:widowControl/>
              <w:jc w:val="right"/>
              <w:rPr>
                <w:rFonts w:ascii="宋体" w:eastAsia="宋体" w:hAnsi="宋体" w:cs="Times New Roman"/>
                <w:iCs/>
                <w:kern w:val="0"/>
                <w:sz w:val="18"/>
                <w:szCs w:val="18"/>
                <w:lang w:eastAsia="en-US" w:bidi="en-US"/>
              </w:rPr>
            </w:pPr>
            <w:r w:rsidRPr="00251592">
              <w:rPr>
                <w:rFonts w:ascii="宋体" w:eastAsia="宋体" w:hAnsi="宋体" w:cs="Times New Roman" w:hint="eastAsia"/>
                <w:color w:val="000000"/>
                <w:sz w:val="18"/>
                <w:szCs w:val="18"/>
              </w:rPr>
              <w:t>1,608.75</w:t>
            </w:r>
          </w:p>
        </w:tc>
        <w:tc>
          <w:tcPr>
            <w:tcW w:w="1134" w:type="dxa"/>
            <w:vAlign w:val="center"/>
          </w:tcPr>
          <w:p w14:paraId="229D79ED" w14:textId="77777777" w:rsidR="00C17BBD" w:rsidRPr="00251592" w:rsidRDefault="00C17BBD" w:rsidP="008A2055">
            <w:pPr>
              <w:widowControl/>
              <w:jc w:val="right"/>
              <w:rPr>
                <w:rFonts w:ascii="宋体" w:eastAsia="宋体" w:hAnsi="宋体" w:cs="Times New Roman"/>
                <w:iCs/>
                <w:kern w:val="0"/>
                <w:sz w:val="18"/>
                <w:szCs w:val="18"/>
                <w:lang w:eastAsia="en-US" w:bidi="en-US"/>
              </w:rPr>
            </w:pPr>
            <w:r w:rsidRPr="00251592">
              <w:rPr>
                <w:rFonts w:ascii="宋体" w:eastAsia="宋体" w:hAnsi="宋体" w:cs="Times New Roman" w:hint="eastAsia"/>
                <w:color w:val="000000"/>
                <w:sz w:val="18"/>
                <w:szCs w:val="18"/>
              </w:rPr>
              <w:t>817.73</w:t>
            </w:r>
          </w:p>
        </w:tc>
        <w:tc>
          <w:tcPr>
            <w:tcW w:w="992" w:type="dxa"/>
            <w:shd w:val="clear" w:color="auto" w:fill="auto"/>
            <w:vAlign w:val="center"/>
          </w:tcPr>
          <w:p w14:paraId="0E5B41DB" w14:textId="77777777" w:rsidR="00C17BBD" w:rsidRPr="00251592" w:rsidRDefault="00C17BBD" w:rsidP="008A2055">
            <w:pPr>
              <w:widowControl/>
              <w:jc w:val="right"/>
              <w:rPr>
                <w:rFonts w:ascii="宋体" w:eastAsia="宋体" w:hAnsi="宋体" w:cs="Times New Roman"/>
                <w:iCs/>
                <w:kern w:val="0"/>
                <w:sz w:val="18"/>
                <w:szCs w:val="18"/>
                <w:lang w:eastAsia="en-US" w:bidi="en-US"/>
              </w:rPr>
            </w:pPr>
            <w:r w:rsidRPr="00251592">
              <w:rPr>
                <w:rFonts w:ascii="宋体" w:eastAsia="宋体" w:hAnsi="宋体" w:cs="Times New Roman" w:hint="eastAsia"/>
                <w:color w:val="000000"/>
                <w:sz w:val="18"/>
                <w:szCs w:val="18"/>
              </w:rPr>
              <w:t>49.17%</w:t>
            </w:r>
          </w:p>
        </w:tc>
      </w:tr>
    </w:tbl>
    <w:p w14:paraId="621D8C3D" w14:textId="77777777" w:rsidR="00C17BBD" w:rsidRPr="00251592" w:rsidRDefault="00C17BBD" w:rsidP="00C17BBD">
      <w:pPr>
        <w:widowControl/>
        <w:spacing w:beforeLines="50" w:before="156" w:afterLines="50" w:after="156" w:line="360" w:lineRule="auto"/>
        <w:ind w:firstLine="482"/>
        <w:rPr>
          <w:rFonts w:ascii="宋体" w:eastAsia="宋体" w:hAnsi="宋体" w:cs="Times New Roman"/>
          <w:color w:val="000000"/>
          <w:kern w:val="0"/>
          <w:szCs w:val="21"/>
          <w:lang w:bidi="en-US"/>
        </w:rPr>
      </w:pPr>
      <w:r w:rsidRPr="00251592">
        <w:rPr>
          <w:rFonts w:ascii="宋体" w:eastAsia="宋体" w:hAnsi="宋体" w:cs="Times New Roman"/>
          <w:kern w:val="0"/>
          <w:szCs w:val="21"/>
        </w:rPr>
        <w:t>上述调增、调减合同在报告期内确认收入金额为2,568.12万元，</w:t>
      </w:r>
      <w:proofErr w:type="gramStart"/>
      <w:r w:rsidRPr="00251592">
        <w:rPr>
          <w:rFonts w:ascii="宋体" w:eastAsia="宋体" w:hAnsi="宋体" w:cs="Times New Roman"/>
          <w:kern w:val="0"/>
          <w:szCs w:val="21"/>
        </w:rPr>
        <w:t>占报告</w:t>
      </w:r>
      <w:proofErr w:type="gramEnd"/>
      <w:r w:rsidRPr="00251592">
        <w:rPr>
          <w:rFonts w:ascii="宋体" w:eastAsia="宋体" w:hAnsi="宋体" w:cs="Times New Roman"/>
          <w:kern w:val="0"/>
          <w:szCs w:val="21"/>
        </w:rPr>
        <w:t>期内公司收入</w:t>
      </w:r>
      <w:proofErr w:type="gramStart"/>
      <w:r w:rsidRPr="00251592">
        <w:rPr>
          <w:rFonts w:ascii="宋体" w:eastAsia="宋体" w:hAnsi="宋体" w:cs="Times New Roman"/>
          <w:kern w:val="0"/>
          <w:szCs w:val="21"/>
        </w:rPr>
        <w:t>确认总</w:t>
      </w:r>
      <w:proofErr w:type="gramEnd"/>
      <w:r w:rsidRPr="00251592">
        <w:rPr>
          <w:rFonts w:ascii="宋体" w:eastAsia="宋体" w:hAnsi="宋体" w:cs="Times New Roman"/>
          <w:kern w:val="0"/>
          <w:szCs w:val="21"/>
        </w:rPr>
        <w:t>金额比例为3.11%，对公司收入影响较小。除上述情况外，报告期内，公司</w:t>
      </w:r>
      <w:r w:rsidRPr="00251592">
        <w:rPr>
          <w:rFonts w:ascii="宋体" w:eastAsia="宋体" w:hAnsi="宋体" w:cs="Times New Roman"/>
          <w:kern w:val="0"/>
          <w:szCs w:val="21"/>
          <w:lang w:bidi="en-US"/>
        </w:rPr>
        <w:t>不存在合同约定金额与实际结算金额不一致的情况。</w:t>
      </w:r>
      <w:r w:rsidRPr="00251592">
        <w:rPr>
          <w:rFonts w:ascii="宋体" w:eastAsia="宋体" w:hAnsi="宋体" w:cs="Times New Roman"/>
          <w:color w:val="000000"/>
          <w:kern w:val="0"/>
          <w:szCs w:val="21"/>
          <w:lang w:bidi="en-US"/>
        </w:rPr>
        <w:t>此外，同行业可比上市公司山鼎设计、</w:t>
      </w:r>
      <w:proofErr w:type="gramStart"/>
      <w:r w:rsidRPr="00251592">
        <w:rPr>
          <w:rFonts w:ascii="宋体" w:eastAsia="宋体" w:hAnsi="宋体" w:cs="Times New Roman"/>
          <w:color w:val="000000"/>
          <w:kern w:val="0"/>
          <w:szCs w:val="21"/>
          <w:lang w:bidi="en-US"/>
        </w:rPr>
        <w:t>筑博设计</w:t>
      </w:r>
      <w:proofErr w:type="gramEnd"/>
      <w:r w:rsidRPr="00251592">
        <w:rPr>
          <w:rFonts w:ascii="宋体" w:eastAsia="宋体" w:hAnsi="宋体" w:cs="Times New Roman"/>
          <w:color w:val="000000"/>
          <w:kern w:val="0"/>
          <w:szCs w:val="21"/>
          <w:lang w:bidi="en-US"/>
        </w:rPr>
        <w:t>、杰恩设计也存在因设计项目内容变更</w:t>
      </w:r>
      <w:proofErr w:type="gramStart"/>
      <w:r w:rsidRPr="00251592">
        <w:rPr>
          <w:rFonts w:ascii="宋体" w:eastAsia="宋体" w:hAnsi="宋体" w:cs="Times New Roman"/>
          <w:color w:val="000000"/>
          <w:kern w:val="0"/>
          <w:szCs w:val="21"/>
          <w:lang w:bidi="en-US"/>
        </w:rPr>
        <w:t>而改价的</w:t>
      </w:r>
      <w:proofErr w:type="gramEnd"/>
      <w:r w:rsidRPr="00251592">
        <w:rPr>
          <w:rFonts w:ascii="宋体" w:eastAsia="宋体" w:hAnsi="宋体" w:cs="Times New Roman"/>
          <w:color w:val="000000"/>
          <w:kern w:val="0"/>
          <w:szCs w:val="21"/>
          <w:lang w:bidi="en-US"/>
        </w:rPr>
        <w:t>情况，因此公司</w:t>
      </w:r>
      <w:r w:rsidRPr="00251592">
        <w:rPr>
          <w:rFonts w:ascii="宋体" w:eastAsia="宋体" w:hAnsi="宋体" w:cs="Times New Roman"/>
          <w:kern w:val="0"/>
          <w:szCs w:val="21"/>
        </w:rPr>
        <w:t>已签订业务合同发生变更的情况</w:t>
      </w:r>
      <w:r w:rsidRPr="00251592">
        <w:rPr>
          <w:rFonts w:ascii="宋体" w:eastAsia="宋体" w:hAnsi="宋体" w:cs="Times New Roman"/>
          <w:color w:val="000000"/>
          <w:kern w:val="0"/>
          <w:szCs w:val="21"/>
          <w:lang w:bidi="en-US"/>
        </w:rPr>
        <w:t>符合行业惯例。</w:t>
      </w:r>
    </w:p>
    <w:p w14:paraId="2299EC0F"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lastRenderedPageBreak/>
        <w:t>（三）</w:t>
      </w:r>
      <w:r w:rsidRPr="00251592">
        <w:rPr>
          <w:rFonts w:ascii="宋体" w:eastAsia="宋体" w:hAnsi="宋体"/>
          <w:sz w:val="21"/>
          <w:szCs w:val="21"/>
        </w:rPr>
        <w:t>补充披露发行人预收客户设计费用在后续收入确认环节的具体处理，结合合同条款约定、行业惯例、同行业可比公司相关会计处理等分析发行人会计处理的合</w:t>
      </w:r>
      <w:proofErr w:type="gramStart"/>
      <w:r w:rsidRPr="00251592">
        <w:rPr>
          <w:rFonts w:ascii="宋体" w:eastAsia="宋体" w:hAnsi="宋体"/>
          <w:sz w:val="21"/>
          <w:szCs w:val="21"/>
        </w:rPr>
        <w:t>规</w:t>
      </w:r>
      <w:proofErr w:type="gramEnd"/>
      <w:r w:rsidRPr="00251592">
        <w:rPr>
          <w:rFonts w:ascii="宋体" w:eastAsia="宋体" w:hAnsi="宋体"/>
          <w:sz w:val="21"/>
          <w:szCs w:val="21"/>
        </w:rPr>
        <w:t>性，并补充披露按照同行业可比公司预收账款后续会计处理对发行人财务报表的影响</w:t>
      </w:r>
    </w:p>
    <w:p w14:paraId="0601C482" w14:textId="77777777" w:rsidR="00C17BBD" w:rsidRPr="00251592" w:rsidRDefault="00C17BBD" w:rsidP="00C17BBD">
      <w:pPr>
        <w:pStyle w:val="14"/>
        <w:ind w:firstLine="420"/>
        <w:rPr>
          <w:rFonts w:ascii="宋体" w:hAnsi="宋体"/>
          <w:sz w:val="21"/>
          <w:szCs w:val="21"/>
        </w:rPr>
      </w:pPr>
      <w:r w:rsidRPr="00251592">
        <w:rPr>
          <w:rFonts w:ascii="宋体" w:hAnsi="宋体" w:hint="eastAsia"/>
          <w:sz w:val="21"/>
          <w:szCs w:val="21"/>
        </w:rPr>
        <w:t>1、</w:t>
      </w:r>
      <w:r w:rsidRPr="00251592">
        <w:rPr>
          <w:rFonts w:ascii="宋体" w:hAnsi="宋体"/>
          <w:sz w:val="21"/>
          <w:szCs w:val="21"/>
        </w:rPr>
        <w:t>补充披露发行人预收客户设计费用在后续收入确认环节的具体处理，结合合同条款约定、行业惯例、同行业可比公司相关会计处理等分析发行人会计处理的合</w:t>
      </w:r>
      <w:proofErr w:type="gramStart"/>
      <w:r w:rsidRPr="00251592">
        <w:rPr>
          <w:rFonts w:ascii="宋体" w:hAnsi="宋体"/>
          <w:sz w:val="21"/>
          <w:szCs w:val="21"/>
        </w:rPr>
        <w:t>规</w:t>
      </w:r>
      <w:proofErr w:type="gramEnd"/>
      <w:r w:rsidRPr="00251592">
        <w:rPr>
          <w:rFonts w:ascii="宋体" w:hAnsi="宋体"/>
          <w:sz w:val="21"/>
          <w:szCs w:val="21"/>
        </w:rPr>
        <w:t>性</w:t>
      </w:r>
    </w:p>
    <w:p w14:paraId="441008A0"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公司与客户签署业务合同后，通常会收取合同首期款项（定金），该等款项属于预收款项（合同负债）性质，公司在收到该等款项时，不确认收入；在下一阶段工作完成后，一并将上述预收的合同结算款项确认收入。</w:t>
      </w:r>
    </w:p>
    <w:p w14:paraId="3627C375"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（1）结合合同条款约定、行业惯例，上述会计处理符合《企业会计准则》相关规定</w:t>
      </w:r>
    </w:p>
    <w:p w14:paraId="2E823779"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根据中国勘察设计协会建筑设计分会编制的《建筑设计服务计费指导》（2015 版），发包人因非设计</w:t>
      </w:r>
      <w:proofErr w:type="gramStart"/>
      <w:r w:rsidRPr="00251592">
        <w:rPr>
          <w:rFonts w:ascii="宋体" w:hAnsi="宋体" w:cs="Times New Roman"/>
          <w:color w:val="000000"/>
          <w:sz w:val="21"/>
          <w:szCs w:val="21"/>
          <w:lang w:bidi="en-US"/>
        </w:rPr>
        <w:t>人原因</w:t>
      </w:r>
      <w:proofErr w:type="gramEnd"/>
      <w:r w:rsidRPr="00251592">
        <w:rPr>
          <w:rFonts w:ascii="宋体" w:hAnsi="宋体" w:cs="Times New Roman"/>
          <w:color w:val="000000"/>
          <w:sz w:val="21"/>
          <w:szCs w:val="21"/>
          <w:lang w:bidi="en-US"/>
        </w:rPr>
        <w:t xml:space="preserve">要求终止或解除合同，设计人未开始设计工作的，不退还发包人已付的定金或发包人按合同约定向设计人支付违约金；已开始设计工作的，设计人完成工作量不足一半时，发包人向设计人支付设计费总额的 50%，超过一半时，支付全部设计费。 </w:t>
      </w:r>
    </w:p>
    <w:p w14:paraId="5496D9DF"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根据公司与主要客户签署的合同，合同生效后，因甲方原因而终止或解除合同，乙方未开始设计工作的，应退还甲方已付的定金；已开始设计工作的，甲方应根据乙方已进行并经甲方确认的实际工作量支付设计费用，当实际工作量不足一半时，按该阶段设计费的一半支付；超过一半时，按该阶段设计费的全部支付。</w:t>
      </w:r>
    </w:p>
    <w:p w14:paraId="3A3133B4"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如前所述，在完成收取预收款项下一阶段工作后，公司取得客户出具的对该阶段工作量的确认文件，对该阶段已完成的工作量进行了确认。此时，根据合同约定，公司已经提供给客户的建筑设计服务相应产出金额为，前期预收款项（定金）与该阶段结算款项之和，公司具有收取截至该阶段结算款项（即预收款项（定金）与该阶段结算款项之和）的权利。因此，在完成收取预收款项下一阶段工作后，一并将业务承接阶段的预收款项确认收入，符合《企业会计准则》相关规定。</w:t>
      </w:r>
    </w:p>
    <w:p w14:paraId="0C994541"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（2）与主要同行业企业以及其他A股上市公司相比，公司针对预收款的会计处理不存在显著差异</w:t>
      </w:r>
    </w:p>
    <w:p w14:paraId="6F027F50"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根据证监会行业分类指引,截至目前A股上市公司中建筑领域内的上市设计公司共计10家，其中，杭州园林、汉嘉设计、山</w:t>
      </w:r>
      <w:proofErr w:type="gramStart"/>
      <w:r w:rsidRPr="00251592">
        <w:rPr>
          <w:rFonts w:ascii="宋体" w:hAnsi="宋体" w:cs="Times New Roman"/>
          <w:sz w:val="21"/>
          <w:szCs w:val="21"/>
        </w:rPr>
        <w:t>鼎设计</w:t>
      </w:r>
      <w:proofErr w:type="gramEnd"/>
      <w:r w:rsidRPr="00251592">
        <w:rPr>
          <w:rFonts w:ascii="宋体" w:hAnsi="宋体" w:cs="Times New Roman"/>
          <w:sz w:val="21"/>
          <w:szCs w:val="21"/>
        </w:rPr>
        <w:t>和建科院按照合同约定的应收合同结算款项，分</w:t>
      </w:r>
      <w:r w:rsidRPr="00251592">
        <w:rPr>
          <w:rFonts w:ascii="宋体" w:hAnsi="宋体" w:cs="Times New Roman"/>
          <w:sz w:val="21"/>
          <w:szCs w:val="21"/>
        </w:rPr>
        <w:lastRenderedPageBreak/>
        <w:t>阶段确认收入，与公司一致，但该等企业公开资料均未明确清晰披露关于预收款项在后续合同阶段的会计处理方法。</w:t>
      </w:r>
    </w:p>
    <w:p w14:paraId="4DDB22D0"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进一步对按照合同节点法确认收入的其他 A 股上市公司及在审企业公开资料查询，有关公司对预收款项的会计处理方法如下：</w:t>
      </w:r>
    </w:p>
    <w:tbl>
      <w:tblPr>
        <w:tblW w:w="5391"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1648"/>
        <w:gridCol w:w="1843"/>
        <w:gridCol w:w="5697"/>
      </w:tblGrid>
      <w:tr w:rsidR="00C17BBD" w:rsidRPr="00251592" w14:paraId="495DECF6" w14:textId="77777777" w:rsidTr="00622023">
        <w:trPr>
          <w:trHeight w:val="397"/>
          <w:jc w:val="center"/>
        </w:trPr>
        <w:tc>
          <w:tcPr>
            <w:tcW w:w="897" w:type="pct"/>
            <w:shd w:val="clear" w:color="auto" w:fill="FFFFFF"/>
            <w:vAlign w:val="center"/>
          </w:tcPr>
          <w:p w14:paraId="6AD35E0D"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公司名称</w:t>
            </w:r>
          </w:p>
        </w:tc>
        <w:tc>
          <w:tcPr>
            <w:tcW w:w="1003" w:type="pct"/>
            <w:shd w:val="clear" w:color="auto" w:fill="FFFFFF"/>
            <w:vAlign w:val="center"/>
          </w:tcPr>
          <w:p w14:paraId="49CC066B"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主营业务</w:t>
            </w:r>
          </w:p>
        </w:tc>
        <w:tc>
          <w:tcPr>
            <w:tcW w:w="3100" w:type="pct"/>
            <w:shd w:val="clear" w:color="auto" w:fill="FFFFFF"/>
            <w:vAlign w:val="center"/>
          </w:tcPr>
          <w:p w14:paraId="331F0DB7"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预收款项的会计处理</w:t>
            </w:r>
          </w:p>
        </w:tc>
      </w:tr>
      <w:tr w:rsidR="00C17BBD" w:rsidRPr="00251592" w14:paraId="431DA13D" w14:textId="77777777" w:rsidTr="00622023">
        <w:trPr>
          <w:trHeight w:val="397"/>
          <w:jc w:val="center"/>
        </w:trPr>
        <w:tc>
          <w:tcPr>
            <w:tcW w:w="897" w:type="pct"/>
            <w:shd w:val="clear" w:color="auto" w:fill="FFFFFF"/>
            <w:vAlign w:val="center"/>
          </w:tcPr>
          <w:p w14:paraId="33587E26"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天海防务 （300008.SZ）</w:t>
            </w:r>
          </w:p>
        </w:tc>
        <w:tc>
          <w:tcPr>
            <w:tcW w:w="1003" w:type="pct"/>
            <w:shd w:val="clear" w:color="auto" w:fill="FFFFFF"/>
            <w:vAlign w:val="center"/>
          </w:tcPr>
          <w:p w14:paraId="64EC370B"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船舶工程设计、海洋工程设计</w:t>
            </w:r>
          </w:p>
        </w:tc>
        <w:tc>
          <w:tcPr>
            <w:tcW w:w="3100" w:type="pct"/>
            <w:vMerge w:val="restart"/>
            <w:shd w:val="clear" w:color="auto" w:fill="FFFFFF"/>
            <w:vAlign w:val="center"/>
          </w:tcPr>
          <w:p w14:paraId="55088686" w14:textId="77777777" w:rsidR="00C17BBD" w:rsidRPr="00251592" w:rsidRDefault="00C17BBD" w:rsidP="008A2055">
            <w:pPr>
              <w:adjustRightInd w:val="0"/>
              <w:jc w:val="left"/>
              <w:rPr>
                <w:rFonts w:ascii="宋体" w:eastAsia="宋体" w:hAnsi="宋体" w:cs="Times New Roman"/>
                <w:sz w:val="18"/>
                <w:szCs w:val="18"/>
              </w:rPr>
            </w:pPr>
            <w:r w:rsidRPr="00251592">
              <w:rPr>
                <w:rFonts w:ascii="宋体" w:eastAsia="宋体" w:hAnsi="宋体" w:cs="Times New Roman"/>
                <w:sz w:val="18"/>
                <w:szCs w:val="18"/>
              </w:rPr>
              <w:t>合同预收款项在下一阶段约定的工作完成时，一并将前期收取的预收款项金额确认收入。与公司一致。</w:t>
            </w:r>
          </w:p>
        </w:tc>
      </w:tr>
      <w:tr w:rsidR="00C17BBD" w:rsidRPr="00251592" w14:paraId="3747FF3D" w14:textId="77777777" w:rsidTr="00622023">
        <w:trPr>
          <w:trHeight w:val="397"/>
          <w:jc w:val="center"/>
        </w:trPr>
        <w:tc>
          <w:tcPr>
            <w:tcW w:w="897" w:type="pct"/>
            <w:shd w:val="clear" w:color="auto" w:fill="FFFFFF"/>
            <w:vAlign w:val="center"/>
          </w:tcPr>
          <w:p w14:paraId="62BF83D7"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豪尔赛</w:t>
            </w:r>
          </w:p>
          <w:p w14:paraId="6831B169"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 xml:space="preserve"> (002963.SZ)</w:t>
            </w:r>
          </w:p>
        </w:tc>
        <w:tc>
          <w:tcPr>
            <w:tcW w:w="1003" w:type="pct"/>
            <w:shd w:val="clear" w:color="auto" w:fill="FFFFFF"/>
            <w:vAlign w:val="center"/>
          </w:tcPr>
          <w:p w14:paraId="556FEEF9"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照明工程设计</w:t>
            </w:r>
          </w:p>
        </w:tc>
        <w:tc>
          <w:tcPr>
            <w:tcW w:w="3100" w:type="pct"/>
            <w:vMerge/>
            <w:shd w:val="clear" w:color="auto" w:fill="FFFFFF"/>
            <w:vAlign w:val="center"/>
          </w:tcPr>
          <w:p w14:paraId="422F9A87" w14:textId="77777777" w:rsidR="00C17BBD" w:rsidRPr="00251592" w:rsidRDefault="00C17BBD" w:rsidP="008A2055">
            <w:pPr>
              <w:adjustRightInd w:val="0"/>
              <w:jc w:val="left"/>
              <w:rPr>
                <w:rFonts w:ascii="宋体" w:eastAsia="宋体" w:hAnsi="宋体" w:cs="Times New Roman"/>
                <w:sz w:val="18"/>
                <w:szCs w:val="18"/>
              </w:rPr>
            </w:pPr>
          </w:p>
        </w:tc>
      </w:tr>
      <w:tr w:rsidR="00C17BBD" w:rsidRPr="00251592" w14:paraId="16110B92" w14:textId="77777777" w:rsidTr="00622023">
        <w:trPr>
          <w:trHeight w:val="397"/>
          <w:jc w:val="center"/>
        </w:trPr>
        <w:tc>
          <w:tcPr>
            <w:tcW w:w="897" w:type="pct"/>
            <w:shd w:val="clear" w:color="auto" w:fill="FFFFFF"/>
            <w:vAlign w:val="center"/>
          </w:tcPr>
          <w:p w14:paraId="6017AAF7"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永福股份 （300712.SZ）</w:t>
            </w:r>
          </w:p>
        </w:tc>
        <w:tc>
          <w:tcPr>
            <w:tcW w:w="1003" w:type="pct"/>
            <w:shd w:val="clear" w:color="auto" w:fill="FFFFFF"/>
            <w:vAlign w:val="center"/>
          </w:tcPr>
          <w:p w14:paraId="07069D7A"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电力工程设计</w:t>
            </w:r>
          </w:p>
        </w:tc>
        <w:tc>
          <w:tcPr>
            <w:tcW w:w="3100" w:type="pct"/>
            <w:vMerge/>
            <w:shd w:val="clear" w:color="auto" w:fill="FFFFFF"/>
            <w:vAlign w:val="center"/>
          </w:tcPr>
          <w:p w14:paraId="23D3F956" w14:textId="77777777" w:rsidR="00C17BBD" w:rsidRPr="00251592" w:rsidRDefault="00C17BBD" w:rsidP="008A2055">
            <w:pPr>
              <w:adjustRightInd w:val="0"/>
              <w:jc w:val="left"/>
              <w:rPr>
                <w:rFonts w:ascii="宋体" w:eastAsia="宋体" w:hAnsi="宋体" w:cs="Times New Roman"/>
                <w:sz w:val="18"/>
                <w:szCs w:val="18"/>
              </w:rPr>
            </w:pPr>
          </w:p>
        </w:tc>
      </w:tr>
      <w:tr w:rsidR="00C17BBD" w:rsidRPr="00251592" w14:paraId="6E026888" w14:textId="77777777" w:rsidTr="00622023">
        <w:trPr>
          <w:trHeight w:val="397"/>
          <w:jc w:val="center"/>
        </w:trPr>
        <w:tc>
          <w:tcPr>
            <w:tcW w:w="897" w:type="pct"/>
            <w:shd w:val="clear" w:color="auto" w:fill="FFFFFF"/>
            <w:vAlign w:val="center"/>
          </w:tcPr>
          <w:p w14:paraId="26F5A3C7"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尤安设计</w:t>
            </w:r>
          </w:p>
          <w:p w14:paraId="3898C490"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（在审企业）</w:t>
            </w:r>
          </w:p>
        </w:tc>
        <w:tc>
          <w:tcPr>
            <w:tcW w:w="1003" w:type="pct"/>
            <w:shd w:val="clear" w:color="auto" w:fill="FFFFFF"/>
            <w:vAlign w:val="center"/>
          </w:tcPr>
          <w:p w14:paraId="57B995CA"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建筑设计</w:t>
            </w:r>
          </w:p>
        </w:tc>
        <w:tc>
          <w:tcPr>
            <w:tcW w:w="3100" w:type="pct"/>
            <w:vMerge/>
            <w:shd w:val="clear" w:color="auto" w:fill="FFFFFF"/>
            <w:vAlign w:val="center"/>
          </w:tcPr>
          <w:p w14:paraId="05B4392F" w14:textId="77777777" w:rsidR="00C17BBD" w:rsidRPr="00251592" w:rsidRDefault="00C17BBD" w:rsidP="008A2055">
            <w:pPr>
              <w:adjustRightInd w:val="0"/>
              <w:jc w:val="left"/>
              <w:rPr>
                <w:rFonts w:ascii="宋体" w:eastAsia="宋体" w:hAnsi="宋体" w:cs="Times New Roman"/>
                <w:sz w:val="18"/>
                <w:szCs w:val="18"/>
              </w:rPr>
            </w:pPr>
          </w:p>
        </w:tc>
      </w:tr>
      <w:tr w:rsidR="00C17BBD" w:rsidRPr="00251592" w14:paraId="382CC963" w14:textId="77777777" w:rsidTr="00622023">
        <w:trPr>
          <w:trHeight w:val="397"/>
          <w:jc w:val="center"/>
        </w:trPr>
        <w:tc>
          <w:tcPr>
            <w:tcW w:w="897" w:type="pct"/>
            <w:shd w:val="clear" w:color="auto" w:fill="FFFFFF"/>
            <w:vAlign w:val="center"/>
          </w:tcPr>
          <w:p w14:paraId="6D712CE7"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交通中心</w:t>
            </w:r>
          </w:p>
          <w:p w14:paraId="29D491BB"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（在审企业）</w:t>
            </w:r>
          </w:p>
        </w:tc>
        <w:tc>
          <w:tcPr>
            <w:tcW w:w="1003" w:type="pct"/>
            <w:shd w:val="clear" w:color="auto" w:fill="FFFFFF"/>
            <w:vAlign w:val="center"/>
          </w:tcPr>
          <w:p w14:paraId="5AE7777E"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交通工程设计</w:t>
            </w:r>
          </w:p>
        </w:tc>
        <w:tc>
          <w:tcPr>
            <w:tcW w:w="3100" w:type="pct"/>
            <w:vMerge/>
            <w:shd w:val="clear" w:color="auto" w:fill="FFFFFF"/>
            <w:vAlign w:val="center"/>
          </w:tcPr>
          <w:p w14:paraId="7CDFFE54" w14:textId="77777777" w:rsidR="00C17BBD" w:rsidRPr="00251592" w:rsidRDefault="00C17BBD" w:rsidP="008A2055">
            <w:pPr>
              <w:adjustRightInd w:val="0"/>
              <w:jc w:val="left"/>
              <w:rPr>
                <w:rFonts w:ascii="宋体" w:eastAsia="宋体" w:hAnsi="宋体" w:cs="Times New Roman"/>
                <w:sz w:val="18"/>
                <w:szCs w:val="18"/>
              </w:rPr>
            </w:pPr>
          </w:p>
        </w:tc>
      </w:tr>
      <w:tr w:rsidR="00C17BBD" w:rsidRPr="00251592" w14:paraId="1D9CD4DC" w14:textId="77777777" w:rsidTr="00622023">
        <w:trPr>
          <w:trHeight w:val="397"/>
          <w:jc w:val="center"/>
        </w:trPr>
        <w:tc>
          <w:tcPr>
            <w:tcW w:w="897" w:type="pct"/>
            <w:shd w:val="clear" w:color="auto" w:fill="FFFFFF"/>
            <w:vAlign w:val="center"/>
          </w:tcPr>
          <w:p w14:paraId="2936B1F5"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奥雅设计</w:t>
            </w:r>
          </w:p>
          <w:p w14:paraId="3255D96C"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（在审企业）</w:t>
            </w:r>
          </w:p>
        </w:tc>
        <w:tc>
          <w:tcPr>
            <w:tcW w:w="1003" w:type="pct"/>
            <w:shd w:val="clear" w:color="auto" w:fill="FFFFFF"/>
            <w:vAlign w:val="center"/>
          </w:tcPr>
          <w:p w14:paraId="2282E0C6" w14:textId="77777777" w:rsidR="00C17BBD" w:rsidRPr="00251592" w:rsidRDefault="00C17BBD" w:rsidP="008A2055">
            <w:pPr>
              <w:adjustRightInd w:val="0"/>
              <w:jc w:val="center"/>
              <w:rPr>
                <w:rFonts w:ascii="宋体" w:eastAsia="宋体" w:hAnsi="宋体" w:cs="Times New Roman"/>
                <w:sz w:val="18"/>
                <w:szCs w:val="18"/>
              </w:rPr>
            </w:pPr>
            <w:r w:rsidRPr="00251592">
              <w:rPr>
                <w:rFonts w:ascii="宋体" w:eastAsia="宋体" w:hAnsi="宋体" w:cs="Times New Roman"/>
                <w:sz w:val="18"/>
                <w:szCs w:val="18"/>
              </w:rPr>
              <w:t>园林景观设计</w:t>
            </w:r>
          </w:p>
        </w:tc>
        <w:tc>
          <w:tcPr>
            <w:tcW w:w="3100" w:type="pct"/>
            <w:shd w:val="clear" w:color="auto" w:fill="FFFFFF"/>
            <w:vAlign w:val="center"/>
          </w:tcPr>
          <w:p w14:paraId="11F5CBEC" w14:textId="77777777" w:rsidR="00C17BBD" w:rsidRPr="00251592" w:rsidRDefault="00C17BBD" w:rsidP="008A2055">
            <w:pPr>
              <w:adjustRightInd w:val="0"/>
              <w:jc w:val="left"/>
              <w:rPr>
                <w:rFonts w:ascii="宋体" w:eastAsia="宋体" w:hAnsi="宋体" w:cs="Times New Roman"/>
                <w:sz w:val="18"/>
                <w:szCs w:val="18"/>
              </w:rPr>
            </w:pPr>
            <w:r w:rsidRPr="00251592">
              <w:rPr>
                <w:rFonts w:ascii="宋体" w:eastAsia="宋体" w:hAnsi="宋体" w:cs="Times New Roman"/>
                <w:sz w:val="18"/>
                <w:szCs w:val="18"/>
              </w:rPr>
              <w:t>存在两种方法：1、在设计合同预收款项下一阶段设计工作完成时，一并将预收款项金额确认收入；2、预收款项在后续各设计阶段分摊确认收入。</w:t>
            </w:r>
          </w:p>
        </w:tc>
      </w:tr>
    </w:tbl>
    <w:p w14:paraId="249EB146"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综上所述，与主要同行业企业以及按照合同节点法确认收入的其他 A 股上市公司相比，公司针对预收款的会计处理不存在显著差异。</w:t>
      </w:r>
    </w:p>
    <w:p w14:paraId="77038A7E" w14:textId="77777777" w:rsidR="00C17BBD" w:rsidRPr="00251592" w:rsidRDefault="00C17BBD" w:rsidP="00C17BBD">
      <w:pPr>
        <w:pStyle w:val="14"/>
        <w:ind w:firstLine="420"/>
        <w:rPr>
          <w:rFonts w:ascii="宋体" w:hAnsi="宋体"/>
          <w:sz w:val="21"/>
          <w:szCs w:val="21"/>
        </w:rPr>
      </w:pPr>
      <w:r w:rsidRPr="00251592">
        <w:rPr>
          <w:rFonts w:ascii="宋体" w:hAnsi="宋体" w:hint="eastAsia"/>
          <w:sz w:val="21"/>
          <w:szCs w:val="21"/>
        </w:rPr>
        <w:t>2、补充披露按照同行业可比公司预收账款后续会计处理对发行人财务报表的影响</w:t>
      </w:r>
    </w:p>
    <w:p w14:paraId="58F09AE0"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 xml:space="preserve">如前所述，天海防务（300008.SZ）、豪尔赛(002963.SZ)、永福股份（300712.SZ）等A股上市公司，以及在审同行业设计企业交通中心、尤安设计，针对业务承接阶段预收账款的会计处理，与公司一致，即：在完成收取预收款项下一阶段工作后，一并将前期预收款项确认收入。 </w:t>
      </w:r>
    </w:p>
    <w:p w14:paraId="21726D7A"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与前述企业不同，在审企业奥雅设计，其对于合同未约定各阶段工作量的，将预收款项在后续各设计阶段分摊确认收入。针对公司报告期内各期前十大项目的预收款项，参照奥雅设计对预收款项的会计处理，将预收款项在后续各设计阶段分摊确认收入，即对前期的预收款项，按照合同约定的各设计阶段收款</w:t>
      </w:r>
      <w:proofErr w:type="gramStart"/>
      <w:r w:rsidRPr="00251592">
        <w:rPr>
          <w:rFonts w:ascii="宋体" w:hAnsi="宋体" w:cs="Times New Roman"/>
          <w:color w:val="000000"/>
          <w:sz w:val="21"/>
          <w:szCs w:val="21"/>
          <w:lang w:bidi="en-US"/>
        </w:rPr>
        <w:t>金额占除定金</w:t>
      </w:r>
      <w:proofErr w:type="gramEnd"/>
      <w:r w:rsidRPr="00251592">
        <w:rPr>
          <w:rFonts w:ascii="宋体" w:hAnsi="宋体" w:cs="Times New Roman"/>
          <w:color w:val="000000"/>
          <w:sz w:val="21"/>
          <w:szCs w:val="21"/>
          <w:lang w:bidi="en-US"/>
        </w:rPr>
        <w:t>阶段外合计收款金额的比例，在后续各设计阶段分摊确认收入，模拟测算对报告期内各期前十大项目的收入确认金额的具体影响情况如下：</w:t>
      </w:r>
    </w:p>
    <w:p w14:paraId="3DDE9C97" w14:textId="77777777" w:rsidR="00C17BBD" w:rsidRPr="00251592" w:rsidRDefault="00C17BBD" w:rsidP="00C17BBD">
      <w:pPr>
        <w:ind w:left="7139" w:firstLine="1"/>
        <w:rPr>
          <w:rFonts w:ascii="宋体" w:eastAsia="宋体" w:hAnsi="宋体" w:cs="Times New Roman"/>
          <w:color w:val="000000"/>
          <w:kern w:val="0"/>
          <w:szCs w:val="21"/>
          <w:lang w:eastAsia="en-US" w:bidi="en-US"/>
        </w:rPr>
      </w:pPr>
      <w:proofErr w:type="spellStart"/>
      <w:r w:rsidRPr="00251592">
        <w:rPr>
          <w:rFonts w:ascii="宋体" w:eastAsia="宋体" w:hAnsi="宋体" w:cs="Times New Roman"/>
          <w:color w:val="000000"/>
          <w:kern w:val="0"/>
          <w:szCs w:val="21"/>
          <w:lang w:eastAsia="en-US" w:bidi="en-US"/>
        </w:rPr>
        <w:lastRenderedPageBreak/>
        <w:t>单位：万元</w:t>
      </w:r>
      <w:proofErr w:type="spellEnd"/>
    </w:p>
    <w:tbl>
      <w:tblPr>
        <w:tblW w:w="4644" w:type="pct"/>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15"/>
        <w:gridCol w:w="1114"/>
        <w:gridCol w:w="1114"/>
        <w:gridCol w:w="1114"/>
        <w:gridCol w:w="1358"/>
      </w:tblGrid>
      <w:tr w:rsidR="00C17BBD" w:rsidRPr="00251592" w14:paraId="6DE2401A" w14:textId="77777777" w:rsidTr="00622023">
        <w:trPr>
          <w:trHeight w:val="403"/>
          <w:jc w:val="center"/>
        </w:trPr>
        <w:tc>
          <w:tcPr>
            <w:tcW w:w="3215" w:type="dxa"/>
            <w:shd w:val="clear" w:color="auto" w:fill="auto"/>
            <w:noWrap/>
            <w:vAlign w:val="center"/>
          </w:tcPr>
          <w:p w14:paraId="202A1A55"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确认方法</w:t>
            </w:r>
          </w:p>
        </w:tc>
        <w:tc>
          <w:tcPr>
            <w:tcW w:w="1114" w:type="dxa"/>
            <w:shd w:val="clear" w:color="auto" w:fill="auto"/>
            <w:noWrap/>
            <w:vAlign w:val="center"/>
          </w:tcPr>
          <w:p w14:paraId="0A4101AE"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2020年</w:t>
            </w:r>
          </w:p>
        </w:tc>
        <w:tc>
          <w:tcPr>
            <w:tcW w:w="1114" w:type="dxa"/>
            <w:shd w:val="clear" w:color="auto" w:fill="auto"/>
            <w:noWrap/>
            <w:vAlign w:val="center"/>
          </w:tcPr>
          <w:p w14:paraId="7AEA18AB"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2019年</w:t>
            </w:r>
          </w:p>
        </w:tc>
        <w:tc>
          <w:tcPr>
            <w:tcW w:w="1114" w:type="dxa"/>
            <w:shd w:val="clear" w:color="auto" w:fill="auto"/>
            <w:vAlign w:val="center"/>
          </w:tcPr>
          <w:p w14:paraId="01C15BA0"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2018年</w:t>
            </w:r>
          </w:p>
        </w:tc>
        <w:tc>
          <w:tcPr>
            <w:tcW w:w="1358" w:type="dxa"/>
            <w:shd w:val="clear" w:color="auto" w:fill="auto"/>
            <w:vAlign w:val="center"/>
          </w:tcPr>
          <w:p w14:paraId="71E4B435"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合计</w:t>
            </w:r>
          </w:p>
        </w:tc>
      </w:tr>
      <w:tr w:rsidR="00C17BBD" w:rsidRPr="00251592" w14:paraId="09B4DB35" w14:textId="77777777" w:rsidTr="00622023">
        <w:trPr>
          <w:trHeight w:val="403"/>
          <w:jc w:val="center"/>
        </w:trPr>
        <w:tc>
          <w:tcPr>
            <w:tcW w:w="3215" w:type="dxa"/>
            <w:shd w:val="clear" w:color="auto" w:fill="auto"/>
            <w:noWrap/>
            <w:vAlign w:val="center"/>
          </w:tcPr>
          <w:p w14:paraId="1BC2171D" w14:textId="77777777" w:rsidR="00C17BBD" w:rsidRPr="00251592" w:rsidRDefault="00C17BBD" w:rsidP="008A2055">
            <w:pPr>
              <w:jc w:val="lef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预收款项在下一阶段工作完成后一并确认收入（A）</w:t>
            </w:r>
          </w:p>
        </w:tc>
        <w:tc>
          <w:tcPr>
            <w:tcW w:w="1114" w:type="dxa"/>
            <w:shd w:val="clear" w:color="auto" w:fill="auto"/>
            <w:noWrap/>
            <w:vAlign w:val="center"/>
          </w:tcPr>
          <w:p w14:paraId="7FFD7C23"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6,114.71</w:t>
            </w:r>
          </w:p>
        </w:tc>
        <w:tc>
          <w:tcPr>
            <w:tcW w:w="1114" w:type="dxa"/>
            <w:shd w:val="clear" w:color="auto" w:fill="auto"/>
            <w:noWrap/>
            <w:vAlign w:val="center"/>
          </w:tcPr>
          <w:p w14:paraId="3A904B4B"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5,785.47</w:t>
            </w:r>
          </w:p>
        </w:tc>
        <w:tc>
          <w:tcPr>
            <w:tcW w:w="1114" w:type="dxa"/>
            <w:shd w:val="clear" w:color="auto" w:fill="auto"/>
            <w:vAlign w:val="center"/>
          </w:tcPr>
          <w:p w14:paraId="4CA54A65"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6,722.08</w:t>
            </w:r>
          </w:p>
        </w:tc>
        <w:tc>
          <w:tcPr>
            <w:tcW w:w="1358" w:type="dxa"/>
            <w:shd w:val="clear" w:color="auto" w:fill="auto"/>
            <w:vAlign w:val="center"/>
          </w:tcPr>
          <w:p w14:paraId="7C23EFD6"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18,622.25</w:t>
            </w:r>
          </w:p>
        </w:tc>
      </w:tr>
      <w:tr w:rsidR="00C17BBD" w:rsidRPr="00251592" w14:paraId="2A18B2B5" w14:textId="77777777" w:rsidTr="00622023">
        <w:trPr>
          <w:trHeight w:val="403"/>
          <w:jc w:val="center"/>
        </w:trPr>
        <w:tc>
          <w:tcPr>
            <w:tcW w:w="3215" w:type="dxa"/>
            <w:shd w:val="clear" w:color="auto" w:fill="auto"/>
            <w:noWrap/>
            <w:vAlign w:val="center"/>
          </w:tcPr>
          <w:p w14:paraId="7A4A3A78" w14:textId="77777777" w:rsidR="00C17BBD" w:rsidRPr="00251592" w:rsidRDefault="00C17BBD" w:rsidP="008A2055">
            <w:pPr>
              <w:jc w:val="lef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预收款项在后续各设计阶段分摊确认收入（B）</w:t>
            </w:r>
          </w:p>
        </w:tc>
        <w:tc>
          <w:tcPr>
            <w:tcW w:w="1114" w:type="dxa"/>
            <w:shd w:val="clear" w:color="auto" w:fill="auto"/>
            <w:noWrap/>
            <w:vAlign w:val="center"/>
          </w:tcPr>
          <w:p w14:paraId="0CB212F8"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6,149.19</w:t>
            </w:r>
          </w:p>
        </w:tc>
        <w:tc>
          <w:tcPr>
            <w:tcW w:w="1114" w:type="dxa"/>
            <w:shd w:val="clear" w:color="auto" w:fill="auto"/>
            <w:noWrap/>
            <w:vAlign w:val="center"/>
          </w:tcPr>
          <w:p w14:paraId="268E73DC"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5,599.25</w:t>
            </w:r>
          </w:p>
        </w:tc>
        <w:tc>
          <w:tcPr>
            <w:tcW w:w="1114" w:type="dxa"/>
            <w:shd w:val="clear" w:color="auto" w:fill="auto"/>
            <w:vAlign w:val="center"/>
          </w:tcPr>
          <w:p w14:paraId="41FF8880"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6,872.22</w:t>
            </w:r>
          </w:p>
        </w:tc>
        <w:tc>
          <w:tcPr>
            <w:tcW w:w="1358" w:type="dxa"/>
            <w:shd w:val="clear" w:color="auto" w:fill="auto"/>
            <w:vAlign w:val="center"/>
          </w:tcPr>
          <w:p w14:paraId="03247E94"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18,620.67</w:t>
            </w:r>
          </w:p>
        </w:tc>
      </w:tr>
      <w:tr w:rsidR="00C17BBD" w:rsidRPr="00251592" w14:paraId="1D9CDB5E" w14:textId="77777777" w:rsidTr="00622023">
        <w:trPr>
          <w:trHeight w:val="403"/>
          <w:jc w:val="center"/>
        </w:trPr>
        <w:tc>
          <w:tcPr>
            <w:tcW w:w="3215" w:type="dxa"/>
            <w:shd w:val="clear" w:color="auto" w:fill="auto"/>
            <w:noWrap/>
            <w:vAlign w:val="center"/>
          </w:tcPr>
          <w:p w14:paraId="108C936A"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差异（A-B）</w:t>
            </w:r>
          </w:p>
        </w:tc>
        <w:tc>
          <w:tcPr>
            <w:tcW w:w="1114" w:type="dxa"/>
            <w:shd w:val="clear" w:color="auto" w:fill="auto"/>
            <w:noWrap/>
            <w:vAlign w:val="center"/>
          </w:tcPr>
          <w:p w14:paraId="7C0002D3"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hint="eastAsia"/>
                <w:color w:val="000000"/>
                <w:sz w:val="18"/>
                <w:szCs w:val="18"/>
              </w:rPr>
              <w:t xml:space="preserve">-34.49 </w:t>
            </w:r>
          </w:p>
        </w:tc>
        <w:tc>
          <w:tcPr>
            <w:tcW w:w="1114" w:type="dxa"/>
            <w:shd w:val="clear" w:color="auto" w:fill="auto"/>
            <w:noWrap/>
            <w:vAlign w:val="center"/>
          </w:tcPr>
          <w:p w14:paraId="27795722"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hint="eastAsia"/>
                <w:color w:val="000000"/>
                <w:sz w:val="18"/>
                <w:szCs w:val="18"/>
              </w:rPr>
              <w:t xml:space="preserve">186.22 </w:t>
            </w:r>
          </w:p>
        </w:tc>
        <w:tc>
          <w:tcPr>
            <w:tcW w:w="1114" w:type="dxa"/>
            <w:shd w:val="clear" w:color="auto" w:fill="auto"/>
            <w:vAlign w:val="center"/>
          </w:tcPr>
          <w:p w14:paraId="75107E34"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-150.15</w:t>
            </w:r>
          </w:p>
        </w:tc>
        <w:tc>
          <w:tcPr>
            <w:tcW w:w="1358" w:type="dxa"/>
            <w:shd w:val="clear" w:color="auto" w:fill="auto"/>
            <w:vAlign w:val="center"/>
          </w:tcPr>
          <w:p w14:paraId="14C67C57"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 xml:space="preserve">1.59 </w:t>
            </w:r>
          </w:p>
        </w:tc>
      </w:tr>
      <w:tr w:rsidR="00C17BBD" w:rsidRPr="00251592" w14:paraId="7733E0FB" w14:textId="77777777" w:rsidTr="00622023">
        <w:trPr>
          <w:trHeight w:val="403"/>
          <w:jc w:val="center"/>
        </w:trPr>
        <w:tc>
          <w:tcPr>
            <w:tcW w:w="3215" w:type="dxa"/>
            <w:shd w:val="clear" w:color="auto" w:fill="auto"/>
            <w:noWrap/>
            <w:vAlign w:val="center"/>
          </w:tcPr>
          <w:p w14:paraId="25985CBF"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差异率（A-B）/A</w:t>
            </w:r>
          </w:p>
        </w:tc>
        <w:tc>
          <w:tcPr>
            <w:tcW w:w="1114" w:type="dxa"/>
            <w:shd w:val="clear" w:color="auto" w:fill="auto"/>
            <w:noWrap/>
            <w:vAlign w:val="center"/>
          </w:tcPr>
          <w:p w14:paraId="612ADCAF"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hint="eastAsia"/>
                <w:color w:val="000000"/>
                <w:sz w:val="18"/>
                <w:szCs w:val="18"/>
              </w:rPr>
              <w:t>-0.56%</w:t>
            </w:r>
          </w:p>
        </w:tc>
        <w:tc>
          <w:tcPr>
            <w:tcW w:w="1114" w:type="dxa"/>
            <w:shd w:val="clear" w:color="auto" w:fill="auto"/>
            <w:noWrap/>
            <w:vAlign w:val="center"/>
          </w:tcPr>
          <w:p w14:paraId="4461027C"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hint="eastAsia"/>
                <w:color w:val="000000"/>
                <w:sz w:val="18"/>
                <w:szCs w:val="18"/>
              </w:rPr>
              <w:t>3.22%</w:t>
            </w:r>
          </w:p>
        </w:tc>
        <w:tc>
          <w:tcPr>
            <w:tcW w:w="1114" w:type="dxa"/>
            <w:shd w:val="clear" w:color="auto" w:fill="auto"/>
            <w:vAlign w:val="center"/>
          </w:tcPr>
          <w:p w14:paraId="58A931E0"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-2.23%</w:t>
            </w:r>
          </w:p>
        </w:tc>
        <w:tc>
          <w:tcPr>
            <w:tcW w:w="1358" w:type="dxa"/>
            <w:shd w:val="clear" w:color="auto" w:fill="auto"/>
            <w:vAlign w:val="center"/>
          </w:tcPr>
          <w:p w14:paraId="6DEB4E9D" w14:textId="77777777" w:rsidR="00C17BBD" w:rsidRPr="00251592" w:rsidRDefault="00C17BBD" w:rsidP="008A2055">
            <w:pPr>
              <w:jc w:val="right"/>
              <w:rPr>
                <w:rFonts w:ascii="宋体" w:eastAsia="宋体" w:hAnsi="宋体" w:cs="Times New Roman"/>
                <w:color w:val="000000"/>
                <w:kern w:val="0"/>
                <w:sz w:val="18"/>
                <w:szCs w:val="18"/>
                <w:lang w:bidi="en-US"/>
              </w:rPr>
            </w:pPr>
            <w:r w:rsidRPr="00251592">
              <w:rPr>
                <w:rFonts w:ascii="宋体" w:eastAsia="宋体" w:hAnsi="宋体" w:cs="Times New Roman" w:hint="eastAsia"/>
                <w:color w:val="000000"/>
                <w:sz w:val="18"/>
                <w:szCs w:val="18"/>
              </w:rPr>
              <w:t>0.01%</w:t>
            </w:r>
          </w:p>
        </w:tc>
      </w:tr>
    </w:tbl>
    <w:p w14:paraId="1C4AF871" w14:textId="77777777" w:rsidR="00C17BBD" w:rsidRPr="00251592" w:rsidRDefault="00C17BBD" w:rsidP="00C17BBD">
      <w:pPr>
        <w:widowControl/>
        <w:autoSpaceDE w:val="0"/>
        <w:autoSpaceDN w:val="0"/>
        <w:adjustRightInd w:val="0"/>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如上表所示，2018年至2020年，假设将预收款项在后续各设计阶段分摊确认收入，对报告期内各期前十大项目的收入累计影响金额为</w:t>
      </w:r>
      <w:r w:rsidRPr="00251592">
        <w:rPr>
          <w:rFonts w:ascii="宋体" w:eastAsia="宋体" w:hAnsi="宋体" w:cs="Times New Roman" w:hint="eastAsia"/>
          <w:color w:val="000000"/>
          <w:szCs w:val="21"/>
        </w:rPr>
        <w:t>1.59</w:t>
      </w:r>
      <w:r w:rsidRPr="00251592">
        <w:rPr>
          <w:rFonts w:ascii="宋体" w:eastAsia="宋体" w:hAnsi="宋体" w:cs="Times New Roman"/>
          <w:color w:val="000000"/>
          <w:kern w:val="0"/>
          <w:szCs w:val="21"/>
          <w:lang w:bidi="en-US"/>
        </w:rPr>
        <w:t>万元，占比</w:t>
      </w:r>
      <w:r w:rsidRPr="00251592">
        <w:rPr>
          <w:rFonts w:ascii="宋体" w:eastAsia="宋体" w:hAnsi="宋体" w:cs="Times New Roman" w:hint="eastAsia"/>
          <w:color w:val="000000"/>
          <w:szCs w:val="21"/>
        </w:rPr>
        <w:t>0.01%</w:t>
      </w:r>
      <w:r w:rsidRPr="00251592">
        <w:rPr>
          <w:rFonts w:ascii="宋体" w:eastAsia="宋体" w:hAnsi="宋体" w:cs="Times New Roman"/>
          <w:color w:val="000000"/>
          <w:kern w:val="0"/>
          <w:szCs w:val="21"/>
          <w:lang w:bidi="en-US"/>
        </w:rPr>
        <w:t>，整体差异较小。</w:t>
      </w:r>
    </w:p>
    <w:p w14:paraId="0329D940" w14:textId="77777777" w:rsidR="00C17BBD" w:rsidRPr="00251592" w:rsidRDefault="00C17BBD" w:rsidP="00C17BBD">
      <w:pPr>
        <w:pStyle w:val="14"/>
        <w:ind w:firstLine="420"/>
        <w:rPr>
          <w:rFonts w:ascii="宋体" w:hAnsi="宋体" w:cs="Times New Roman"/>
          <w:color w:val="000000"/>
          <w:sz w:val="21"/>
          <w:szCs w:val="21"/>
          <w:lang w:bidi="en-US"/>
        </w:rPr>
      </w:pPr>
      <w:r w:rsidRPr="00251592">
        <w:rPr>
          <w:rFonts w:ascii="宋体" w:hAnsi="宋体" w:cs="Times New Roman"/>
          <w:color w:val="000000"/>
          <w:sz w:val="21"/>
          <w:szCs w:val="21"/>
          <w:lang w:bidi="en-US"/>
        </w:rPr>
        <w:t>综上所述，针对合同前期收取的预收款项，发行人会计处理与同行业主要企业不存在差异；按照其他同行业企业对预收款项的会计处理，模拟测算结果对发行人财务报表的影响整体较小。</w:t>
      </w:r>
    </w:p>
    <w:p w14:paraId="778029B0"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（四）</w:t>
      </w:r>
      <w:r w:rsidRPr="00251592">
        <w:rPr>
          <w:rFonts w:ascii="宋体" w:eastAsia="宋体" w:hAnsi="宋体"/>
          <w:sz w:val="21"/>
          <w:szCs w:val="21"/>
        </w:rPr>
        <w:t>补充说明当年收入新增或减少情况，完善相关回复内容，并在招股说明书中予以更新</w:t>
      </w:r>
    </w:p>
    <w:p w14:paraId="0ACC430C" w14:textId="77777777" w:rsidR="00C17BBD" w:rsidRPr="00251592" w:rsidRDefault="00C17BBD" w:rsidP="00C17BBD">
      <w:pPr>
        <w:pStyle w:val="14"/>
        <w:ind w:firstLine="420"/>
        <w:rPr>
          <w:rFonts w:ascii="宋体" w:hAnsi="宋体"/>
          <w:sz w:val="21"/>
          <w:szCs w:val="21"/>
        </w:rPr>
      </w:pPr>
      <w:r w:rsidRPr="00251592">
        <w:rPr>
          <w:rFonts w:ascii="宋体" w:hAnsi="宋体" w:hint="eastAsia"/>
          <w:sz w:val="21"/>
          <w:szCs w:val="21"/>
        </w:rPr>
        <w:t>1、结合具体项目，量化分析并补充披露报告期内居住建筑设计业务收入、公共建筑设计业务收入存在较大波动的原因及合理性</w:t>
      </w:r>
      <w:r w:rsidRPr="00251592">
        <w:rPr>
          <w:rFonts w:ascii="宋体" w:hAnsi="宋体"/>
          <w:sz w:val="21"/>
          <w:szCs w:val="21"/>
        </w:rPr>
        <w:t>：</w:t>
      </w:r>
    </w:p>
    <w:p w14:paraId="5CDD4D7F"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 xml:space="preserve">按照业务板块划分，公司建筑设计业务收入构成及占比情况如下： </w:t>
      </w:r>
    </w:p>
    <w:p w14:paraId="30F2EC10" w14:textId="77777777" w:rsidR="00C17BBD" w:rsidRPr="00251592" w:rsidRDefault="00C17BBD" w:rsidP="00C17BBD">
      <w:pPr>
        <w:jc w:val="right"/>
        <w:rPr>
          <w:rFonts w:ascii="宋体" w:eastAsia="宋体" w:hAnsi="宋体" w:cs="Times New Roman"/>
          <w:iCs/>
          <w:szCs w:val="21"/>
          <w:lang w:eastAsia="en-US" w:bidi="en-US"/>
        </w:rPr>
      </w:pPr>
      <w:proofErr w:type="spellStart"/>
      <w:r w:rsidRPr="00251592">
        <w:rPr>
          <w:rFonts w:ascii="宋体" w:eastAsia="宋体" w:hAnsi="宋体" w:cs="Times New Roman"/>
          <w:iCs/>
          <w:szCs w:val="21"/>
          <w:lang w:eastAsia="en-US" w:bidi="en-US"/>
        </w:rPr>
        <w:t>单位：万元</w:t>
      </w:r>
      <w:proofErr w:type="spellEnd"/>
    </w:p>
    <w:tbl>
      <w:tblPr>
        <w:tblW w:w="5000" w:type="pct"/>
        <w:jc w:val="center"/>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175"/>
        <w:gridCol w:w="1226"/>
        <w:gridCol w:w="1226"/>
        <w:gridCol w:w="1225"/>
        <w:gridCol w:w="1225"/>
        <w:gridCol w:w="1225"/>
        <w:gridCol w:w="1220"/>
      </w:tblGrid>
      <w:tr w:rsidR="00C17BBD" w:rsidRPr="00251592" w14:paraId="40464702" w14:textId="77777777" w:rsidTr="00622023">
        <w:trPr>
          <w:trHeight w:val="397"/>
          <w:jc w:val="center"/>
        </w:trPr>
        <w:tc>
          <w:tcPr>
            <w:tcW w:w="689" w:type="pct"/>
            <w:vMerge w:val="restart"/>
            <w:vAlign w:val="center"/>
          </w:tcPr>
          <w:p w14:paraId="7256DD01" w14:textId="77777777" w:rsidR="00C17BBD" w:rsidRPr="00251592" w:rsidRDefault="00C17BBD" w:rsidP="008A2055">
            <w:pPr>
              <w:widowControl/>
              <w:jc w:val="center"/>
              <w:rPr>
                <w:rFonts w:ascii="宋体" w:eastAsia="宋体" w:hAnsi="宋体" w:cs="Times New Roman"/>
                <w:iCs/>
                <w:color w:val="000000"/>
                <w:sz w:val="18"/>
                <w:szCs w:val="18"/>
                <w:lang w:bidi="en-US"/>
              </w:rPr>
            </w:pPr>
            <w:r w:rsidRPr="00251592">
              <w:rPr>
                <w:rFonts w:ascii="宋体" w:eastAsia="宋体" w:hAnsi="宋体" w:cs="Times New Roman"/>
                <w:iCs/>
                <w:kern w:val="0"/>
                <w:sz w:val="18"/>
                <w:szCs w:val="18"/>
                <w:lang w:bidi="en-US"/>
              </w:rPr>
              <w:t>业务板块</w:t>
            </w:r>
          </w:p>
        </w:tc>
        <w:tc>
          <w:tcPr>
            <w:tcW w:w="1438" w:type="pct"/>
            <w:gridSpan w:val="2"/>
            <w:vAlign w:val="center"/>
          </w:tcPr>
          <w:p w14:paraId="09695C3D" w14:textId="77777777" w:rsidR="00C17BBD" w:rsidRPr="00251592" w:rsidRDefault="00C17BBD" w:rsidP="008A2055">
            <w:pPr>
              <w:jc w:val="center"/>
              <w:rPr>
                <w:rFonts w:ascii="宋体" w:eastAsia="宋体" w:hAnsi="宋体" w:cs="Times New Roman"/>
                <w:iCs/>
                <w:kern w:val="0"/>
                <w:sz w:val="18"/>
                <w:szCs w:val="18"/>
                <w:lang w:eastAsia="en-US" w:bidi="en-US"/>
              </w:rPr>
            </w:pPr>
            <w:r w:rsidRPr="00251592">
              <w:rPr>
                <w:rFonts w:ascii="宋体" w:eastAsia="宋体" w:hAnsi="宋体" w:cs="Times New Roman"/>
                <w:iCs/>
                <w:kern w:val="0"/>
                <w:sz w:val="18"/>
                <w:szCs w:val="18"/>
                <w:lang w:eastAsia="en-US" w:bidi="en-US"/>
              </w:rPr>
              <w:t>2020</w:t>
            </w:r>
            <w:r w:rsidRPr="00251592">
              <w:rPr>
                <w:rFonts w:ascii="宋体" w:eastAsia="宋体" w:hAnsi="宋体" w:cs="Times New Roman" w:hint="eastAsia"/>
                <w:iCs/>
                <w:kern w:val="0"/>
                <w:sz w:val="18"/>
                <w:szCs w:val="18"/>
                <w:lang w:eastAsia="en-US" w:bidi="en-US"/>
              </w:rPr>
              <w:t>年度</w:t>
            </w:r>
          </w:p>
        </w:tc>
        <w:tc>
          <w:tcPr>
            <w:tcW w:w="1437" w:type="pct"/>
            <w:gridSpan w:val="2"/>
            <w:vAlign w:val="center"/>
          </w:tcPr>
          <w:p w14:paraId="2A0440CA" w14:textId="77777777" w:rsidR="00C17BBD" w:rsidRPr="00251592" w:rsidRDefault="00C17BBD" w:rsidP="008A2055">
            <w:pPr>
              <w:jc w:val="center"/>
              <w:rPr>
                <w:rFonts w:ascii="宋体" w:eastAsia="宋体" w:hAnsi="宋体" w:cs="Times New Roman"/>
                <w:iCs/>
                <w:kern w:val="0"/>
                <w:sz w:val="18"/>
                <w:szCs w:val="18"/>
                <w:lang w:eastAsia="en-US" w:bidi="en-US"/>
              </w:rPr>
            </w:pPr>
            <w:r w:rsidRPr="00251592">
              <w:rPr>
                <w:rFonts w:ascii="宋体" w:eastAsia="宋体" w:hAnsi="宋体" w:cs="Times New Roman" w:hint="eastAsia"/>
                <w:iCs/>
                <w:kern w:val="0"/>
                <w:sz w:val="18"/>
                <w:szCs w:val="18"/>
                <w:lang w:eastAsia="en-US" w:bidi="en-US"/>
              </w:rPr>
              <w:t>2019年</w:t>
            </w:r>
            <w:r w:rsidRPr="00251592">
              <w:rPr>
                <w:rFonts w:ascii="宋体" w:eastAsia="宋体" w:hAnsi="宋体" w:cs="Times New Roman" w:hint="eastAsia"/>
                <w:iCs/>
                <w:kern w:val="0"/>
                <w:sz w:val="18"/>
                <w:szCs w:val="18"/>
                <w:lang w:bidi="en-US"/>
              </w:rPr>
              <w:t>度</w:t>
            </w:r>
          </w:p>
        </w:tc>
        <w:tc>
          <w:tcPr>
            <w:tcW w:w="1436" w:type="pct"/>
            <w:gridSpan w:val="2"/>
            <w:vAlign w:val="center"/>
          </w:tcPr>
          <w:p w14:paraId="00365ACE" w14:textId="77777777" w:rsidR="00C17BBD" w:rsidRPr="00251592" w:rsidRDefault="00C17BBD" w:rsidP="008A2055">
            <w:pPr>
              <w:jc w:val="center"/>
              <w:rPr>
                <w:rFonts w:ascii="宋体" w:eastAsia="宋体" w:hAnsi="宋体" w:cs="Times New Roman"/>
                <w:iCs/>
                <w:kern w:val="0"/>
                <w:sz w:val="18"/>
                <w:szCs w:val="18"/>
                <w:lang w:eastAsia="en-US" w:bidi="en-US"/>
              </w:rPr>
            </w:pPr>
            <w:r w:rsidRPr="00251592">
              <w:rPr>
                <w:rFonts w:ascii="宋体" w:eastAsia="宋体" w:hAnsi="宋体" w:cs="Times New Roman"/>
                <w:iCs/>
                <w:kern w:val="0"/>
                <w:sz w:val="18"/>
                <w:szCs w:val="18"/>
                <w:lang w:eastAsia="en-US" w:bidi="en-US"/>
              </w:rPr>
              <w:t>201</w:t>
            </w:r>
            <w:r w:rsidRPr="00251592">
              <w:rPr>
                <w:rFonts w:ascii="宋体" w:eastAsia="宋体" w:hAnsi="宋体" w:cs="Times New Roman"/>
                <w:iCs/>
                <w:kern w:val="0"/>
                <w:sz w:val="18"/>
                <w:szCs w:val="18"/>
                <w:lang w:bidi="en-US"/>
              </w:rPr>
              <w:t>8</w:t>
            </w:r>
            <w:r w:rsidRPr="00251592">
              <w:rPr>
                <w:rFonts w:ascii="宋体" w:eastAsia="宋体" w:hAnsi="宋体" w:cs="Times New Roman"/>
                <w:iCs/>
                <w:kern w:val="0"/>
                <w:sz w:val="18"/>
                <w:szCs w:val="18"/>
                <w:lang w:eastAsia="en-US" w:bidi="en-US"/>
              </w:rPr>
              <w:t>年度</w:t>
            </w:r>
          </w:p>
        </w:tc>
      </w:tr>
      <w:tr w:rsidR="00C17BBD" w:rsidRPr="00251592" w14:paraId="504FA91D" w14:textId="77777777" w:rsidTr="00622023">
        <w:trPr>
          <w:trHeight w:val="397"/>
          <w:jc w:val="center"/>
        </w:trPr>
        <w:tc>
          <w:tcPr>
            <w:tcW w:w="689" w:type="pct"/>
            <w:vMerge/>
          </w:tcPr>
          <w:p w14:paraId="631EFE14" w14:textId="77777777" w:rsidR="00C17BBD" w:rsidRPr="00251592" w:rsidRDefault="00C17BBD" w:rsidP="008A2055">
            <w:pPr>
              <w:spacing w:beforeLines="50" w:before="156" w:afterLines="50" w:after="156" w:line="360" w:lineRule="auto"/>
              <w:jc w:val="center"/>
              <w:rPr>
                <w:rFonts w:ascii="宋体" w:eastAsia="宋体" w:hAnsi="宋体" w:cs="Times New Roman"/>
                <w:iCs/>
                <w:color w:val="000000"/>
                <w:sz w:val="18"/>
                <w:szCs w:val="18"/>
                <w:lang w:bidi="en-US"/>
              </w:rPr>
            </w:pPr>
          </w:p>
        </w:tc>
        <w:tc>
          <w:tcPr>
            <w:tcW w:w="719" w:type="pct"/>
            <w:vAlign w:val="center"/>
          </w:tcPr>
          <w:p w14:paraId="37063223" w14:textId="77777777" w:rsidR="00C17BBD" w:rsidRPr="00251592" w:rsidRDefault="00C17BBD" w:rsidP="008A2055">
            <w:pPr>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金额</w:t>
            </w:r>
            <w:proofErr w:type="spellEnd"/>
          </w:p>
        </w:tc>
        <w:tc>
          <w:tcPr>
            <w:tcW w:w="719" w:type="pct"/>
            <w:vAlign w:val="center"/>
          </w:tcPr>
          <w:p w14:paraId="03BE3FA3" w14:textId="77777777" w:rsidR="00C17BBD" w:rsidRPr="00251592" w:rsidRDefault="00C17BBD" w:rsidP="008A2055">
            <w:pPr>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占比</w:t>
            </w:r>
            <w:proofErr w:type="spellEnd"/>
          </w:p>
        </w:tc>
        <w:tc>
          <w:tcPr>
            <w:tcW w:w="719" w:type="pct"/>
            <w:vAlign w:val="center"/>
          </w:tcPr>
          <w:p w14:paraId="349BF84D"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金额</w:t>
            </w:r>
            <w:proofErr w:type="spellEnd"/>
          </w:p>
        </w:tc>
        <w:tc>
          <w:tcPr>
            <w:tcW w:w="719" w:type="pct"/>
            <w:vAlign w:val="center"/>
          </w:tcPr>
          <w:p w14:paraId="5E9182A1"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占比</w:t>
            </w:r>
            <w:proofErr w:type="spellEnd"/>
          </w:p>
        </w:tc>
        <w:tc>
          <w:tcPr>
            <w:tcW w:w="719" w:type="pct"/>
            <w:vAlign w:val="center"/>
          </w:tcPr>
          <w:p w14:paraId="0F4D4078"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kern w:val="0"/>
                <w:sz w:val="18"/>
                <w:szCs w:val="18"/>
                <w:lang w:eastAsia="en-US" w:bidi="en-US"/>
              </w:rPr>
              <w:t>金额</w:t>
            </w:r>
            <w:proofErr w:type="spellEnd"/>
          </w:p>
        </w:tc>
        <w:tc>
          <w:tcPr>
            <w:tcW w:w="717" w:type="pct"/>
            <w:vAlign w:val="center"/>
          </w:tcPr>
          <w:p w14:paraId="21AEF73D"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kern w:val="0"/>
                <w:sz w:val="18"/>
                <w:szCs w:val="18"/>
                <w:lang w:eastAsia="en-US" w:bidi="en-US"/>
              </w:rPr>
              <w:t>占比</w:t>
            </w:r>
            <w:proofErr w:type="spellEnd"/>
          </w:p>
        </w:tc>
      </w:tr>
      <w:tr w:rsidR="00C17BBD" w:rsidRPr="00251592" w14:paraId="5BA42090" w14:textId="77777777" w:rsidTr="00622023">
        <w:trPr>
          <w:trHeight w:val="397"/>
          <w:jc w:val="center"/>
        </w:trPr>
        <w:tc>
          <w:tcPr>
            <w:tcW w:w="689" w:type="pct"/>
            <w:vAlign w:val="center"/>
          </w:tcPr>
          <w:p w14:paraId="1B17A217" w14:textId="77777777" w:rsidR="00C17BBD" w:rsidRPr="00251592" w:rsidRDefault="00C17BBD" w:rsidP="008A2055">
            <w:pPr>
              <w:widowControl/>
              <w:jc w:val="center"/>
              <w:rPr>
                <w:rFonts w:ascii="宋体" w:eastAsia="宋体" w:hAnsi="宋体" w:cs="Times New Roman"/>
                <w:iCs/>
                <w:kern w:val="0"/>
                <w:sz w:val="18"/>
                <w:szCs w:val="18"/>
                <w:lang w:eastAsia="en-US" w:bidi="en-US"/>
              </w:rPr>
            </w:pPr>
            <w:r w:rsidRPr="00251592">
              <w:rPr>
                <w:rFonts w:ascii="宋体" w:eastAsia="宋体" w:hAnsi="宋体" w:cs="Times New Roman"/>
                <w:iCs/>
                <w:kern w:val="0"/>
                <w:sz w:val="18"/>
                <w:szCs w:val="18"/>
                <w:lang w:bidi="en-US"/>
              </w:rPr>
              <w:t>居住</w:t>
            </w:r>
            <w:proofErr w:type="spellStart"/>
            <w:r w:rsidRPr="00251592">
              <w:rPr>
                <w:rFonts w:ascii="宋体" w:eastAsia="宋体" w:hAnsi="宋体" w:cs="Times New Roman"/>
                <w:iCs/>
                <w:kern w:val="0"/>
                <w:sz w:val="18"/>
                <w:szCs w:val="18"/>
                <w:lang w:eastAsia="en-US" w:bidi="en-US"/>
              </w:rPr>
              <w:t>建筑</w:t>
            </w:r>
            <w:proofErr w:type="spellEnd"/>
          </w:p>
        </w:tc>
        <w:tc>
          <w:tcPr>
            <w:tcW w:w="719" w:type="pct"/>
            <w:vAlign w:val="center"/>
          </w:tcPr>
          <w:p w14:paraId="74B21D0D"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27,503.77</w:t>
            </w:r>
          </w:p>
        </w:tc>
        <w:tc>
          <w:tcPr>
            <w:tcW w:w="719" w:type="pct"/>
            <w:vAlign w:val="center"/>
          </w:tcPr>
          <w:p w14:paraId="70116D9C"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86.44%</w:t>
            </w:r>
          </w:p>
        </w:tc>
        <w:tc>
          <w:tcPr>
            <w:tcW w:w="719" w:type="pct"/>
            <w:vAlign w:val="center"/>
          </w:tcPr>
          <w:p w14:paraId="67A6FD78"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23,224.12</w:t>
            </w:r>
          </w:p>
        </w:tc>
        <w:tc>
          <w:tcPr>
            <w:tcW w:w="719" w:type="pct"/>
            <w:vAlign w:val="center"/>
          </w:tcPr>
          <w:p w14:paraId="0C56D1EB"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87.10%</w:t>
            </w:r>
          </w:p>
        </w:tc>
        <w:tc>
          <w:tcPr>
            <w:tcW w:w="719" w:type="pct"/>
            <w:vAlign w:val="center"/>
          </w:tcPr>
          <w:p w14:paraId="79BFD85E" w14:textId="77777777" w:rsidR="00C17BBD" w:rsidRPr="00251592" w:rsidRDefault="00C17BBD" w:rsidP="008A2055">
            <w:pPr>
              <w:jc w:val="right"/>
              <w:rPr>
                <w:rFonts w:ascii="宋体" w:eastAsia="宋体" w:hAnsi="宋体" w:cs="Times New Roman"/>
                <w:iCs/>
                <w:color w:val="000000"/>
                <w:sz w:val="18"/>
                <w:szCs w:val="18"/>
                <w:lang w:bidi="en-US"/>
              </w:rPr>
            </w:pPr>
            <w:r w:rsidRPr="00251592">
              <w:rPr>
                <w:rFonts w:ascii="宋体" w:eastAsia="宋体" w:hAnsi="宋体" w:cs="Times New Roman"/>
                <w:color w:val="000000"/>
                <w:sz w:val="18"/>
                <w:szCs w:val="18"/>
              </w:rPr>
              <w:t>22,523.59</w:t>
            </w:r>
          </w:p>
        </w:tc>
        <w:tc>
          <w:tcPr>
            <w:tcW w:w="717" w:type="pct"/>
            <w:vAlign w:val="center"/>
          </w:tcPr>
          <w:p w14:paraId="4FDC9099"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93.28%</w:t>
            </w:r>
          </w:p>
        </w:tc>
      </w:tr>
      <w:tr w:rsidR="00C17BBD" w:rsidRPr="00251592" w14:paraId="58D222AE" w14:textId="77777777" w:rsidTr="00622023">
        <w:trPr>
          <w:trHeight w:val="397"/>
          <w:jc w:val="center"/>
        </w:trPr>
        <w:tc>
          <w:tcPr>
            <w:tcW w:w="689" w:type="pct"/>
            <w:vAlign w:val="center"/>
          </w:tcPr>
          <w:p w14:paraId="42820C21" w14:textId="77777777" w:rsidR="00C17BBD" w:rsidRPr="00251592" w:rsidRDefault="00C17BBD" w:rsidP="008A2055">
            <w:pPr>
              <w:widowControl/>
              <w:jc w:val="center"/>
              <w:rPr>
                <w:rFonts w:ascii="宋体" w:eastAsia="宋体" w:hAnsi="宋体" w:cs="Times New Roman"/>
                <w:iCs/>
                <w:kern w:val="0"/>
                <w:sz w:val="18"/>
                <w:szCs w:val="18"/>
                <w:lang w:eastAsia="en-US" w:bidi="en-US"/>
              </w:rPr>
            </w:pPr>
            <w:r w:rsidRPr="00251592">
              <w:rPr>
                <w:rFonts w:ascii="宋体" w:eastAsia="宋体" w:hAnsi="宋体" w:cs="Times New Roman"/>
                <w:iCs/>
                <w:kern w:val="0"/>
                <w:sz w:val="18"/>
                <w:szCs w:val="18"/>
                <w:lang w:bidi="en-US"/>
              </w:rPr>
              <w:t>公共</w:t>
            </w:r>
            <w:proofErr w:type="spellStart"/>
            <w:r w:rsidRPr="00251592">
              <w:rPr>
                <w:rFonts w:ascii="宋体" w:eastAsia="宋体" w:hAnsi="宋体" w:cs="Times New Roman"/>
                <w:iCs/>
                <w:kern w:val="0"/>
                <w:sz w:val="18"/>
                <w:szCs w:val="18"/>
                <w:lang w:eastAsia="en-US" w:bidi="en-US"/>
              </w:rPr>
              <w:t>建筑</w:t>
            </w:r>
            <w:proofErr w:type="spellEnd"/>
          </w:p>
        </w:tc>
        <w:tc>
          <w:tcPr>
            <w:tcW w:w="719" w:type="pct"/>
            <w:vAlign w:val="center"/>
          </w:tcPr>
          <w:p w14:paraId="12182356"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4,313.81</w:t>
            </w:r>
          </w:p>
        </w:tc>
        <w:tc>
          <w:tcPr>
            <w:tcW w:w="719" w:type="pct"/>
            <w:vAlign w:val="center"/>
          </w:tcPr>
          <w:p w14:paraId="43104972"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13.56%</w:t>
            </w:r>
          </w:p>
        </w:tc>
        <w:tc>
          <w:tcPr>
            <w:tcW w:w="719" w:type="pct"/>
            <w:vAlign w:val="center"/>
          </w:tcPr>
          <w:p w14:paraId="62DE84E3"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3,440.02</w:t>
            </w:r>
          </w:p>
        </w:tc>
        <w:tc>
          <w:tcPr>
            <w:tcW w:w="719" w:type="pct"/>
            <w:vAlign w:val="center"/>
          </w:tcPr>
          <w:p w14:paraId="0D9CD694"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12.90%</w:t>
            </w:r>
          </w:p>
        </w:tc>
        <w:tc>
          <w:tcPr>
            <w:tcW w:w="719" w:type="pct"/>
            <w:vAlign w:val="center"/>
          </w:tcPr>
          <w:p w14:paraId="54E0A4A3"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1,621.56</w:t>
            </w:r>
          </w:p>
        </w:tc>
        <w:tc>
          <w:tcPr>
            <w:tcW w:w="717" w:type="pct"/>
            <w:vAlign w:val="center"/>
          </w:tcPr>
          <w:p w14:paraId="4918D5E2"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6.72%</w:t>
            </w:r>
          </w:p>
        </w:tc>
      </w:tr>
      <w:tr w:rsidR="00C17BBD" w:rsidRPr="00251592" w14:paraId="566F2C72" w14:textId="77777777" w:rsidTr="00622023">
        <w:trPr>
          <w:trHeight w:val="397"/>
          <w:jc w:val="center"/>
        </w:trPr>
        <w:tc>
          <w:tcPr>
            <w:tcW w:w="689" w:type="pct"/>
            <w:vAlign w:val="center"/>
          </w:tcPr>
          <w:p w14:paraId="1089566A"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kern w:val="0"/>
                <w:sz w:val="18"/>
                <w:szCs w:val="18"/>
                <w:lang w:eastAsia="en-US" w:bidi="en-US"/>
              </w:rPr>
              <w:t>合计</w:t>
            </w:r>
            <w:proofErr w:type="spellEnd"/>
          </w:p>
        </w:tc>
        <w:tc>
          <w:tcPr>
            <w:tcW w:w="719" w:type="pct"/>
            <w:vAlign w:val="center"/>
          </w:tcPr>
          <w:p w14:paraId="7FC4D4E1"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iCs/>
                <w:kern w:val="0"/>
                <w:sz w:val="18"/>
                <w:szCs w:val="18"/>
                <w:lang w:eastAsia="en-US" w:bidi="en-US"/>
              </w:rPr>
              <w:t>31,817.58</w:t>
            </w:r>
          </w:p>
        </w:tc>
        <w:tc>
          <w:tcPr>
            <w:tcW w:w="719" w:type="pct"/>
            <w:vAlign w:val="center"/>
          </w:tcPr>
          <w:p w14:paraId="3D27BAAB"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iCs/>
                <w:kern w:val="0"/>
                <w:sz w:val="18"/>
                <w:szCs w:val="18"/>
                <w:lang w:eastAsia="en-US" w:bidi="en-US"/>
              </w:rPr>
              <w:t>100.00%</w:t>
            </w:r>
          </w:p>
        </w:tc>
        <w:tc>
          <w:tcPr>
            <w:tcW w:w="719" w:type="pct"/>
            <w:vAlign w:val="center"/>
          </w:tcPr>
          <w:p w14:paraId="38310092"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iCs/>
                <w:color w:val="000000"/>
                <w:sz w:val="18"/>
                <w:szCs w:val="18"/>
                <w:lang w:eastAsia="en-US" w:bidi="en-US"/>
              </w:rPr>
              <w:t>26,664.14</w:t>
            </w:r>
          </w:p>
        </w:tc>
        <w:tc>
          <w:tcPr>
            <w:tcW w:w="719" w:type="pct"/>
            <w:vAlign w:val="center"/>
          </w:tcPr>
          <w:p w14:paraId="4AEFC1B2"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iCs/>
                <w:color w:val="000000"/>
                <w:sz w:val="18"/>
                <w:szCs w:val="18"/>
                <w:lang w:bidi="en-US"/>
              </w:rPr>
              <w:t>100.00%</w:t>
            </w:r>
          </w:p>
        </w:tc>
        <w:tc>
          <w:tcPr>
            <w:tcW w:w="719" w:type="pct"/>
            <w:vAlign w:val="center"/>
          </w:tcPr>
          <w:p w14:paraId="6AE6AFA4"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bidi="en-US"/>
              </w:rPr>
              <w:t>24,145.15</w:t>
            </w:r>
          </w:p>
        </w:tc>
        <w:tc>
          <w:tcPr>
            <w:tcW w:w="717" w:type="pct"/>
            <w:vAlign w:val="center"/>
          </w:tcPr>
          <w:p w14:paraId="2EED0896"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bidi="en-US"/>
              </w:rPr>
              <w:t>100.00%</w:t>
            </w:r>
          </w:p>
        </w:tc>
      </w:tr>
    </w:tbl>
    <w:p w14:paraId="0208F5F9"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报告期内，公司设计业务以居住建筑为主，公共建筑为辅，具体情况如下：</w:t>
      </w:r>
    </w:p>
    <w:p w14:paraId="2CD0FBCB"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1）</w:t>
      </w:r>
      <w:r w:rsidRPr="00251592">
        <w:rPr>
          <w:rFonts w:ascii="宋体" w:eastAsia="宋体" w:hAnsi="宋体" w:cs="Times New Roman"/>
          <w:iCs/>
          <w:szCs w:val="21"/>
          <w:lang w:bidi="en-US"/>
        </w:rPr>
        <w:t>居住建筑</w:t>
      </w:r>
    </w:p>
    <w:p w14:paraId="68586646"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报告期内，公司居住建筑设计业务收入分别为</w:t>
      </w:r>
      <w:r w:rsidRPr="00251592">
        <w:rPr>
          <w:rFonts w:ascii="宋体" w:eastAsia="宋体" w:hAnsi="宋体" w:cs="Times New Roman"/>
          <w:iCs/>
          <w:szCs w:val="21"/>
          <w:lang w:bidi="en-US"/>
        </w:rPr>
        <w:t>22,523.59万元</w:t>
      </w:r>
      <w:r w:rsidRPr="00251592">
        <w:rPr>
          <w:rFonts w:ascii="宋体" w:eastAsia="宋体" w:hAnsi="宋体" w:cs="Times New Roman" w:hint="eastAsia"/>
          <w:iCs/>
          <w:szCs w:val="21"/>
          <w:lang w:bidi="en-US"/>
        </w:rPr>
        <w:t>、</w:t>
      </w:r>
      <w:r w:rsidRPr="00251592">
        <w:rPr>
          <w:rFonts w:ascii="宋体" w:eastAsia="宋体" w:hAnsi="宋体" w:cs="Times New Roman"/>
          <w:iCs/>
          <w:szCs w:val="21"/>
          <w:lang w:bidi="en-US"/>
        </w:rPr>
        <w:t>23,224.12万元</w:t>
      </w:r>
      <w:r w:rsidRPr="00251592">
        <w:rPr>
          <w:rFonts w:ascii="宋体" w:eastAsia="宋体" w:hAnsi="宋体" w:cs="Times New Roman" w:hint="eastAsia"/>
          <w:iCs/>
          <w:szCs w:val="21"/>
          <w:lang w:bidi="en-US"/>
        </w:rPr>
        <w:t>、</w:t>
      </w:r>
      <w:r w:rsidRPr="00251592">
        <w:rPr>
          <w:rFonts w:ascii="宋体" w:eastAsia="宋体" w:hAnsi="宋体" w:cs="Times New Roman"/>
          <w:color w:val="000000"/>
          <w:szCs w:val="21"/>
        </w:rPr>
        <w:t>27,503.77</w:t>
      </w:r>
      <w:r w:rsidRPr="00251592">
        <w:rPr>
          <w:rFonts w:ascii="宋体" w:eastAsia="宋体" w:hAnsi="宋体" w:cs="Times New Roman" w:hint="eastAsia"/>
          <w:iCs/>
          <w:szCs w:val="21"/>
          <w:lang w:bidi="en-US"/>
        </w:rPr>
        <w:t>万元，对应服务的设计项目数量分别为219项276项和</w:t>
      </w:r>
      <w:r w:rsidRPr="00251592">
        <w:rPr>
          <w:rFonts w:ascii="宋体" w:eastAsia="宋体" w:hAnsi="宋体" w:cs="Times New Roman"/>
          <w:color w:val="000000"/>
          <w:kern w:val="0"/>
          <w:szCs w:val="21"/>
          <w:lang w:bidi="en-US"/>
        </w:rPr>
        <w:t>340</w:t>
      </w:r>
      <w:r w:rsidRPr="00251592">
        <w:rPr>
          <w:rFonts w:ascii="宋体" w:eastAsia="宋体" w:hAnsi="宋体" w:cs="Times New Roman" w:hint="eastAsia"/>
          <w:iCs/>
          <w:szCs w:val="21"/>
          <w:lang w:bidi="en-US"/>
        </w:rPr>
        <w:t>项，保持稳定增长的趋势。居住建筑设计业务收入总体随着业务项目的增多而呈现持续增长的态势。</w:t>
      </w:r>
    </w:p>
    <w:p w14:paraId="22587FDF"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lastRenderedPageBreak/>
        <w:t>报告期内，在房地产调控趋严的政策环境下，公司以居住建筑设计业务为主的业务收入仍持续增长的原因分析如下：</w:t>
      </w:r>
    </w:p>
    <w:p w14:paraId="382E4BD4"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报告期内，尽管房地产调控政策趋严，但全国房地产市场整体延续了较好的发展态势。2017年至2019年，全国房地产开发投资额分别为109,798.53亿元、120,263.51亿元和132,194.00亿元，同比增长分别为7.04%、9.53%和9.92%；其中，住宅投资额分别为75,147.88亿元、85,192.25亿元和97,071.00亿元，同比增长分别为9.38%、13.37%和13.94%；</w:t>
      </w:r>
      <w:r w:rsidRPr="00251592">
        <w:rPr>
          <w:rFonts w:ascii="宋体" w:eastAsia="宋体" w:hAnsi="宋体" w:cs="Times New Roman" w:hint="eastAsia"/>
          <w:iCs/>
          <w:kern w:val="0"/>
          <w:szCs w:val="21"/>
          <w:lang w:bidi="en-US"/>
        </w:rPr>
        <w:t>2</w:t>
      </w:r>
      <w:r w:rsidRPr="00251592">
        <w:rPr>
          <w:rFonts w:ascii="宋体" w:eastAsia="宋体" w:hAnsi="宋体" w:cs="Times New Roman"/>
          <w:iCs/>
          <w:kern w:val="0"/>
          <w:szCs w:val="21"/>
          <w:lang w:bidi="en-US"/>
        </w:rPr>
        <w:t>020</w:t>
      </w:r>
      <w:r w:rsidRPr="00251592">
        <w:rPr>
          <w:rFonts w:ascii="宋体" w:eastAsia="宋体" w:hAnsi="宋体" w:cs="Times New Roman" w:hint="eastAsia"/>
          <w:iCs/>
          <w:kern w:val="0"/>
          <w:szCs w:val="21"/>
          <w:lang w:bidi="en-US"/>
        </w:rPr>
        <w:t>年，全国房地产开发投资额为</w:t>
      </w:r>
      <w:r w:rsidRPr="00251592">
        <w:rPr>
          <w:rFonts w:ascii="宋体" w:eastAsia="宋体" w:hAnsi="宋体" w:cs="Times New Roman"/>
          <w:iCs/>
          <w:kern w:val="0"/>
          <w:szCs w:val="21"/>
          <w:lang w:bidi="en-US"/>
        </w:rPr>
        <w:t>141,443</w:t>
      </w:r>
      <w:r w:rsidRPr="00251592">
        <w:rPr>
          <w:rFonts w:ascii="宋体" w:eastAsia="宋体" w:hAnsi="宋体" w:cs="Times New Roman" w:hint="eastAsia"/>
          <w:iCs/>
          <w:kern w:val="0"/>
          <w:szCs w:val="21"/>
          <w:lang w:bidi="en-US"/>
        </w:rPr>
        <w:t>亿元，同比增长</w:t>
      </w:r>
      <w:r w:rsidRPr="00251592">
        <w:rPr>
          <w:rFonts w:ascii="宋体" w:eastAsia="宋体" w:hAnsi="宋体" w:cs="Times New Roman"/>
          <w:iCs/>
          <w:kern w:val="0"/>
          <w:szCs w:val="21"/>
          <w:lang w:bidi="en-US"/>
        </w:rPr>
        <w:t>7.0</w:t>
      </w:r>
      <w:r w:rsidRPr="00251592">
        <w:rPr>
          <w:rFonts w:ascii="宋体" w:eastAsia="宋体" w:hAnsi="宋体" w:cs="Times New Roman" w:hint="eastAsia"/>
          <w:iCs/>
          <w:kern w:val="0"/>
          <w:szCs w:val="21"/>
          <w:lang w:bidi="en-US"/>
        </w:rPr>
        <w:t>%；其中，住宅投资额为</w:t>
      </w:r>
      <w:r w:rsidRPr="00251592">
        <w:rPr>
          <w:rFonts w:ascii="宋体" w:eastAsia="宋体" w:hAnsi="宋体" w:cs="Times New Roman"/>
          <w:iCs/>
          <w:kern w:val="0"/>
          <w:szCs w:val="21"/>
          <w:lang w:bidi="en-US"/>
        </w:rPr>
        <w:t>104,446</w:t>
      </w:r>
      <w:r w:rsidRPr="00251592">
        <w:rPr>
          <w:rFonts w:ascii="宋体" w:eastAsia="宋体" w:hAnsi="宋体" w:cs="Times New Roman" w:hint="eastAsia"/>
          <w:iCs/>
          <w:kern w:val="0"/>
          <w:szCs w:val="21"/>
          <w:lang w:bidi="en-US"/>
        </w:rPr>
        <w:t>亿元，同比增长</w:t>
      </w:r>
      <w:r w:rsidRPr="00251592">
        <w:rPr>
          <w:rFonts w:ascii="宋体" w:eastAsia="宋体" w:hAnsi="宋体" w:cs="Times New Roman"/>
          <w:iCs/>
          <w:kern w:val="0"/>
          <w:szCs w:val="21"/>
          <w:lang w:bidi="en-US"/>
        </w:rPr>
        <w:t>7.6%</w:t>
      </w:r>
      <w:r w:rsidRPr="00251592">
        <w:rPr>
          <w:rFonts w:ascii="宋体" w:eastAsia="宋体" w:hAnsi="宋体" w:cs="Times New Roman" w:hint="eastAsia"/>
          <w:iCs/>
          <w:kern w:val="0"/>
          <w:szCs w:val="21"/>
          <w:lang w:bidi="en-US"/>
        </w:rPr>
        <w:t>，住宅投资占房地产开发投资的比重为</w:t>
      </w:r>
      <w:r w:rsidRPr="00251592">
        <w:rPr>
          <w:rFonts w:ascii="宋体" w:eastAsia="宋体" w:hAnsi="宋体" w:cs="Times New Roman"/>
          <w:iCs/>
          <w:kern w:val="0"/>
          <w:szCs w:val="21"/>
          <w:lang w:bidi="en-US"/>
        </w:rPr>
        <w:t>73.84</w:t>
      </w:r>
      <w:r w:rsidRPr="00251592">
        <w:rPr>
          <w:rFonts w:ascii="宋体" w:eastAsia="宋体" w:hAnsi="宋体" w:cs="Times New Roman" w:hint="eastAsia"/>
          <w:iCs/>
          <w:kern w:val="0"/>
          <w:szCs w:val="21"/>
          <w:lang w:bidi="en-US"/>
        </w:rPr>
        <w:t>%。</w:t>
      </w:r>
      <w:r w:rsidRPr="00251592">
        <w:rPr>
          <w:rFonts w:ascii="宋体" w:eastAsia="宋体" w:hAnsi="宋体" w:cs="Times New Roman" w:hint="eastAsia"/>
          <w:iCs/>
          <w:szCs w:val="21"/>
          <w:lang w:bidi="en-US"/>
        </w:rPr>
        <w:t>全国房地产开发投资与住宅地产开发整体呈现稳定增长态势，进而带动了居住建筑设计业务需求的稳定增长。</w:t>
      </w:r>
    </w:p>
    <w:p w14:paraId="631FD83C"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在房地产宏观调控的背景下，房地产行业进入新的整合期，行业内资本实力较强、具有品牌影响力的大中型房地产企业的销售规模</w:t>
      </w:r>
      <w:proofErr w:type="gramStart"/>
      <w:r w:rsidRPr="00251592">
        <w:rPr>
          <w:rFonts w:ascii="宋体" w:eastAsia="宋体" w:hAnsi="宋体" w:cs="Times New Roman" w:hint="eastAsia"/>
          <w:iCs/>
          <w:szCs w:val="21"/>
          <w:lang w:bidi="en-US"/>
        </w:rPr>
        <w:t>及集中</w:t>
      </w:r>
      <w:proofErr w:type="gramEnd"/>
      <w:r w:rsidRPr="00251592">
        <w:rPr>
          <w:rFonts w:ascii="宋体" w:eastAsia="宋体" w:hAnsi="宋体" w:cs="Times New Roman" w:hint="eastAsia"/>
          <w:iCs/>
          <w:szCs w:val="21"/>
          <w:lang w:bidi="en-US"/>
        </w:rPr>
        <w:t>度进一步提升，</w:t>
      </w:r>
      <w:proofErr w:type="gramStart"/>
      <w:r w:rsidRPr="00251592">
        <w:rPr>
          <w:rFonts w:ascii="宋体" w:eastAsia="宋体" w:hAnsi="宋体" w:cs="Times New Roman" w:hint="eastAsia"/>
          <w:iCs/>
          <w:szCs w:val="21"/>
          <w:lang w:bidi="en-US"/>
        </w:rPr>
        <w:t>房企规模</w:t>
      </w:r>
      <w:proofErr w:type="gramEnd"/>
      <w:r w:rsidRPr="00251592">
        <w:rPr>
          <w:rFonts w:ascii="宋体" w:eastAsia="宋体" w:hAnsi="宋体" w:cs="Times New Roman" w:hint="eastAsia"/>
          <w:iCs/>
          <w:szCs w:val="21"/>
          <w:lang w:bidi="en-US"/>
        </w:rPr>
        <w:t>分化格局持续加大。2</w:t>
      </w:r>
      <w:r w:rsidRPr="00251592">
        <w:rPr>
          <w:rFonts w:ascii="宋体" w:eastAsia="宋体" w:hAnsi="宋体" w:cs="Times New Roman"/>
          <w:iCs/>
          <w:szCs w:val="21"/>
          <w:lang w:bidi="en-US"/>
        </w:rPr>
        <w:t>017</w:t>
      </w:r>
      <w:r w:rsidRPr="00251592">
        <w:rPr>
          <w:rFonts w:ascii="宋体" w:eastAsia="宋体" w:hAnsi="宋体" w:cs="Times New Roman" w:hint="eastAsia"/>
          <w:iCs/>
          <w:szCs w:val="21"/>
          <w:lang w:bidi="en-US"/>
        </w:rPr>
        <w:t>年至2</w:t>
      </w:r>
      <w:r w:rsidRPr="00251592">
        <w:rPr>
          <w:rFonts w:ascii="宋体" w:eastAsia="宋体" w:hAnsi="宋体" w:cs="Times New Roman"/>
          <w:iCs/>
          <w:szCs w:val="21"/>
          <w:lang w:bidi="en-US"/>
        </w:rPr>
        <w:t>019</w:t>
      </w:r>
      <w:r w:rsidRPr="00251592">
        <w:rPr>
          <w:rFonts w:ascii="宋体" w:eastAsia="宋体" w:hAnsi="宋体" w:cs="Times New Roman" w:hint="eastAsia"/>
          <w:iCs/>
          <w:szCs w:val="21"/>
          <w:lang w:bidi="en-US"/>
        </w:rPr>
        <w:t>年，房地产业上市公司的营业收入分别为17,268.22亿元、20,893.70亿元和25,110.04亿元，同比增长分别为7.67%、21.00%和20.18%。根据中国房地产业协会发布的《中国房地产开发企业500强测评研究报告》显示，2017年至2019年，销售前二十名企业合计的市场占有率分别为32%、36%和37%；销售前五十名企业合计的市场占有率分别为45%、52%、54%。房地产行业集中度的提升势必促进建筑设计行业集中度的提升，品牌开发商对设计公司的设计品质、交付能力和服务水平的要求更高，建筑设计行业也将逐步向优势企业集中，因而为服务于</w:t>
      </w:r>
      <w:proofErr w:type="gramStart"/>
      <w:r w:rsidRPr="00251592">
        <w:rPr>
          <w:rFonts w:ascii="宋体" w:eastAsia="宋体" w:hAnsi="宋体" w:cs="Times New Roman" w:hint="eastAsia"/>
          <w:iCs/>
          <w:szCs w:val="21"/>
          <w:lang w:bidi="en-US"/>
        </w:rPr>
        <w:t>龙头房企</w:t>
      </w:r>
      <w:proofErr w:type="gramEnd"/>
      <w:r w:rsidRPr="00251592">
        <w:rPr>
          <w:rFonts w:ascii="宋体" w:eastAsia="宋体" w:hAnsi="宋体" w:cs="Times New Roman" w:hint="eastAsia"/>
          <w:iCs/>
          <w:szCs w:val="21"/>
          <w:lang w:bidi="en-US"/>
        </w:rPr>
        <w:t>的建筑设计企业带来了新的增长机遇。</w:t>
      </w:r>
    </w:p>
    <w:p w14:paraId="57B755EE"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公司定位于建筑方案公司，核心业务聚焦于以建筑方案设计为轴心的建筑专业领域内的设计服务，在本地化优势的基础上，公司依靠品牌优势，业务逐渐辐射至全国其他区域，获得了市场和客户的认可，并与保利、绿地、</w:t>
      </w:r>
      <w:proofErr w:type="gramStart"/>
      <w:r w:rsidRPr="00251592">
        <w:rPr>
          <w:rFonts w:ascii="宋体" w:eastAsia="宋体" w:hAnsi="宋体" w:cs="Times New Roman" w:hint="eastAsia"/>
          <w:iCs/>
          <w:szCs w:val="21"/>
          <w:lang w:bidi="en-US"/>
        </w:rPr>
        <w:t>世</w:t>
      </w:r>
      <w:proofErr w:type="gramEnd"/>
      <w:r w:rsidRPr="00251592">
        <w:rPr>
          <w:rFonts w:ascii="宋体" w:eastAsia="宋体" w:hAnsi="宋体" w:cs="Times New Roman" w:hint="eastAsia"/>
          <w:iCs/>
          <w:szCs w:val="21"/>
          <w:lang w:bidi="en-US"/>
        </w:rPr>
        <w:t>茂等在内的龙头房地产开发商之间建立了长期稳定的合作关系。报告期内，在房地产行业良好发展态势、下游房地产开发商集中度进一步提升以及与</w:t>
      </w:r>
      <w:proofErr w:type="gramStart"/>
      <w:r w:rsidRPr="00251592">
        <w:rPr>
          <w:rFonts w:ascii="宋体" w:eastAsia="宋体" w:hAnsi="宋体" w:cs="Times New Roman" w:hint="eastAsia"/>
          <w:iCs/>
          <w:szCs w:val="21"/>
          <w:lang w:bidi="en-US"/>
        </w:rPr>
        <w:t>龙头房企稳定</w:t>
      </w:r>
      <w:proofErr w:type="gramEnd"/>
      <w:r w:rsidRPr="00251592">
        <w:rPr>
          <w:rFonts w:ascii="宋体" w:eastAsia="宋体" w:hAnsi="宋体" w:cs="Times New Roman" w:hint="eastAsia"/>
          <w:iCs/>
          <w:szCs w:val="21"/>
          <w:lang w:bidi="en-US"/>
        </w:rPr>
        <w:t>的合作关系的背景下，公司因突出的方案创作能力、跨区域的市场拓展能力、不断提升的设计品质和服务水平使得营业收入保持稳定增长。</w:t>
      </w:r>
    </w:p>
    <w:p w14:paraId="2F686706"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2）</w:t>
      </w:r>
      <w:r w:rsidRPr="00251592">
        <w:rPr>
          <w:rFonts w:ascii="宋体" w:eastAsia="宋体" w:hAnsi="宋体" w:cs="Times New Roman"/>
          <w:iCs/>
          <w:szCs w:val="21"/>
          <w:lang w:bidi="en-US"/>
        </w:rPr>
        <w:t>公共建筑</w:t>
      </w:r>
    </w:p>
    <w:p w14:paraId="534529AB"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公共建筑是指供人们进行公共活动的建筑。公司参与设计的公共建筑主要包括商业建筑、办公建筑、教育建筑、文化建筑、休闲娱乐建筑、产业园建筑、养老康乐建筑等多个类别。报告期内</w:t>
      </w:r>
      <w:r w:rsidRPr="00251592">
        <w:rPr>
          <w:rFonts w:ascii="宋体" w:eastAsia="宋体" w:hAnsi="宋体" w:cs="Times New Roman" w:hint="eastAsia"/>
          <w:iCs/>
          <w:szCs w:val="21"/>
          <w:lang w:bidi="en-US"/>
        </w:rPr>
        <w:t>，</w:t>
      </w:r>
      <w:r w:rsidRPr="00251592">
        <w:rPr>
          <w:rFonts w:ascii="宋体" w:eastAsia="宋体" w:hAnsi="宋体" w:cs="Times New Roman"/>
          <w:iCs/>
          <w:szCs w:val="21"/>
          <w:lang w:bidi="en-US"/>
        </w:rPr>
        <w:t>公司公共建筑</w:t>
      </w:r>
      <w:r w:rsidRPr="00251592">
        <w:rPr>
          <w:rFonts w:ascii="宋体" w:eastAsia="宋体" w:hAnsi="宋体" w:cs="Times New Roman" w:hint="eastAsia"/>
          <w:iCs/>
          <w:szCs w:val="21"/>
          <w:lang w:bidi="en-US"/>
        </w:rPr>
        <w:t>设计业务</w:t>
      </w:r>
      <w:r w:rsidRPr="00251592">
        <w:rPr>
          <w:rFonts w:ascii="宋体" w:eastAsia="宋体" w:hAnsi="宋体" w:cs="Times New Roman"/>
          <w:iCs/>
          <w:szCs w:val="21"/>
          <w:lang w:bidi="en-US"/>
        </w:rPr>
        <w:t>收入分别为1,621.56</w:t>
      </w:r>
      <w:r w:rsidRPr="00251592">
        <w:rPr>
          <w:rFonts w:ascii="宋体" w:eastAsia="宋体" w:hAnsi="宋体" w:cs="Times New Roman" w:hint="eastAsia"/>
          <w:iCs/>
          <w:szCs w:val="21"/>
          <w:lang w:bidi="en-US"/>
        </w:rPr>
        <w:t>万元、</w:t>
      </w:r>
      <w:r w:rsidRPr="00251592">
        <w:rPr>
          <w:rFonts w:ascii="宋体" w:eastAsia="宋体" w:hAnsi="宋体" w:cs="Times New Roman"/>
          <w:iCs/>
          <w:szCs w:val="21"/>
          <w:lang w:bidi="en-US"/>
        </w:rPr>
        <w:t>3,440.02万元</w:t>
      </w:r>
      <w:r w:rsidRPr="00251592">
        <w:rPr>
          <w:rFonts w:ascii="宋体" w:eastAsia="宋体" w:hAnsi="宋体" w:cs="Times New Roman" w:hint="eastAsia"/>
          <w:iCs/>
          <w:szCs w:val="21"/>
          <w:lang w:bidi="en-US"/>
        </w:rPr>
        <w:t>、</w:t>
      </w:r>
      <w:r w:rsidRPr="00251592">
        <w:rPr>
          <w:rFonts w:ascii="宋体" w:eastAsia="宋体" w:hAnsi="宋体" w:cs="Times New Roman"/>
          <w:color w:val="000000"/>
          <w:szCs w:val="21"/>
        </w:rPr>
        <w:t>4,313.81</w:t>
      </w:r>
      <w:r w:rsidRPr="00251592">
        <w:rPr>
          <w:rFonts w:ascii="宋体" w:eastAsia="宋体" w:hAnsi="宋体" w:cs="Times New Roman" w:hint="eastAsia"/>
          <w:iCs/>
          <w:szCs w:val="21"/>
          <w:lang w:bidi="en-US"/>
        </w:rPr>
        <w:t>万元，</w:t>
      </w:r>
      <w:r w:rsidRPr="00251592">
        <w:rPr>
          <w:rFonts w:ascii="宋体" w:eastAsia="宋体" w:hAnsi="宋体" w:cs="Times New Roman" w:hint="eastAsia"/>
          <w:iCs/>
          <w:szCs w:val="21"/>
          <w:lang w:bidi="en-US"/>
        </w:rPr>
        <w:lastRenderedPageBreak/>
        <w:t>整体规模较小，对应服务的设计项目数量分别为33项、65项和</w:t>
      </w:r>
      <w:r w:rsidRPr="00251592">
        <w:rPr>
          <w:rFonts w:ascii="宋体" w:eastAsia="宋体" w:hAnsi="宋体" w:cs="Times New Roman"/>
          <w:color w:val="000000"/>
          <w:kern w:val="0"/>
          <w:szCs w:val="21"/>
          <w:lang w:bidi="en-US"/>
        </w:rPr>
        <w:t>61</w:t>
      </w:r>
      <w:r w:rsidRPr="00251592">
        <w:rPr>
          <w:rFonts w:ascii="宋体" w:eastAsia="宋体" w:hAnsi="宋体" w:cs="Times New Roman" w:hint="eastAsia"/>
          <w:iCs/>
          <w:szCs w:val="21"/>
          <w:lang w:bidi="en-US"/>
        </w:rPr>
        <w:t>项，报告期内呈增长态势。</w:t>
      </w:r>
    </w:p>
    <w:p w14:paraId="1F5C72D2"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color w:val="000000"/>
          <w:szCs w:val="21"/>
          <w:lang w:bidi="en-US"/>
        </w:rPr>
      </w:pPr>
      <w:r w:rsidRPr="00251592">
        <w:rPr>
          <w:rFonts w:ascii="宋体" w:eastAsia="宋体" w:hAnsi="宋体" w:cs="Times New Roman"/>
          <w:color w:val="000000"/>
          <w:szCs w:val="21"/>
          <w:lang w:bidi="en-US"/>
        </w:rPr>
        <w:t>3）公共建筑设计业务收入波动的原因及合理性</w:t>
      </w:r>
    </w:p>
    <w:p w14:paraId="38AD92C5"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color w:val="000000"/>
          <w:szCs w:val="21"/>
          <w:lang w:bidi="en-US"/>
        </w:rPr>
      </w:pPr>
      <w:r w:rsidRPr="00251592">
        <w:rPr>
          <w:rFonts w:ascii="宋体" w:eastAsia="宋体" w:hAnsi="宋体" w:cs="Times New Roman"/>
          <w:iCs/>
          <w:color w:val="000000"/>
          <w:szCs w:val="21"/>
          <w:lang w:bidi="en-US"/>
        </w:rPr>
        <w:t>报告期内，公司公共建筑设计业务收入分别为1,621.56万元、3,440.02万元、</w:t>
      </w:r>
      <w:r w:rsidRPr="00251592">
        <w:rPr>
          <w:rFonts w:ascii="宋体" w:eastAsia="宋体" w:hAnsi="宋体" w:cs="Times New Roman"/>
          <w:color w:val="000000"/>
          <w:szCs w:val="21"/>
        </w:rPr>
        <w:t>4,313.81</w:t>
      </w:r>
      <w:r w:rsidRPr="00251592">
        <w:rPr>
          <w:rFonts w:ascii="宋体" w:eastAsia="宋体" w:hAnsi="宋体" w:cs="Times New Roman"/>
          <w:iCs/>
          <w:color w:val="000000"/>
          <w:szCs w:val="21"/>
          <w:lang w:bidi="en-US"/>
        </w:rPr>
        <w:t>万元，占建筑设计业务收入的比例分别为6.72%、12.90%和</w:t>
      </w:r>
      <w:r w:rsidRPr="00251592">
        <w:rPr>
          <w:rFonts w:ascii="宋体" w:eastAsia="宋体" w:hAnsi="宋体" w:cs="Times New Roman"/>
          <w:color w:val="000000"/>
          <w:szCs w:val="21"/>
        </w:rPr>
        <w:t>13.56%</w:t>
      </w:r>
      <w:r w:rsidRPr="00251592">
        <w:rPr>
          <w:rFonts w:ascii="宋体" w:eastAsia="宋体" w:hAnsi="宋体" w:cs="Times New Roman"/>
          <w:iCs/>
          <w:color w:val="000000"/>
          <w:szCs w:val="21"/>
          <w:lang w:bidi="en-US"/>
        </w:rPr>
        <w:t>，其中2019年公共建筑设计业务收入及占比快速增长</w:t>
      </w:r>
      <w:r w:rsidRPr="00251592">
        <w:rPr>
          <w:rFonts w:ascii="宋体" w:eastAsia="宋体" w:hAnsi="宋体" w:cs="Times New Roman" w:hint="eastAsia"/>
          <w:iCs/>
          <w:color w:val="000000"/>
          <w:szCs w:val="21"/>
          <w:lang w:bidi="en-US"/>
        </w:rPr>
        <w:t>，具体</w:t>
      </w:r>
      <w:r w:rsidRPr="00251592">
        <w:rPr>
          <w:rFonts w:ascii="宋体" w:eastAsia="宋体" w:hAnsi="宋体" w:cs="Times New Roman"/>
          <w:color w:val="000000"/>
          <w:szCs w:val="21"/>
          <w:lang w:bidi="en-US"/>
        </w:rPr>
        <w:t>原因及合理性分析如下：</w:t>
      </w:r>
    </w:p>
    <w:p w14:paraId="75E4570C"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color w:val="000000"/>
          <w:szCs w:val="21"/>
          <w:lang w:bidi="en-US"/>
        </w:rPr>
        <w:t>2019年以来，公司积极布局</w:t>
      </w:r>
      <w:r w:rsidRPr="00251592">
        <w:rPr>
          <w:rFonts w:ascii="宋体" w:eastAsia="宋体" w:hAnsi="宋体" w:cs="Times New Roman"/>
          <w:iCs/>
          <w:szCs w:val="21"/>
          <w:lang w:bidi="en-US"/>
        </w:rPr>
        <w:t>公共建筑设计业务，使得2019年</w:t>
      </w:r>
      <w:r w:rsidRPr="00251592">
        <w:rPr>
          <w:rFonts w:ascii="宋体" w:eastAsia="宋体" w:hAnsi="宋体" w:cs="Times New Roman"/>
          <w:iCs/>
          <w:color w:val="000000"/>
          <w:szCs w:val="21"/>
          <w:lang w:bidi="en-US"/>
        </w:rPr>
        <w:t>公共建筑设计业务收入及占比快速增长，同时当年居住建筑设计业务收入与上年相比增幅不大，从而导致公司居住建筑设计业务、公共建筑设计业务的收入占比发生波动</w:t>
      </w:r>
    </w:p>
    <w:p w14:paraId="53EC4C23"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color w:val="000000"/>
          <w:szCs w:val="21"/>
          <w:lang w:bidi="en-US"/>
        </w:rPr>
        <w:t>2019年，公司公共建筑设计业务收入为3,440.02万元，相比于2018年增长了1,818.46万元，增幅较快，其</w:t>
      </w:r>
      <w:r w:rsidRPr="00251592">
        <w:rPr>
          <w:rFonts w:ascii="宋体" w:eastAsia="宋体" w:hAnsi="宋体" w:cs="Times New Roman"/>
          <w:color w:val="000000"/>
          <w:szCs w:val="21"/>
          <w:lang w:bidi="en-US"/>
        </w:rPr>
        <w:t>原因及合理性分析如下：</w:t>
      </w:r>
    </w:p>
    <w:p w14:paraId="2B31C065"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szCs w:val="21"/>
          <w:lang w:bidi="en-US"/>
        </w:rPr>
        <w:t>报告期内，公司以居住建筑设计业务为主，公共建筑设计业务</w:t>
      </w:r>
      <w:proofErr w:type="gramStart"/>
      <w:r w:rsidRPr="00251592">
        <w:rPr>
          <w:rFonts w:ascii="宋体" w:eastAsia="宋体" w:hAnsi="宋体" w:cs="Times New Roman"/>
          <w:iCs/>
          <w:szCs w:val="21"/>
          <w:lang w:bidi="en-US"/>
        </w:rPr>
        <w:t>占比较</w:t>
      </w:r>
      <w:proofErr w:type="gramEnd"/>
      <w:r w:rsidRPr="00251592">
        <w:rPr>
          <w:rFonts w:ascii="宋体" w:eastAsia="宋体" w:hAnsi="宋体" w:cs="Times New Roman"/>
          <w:iCs/>
          <w:szCs w:val="21"/>
          <w:lang w:bidi="en-US"/>
        </w:rPr>
        <w:t>小。</w:t>
      </w:r>
      <w:r w:rsidRPr="00251592">
        <w:rPr>
          <w:rFonts w:ascii="宋体" w:eastAsia="宋体" w:hAnsi="宋体" w:cs="Times New Roman"/>
          <w:iCs/>
          <w:color w:val="000000"/>
          <w:szCs w:val="21"/>
          <w:lang w:bidi="en-US"/>
        </w:rPr>
        <w:t>公共建筑设计不同于居住建筑设计，其特殊性在于建设结构上具有复杂性和多样性，</w:t>
      </w:r>
      <w:r w:rsidRPr="00251592">
        <w:rPr>
          <w:rFonts w:ascii="宋体" w:eastAsia="宋体" w:hAnsi="宋体" w:cs="Times New Roman"/>
          <w:iCs/>
          <w:szCs w:val="21"/>
          <w:lang w:bidi="en-US"/>
        </w:rPr>
        <w:t>设计难度大，对设计人员专业素养要求较高。</w:t>
      </w:r>
      <w:r w:rsidRPr="00251592">
        <w:rPr>
          <w:rFonts w:ascii="宋体" w:eastAsia="宋体" w:hAnsi="宋体" w:cs="Times New Roman"/>
          <w:iCs/>
          <w:color w:val="000000"/>
          <w:szCs w:val="21"/>
          <w:lang w:bidi="en-US"/>
        </w:rPr>
        <w:t>2019年以来，公司</w:t>
      </w:r>
      <w:r w:rsidRPr="00251592">
        <w:rPr>
          <w:rFonts w:ascii="宋体" w:eastAsia="宋体" w:hAnsi="宋体" w:cs="Times New Roman"/>
          <w:iCs/>
          <w:szCs w:val="21"/>
          <w:lang w:bidi="en-US"/>
        </w:rPr>
        <w:t>加大公共建筑领域的资源投入，通过吸收优秀的设计师、打造卓越的设计团队专注于公共建筑的设计工作，增强公司在公共建筑设计领域的竞争力，使得</w:t>
      </w:r>
      <w:r w:rsidRPr="00251592">
        <w:rPr>
          <w:rFonts w:ascii="宋体" w:eastAsia="宋体" w:hAnsi="宋体" w:cs="Times New Roman"/>
          <w:iCs/>
          <w:color w:val="000000"/>
          <w:szCs w:val="21"/>
          <w:lang w:bidi="en-US"/>
        </w:rPr>
        <w:t>2019年公共建筑设计业务收入大幅增长。</w:t>
      </w:r>
    </w:p>
    <w:p w14:paraId="2EAEA8D3"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color w:val="000000"/>
          <w:kern w:val="0"/>
          <w:szCs w:val="21"/>
          <w:lang w:bidi="en-US"/>
        </w:rPr>
        <w:t>其中，2019年公司与保利合作了“青岛保利长沙路A地块”、“重庆保利爱尚里一期C地块”、“沈阳保利丁香湖19号地块配套学校”等公共建筑项目，合计确认收入</w:t>
      </w:r>
      <w:r w:rsidRPr="00251592">
        <w:rPr>
          <w:rFonts w:ascii="宋体" w:eastAsia="宋体" w:hAnsi="宋体" w:cs="Times New Roman"/>
          <w:iCs/>
          <w:color w:val="000000"/>
          <w:szCs w:val="21"/>
          <w:lang w:bidi="en-US"/>
        </w:rPr>
        <w:t>962.82万元，相较于2018年的687.98万元，增长了274.84万元；</w:t>
      </w:r>
    </w:p>
    <w:p w14:paraId="7D8F8116"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color w:val="000000"/>
          <w:szCs w:val="21"/>
          <w:lang w:bidi="en-US"/>
        </w:rPr>
        <w:t>除保利外，公司加大了对宝能、大华集团、绿地等长期合作开发商的拓展力度，承接了“宝能腾冲北海湿地水镇项目164亩商业地块”、“大华昆明西山区春雨路1号城市设计”、“绿地香港扬州GZ128地块示范区”等公共建筑项目，2019年，公司对宝能、大华集团、绿地实现公共建筑设计业务收入分别为418.35万元、188.68万元、134.25万元，相较于2018年，分别增长了176.10万元、188.68万元、87.08万元；</w:t>
      </w:r>
    </w:p>
    <w:p w14:paraId="0558326A"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color w:val="000000"/>
          <w:szCs w:val="21"/>
          <w:lang w:bidi="en-US"/>
        </w:rPr>
        <w:t>同时，公司积极开拓公建领域新客户，与桂林华邦康养投资有限公司、广州明珞汽车装备有限公司、河南新</w:t>
      </w:r>
      <w:proofErr w:type="gramStart"/>
      <w:r w:rsidRPr="00251592">
        <w:rPr>
          <w:rFonts w:ascii="宋体" w:eastAsia="宋体" w:hAnsi="宋体" w:cs="Times New Roman"/>
          <w:iCs/>
          <w:color w:val="000000"/>
          <w:szCs w:val="21"/>
          <w:lang w:bidi="en-US"/>
        </w:rPr>
        <w:t>发展楷林实业</w:t>
      </w:r>
      <w:proofErr w:type="gramEnd"/>
      <w:r w:rsidRPr="00251592">
        <w:rPr>
          <w:rFonts w:ascii="宋体" w:eastAsia="宋体" w:hAnsi="宋体" w:cs="Times New Roman"/>
          <w:iCs/>
          <w:color w:val="000000"/>
          <w:szCs w:val="21"/>
          <w:lang w:bidi="en-US"/>
        </w:rPr>
        <w:t>有限公司、西安民信实业有限公司等客户展开合作，签订了“华邦广西桂林一期”、“广州明珞汽车装备有限公司新总部”、“楷林郑州中南售楼处”、“西安民信大寨路”等项目，相较于2018年，对上述客户分别新增122.12万元、97.92</w:t>
      </w:r>
      <w:r w:rsidRPr="00251592">
        <w:rPr>
          <w:rFonts w:ascii="宋体" w:eastAsia="宋体" w:hAnsi="宋体" w:cs="Times New Roman"/>
          <w:iCs/>
          <w:color w:val="000000"/>
          <w:szCs w:val="21"/>
          <w:lang w:bidi="en-US"/>
        </w:rPr>
        <w:lastRenderedPageBreak/>
        <w:t>万元、97.74万元、94.81万元公共建筑设计业务收入。</w:t>
      </w:r>
    </w:p>
    <w:p w14:paraId="2392C515"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color w:val="000000"/>
          <w:szCs w:val="21"/>
          <w:lang w:bidi="en-US"/>
        </w:rPr>
        <w:t>上述原因共同引致公司2019年公共建筑设计业务收入大幅上升。</w:t>
      </w:r>
    </w:p>
    <w:p w14:paraId="509F6F6D"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kern w:val="0"/>
          <w:szCs w:val="21"/>
          <w:lang w:bidi="en-US"/>
        </w:rPr>
      </w:pPr>
      <w:r w:rsidRPr="00251592">
        <w:rPr>
          <w:rFonts w:ascii="宋体" w:eastAsia="宋体" w:hAnsi="宋体" w:cs="Times New Roman"/>
          <w:iCs/>
          <w:color w:val="000000"/>
          <w:szCs w:val="21"/>
          <w:lang w:bidi="en-US"/>
        </w:rPr>
        <w:t>综上，公司2019年公共建筑设计业务收入及占比快速增长具有</w:t>
      </w:r>
      <w:r w:rsidRPr="00251592">
        <w:rPr>
          <w:rFonts w:ascii="宋体" w:eastAsia="宋体" w:hAnsi="宋体" w:cs="Times New Roman"/>
          <w:color w:val="000000"/>
          <w:szCs w:val="21"/>
          <w:lang w:bidi="en-US"/>
        </w:rPr>
        <w:t>合理性。</w:t>
      </w:r>
    </w:p>
    <w:p w14:paraId="0F82764D"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iCs/>
          <w:color w:val="000000"/>
          <w:szCs w:val="21"/>
          <w:lang w:bidi="en-US"/>
        </w:rPr>
        <w:t>综上，报告期内，公司居住建筑设计业务收入、</w:t>
      </w:r>
      <w:r w:rsidRPr="00251592">
        <w:rPr>
          <w:rFonts w:ascii="宋体" w:eastAsia="宋体" w:hAnsi="宋体" w:cs="Times New Roman"/>
          <w:iCs/>
          <w:color w:val="000000"/>
          <w:kern w:val="0"/>
          <w:szCs w:val="21"/>
          <w:lang w:bidi="en-US"/>
        </w:rPr>
        <w:t>公共建筑设计业务收入</w:t>
      </w:r>
      <w:r w:rsidRPr="00251592">
        <w:rPr>
          <w:rFonts w:ascii="宋体" w:eastAsia="宋体" w:hAnsi="宋体" w:cs="Times New Roman"/>
          <w:iCs/>
          <w:color w:val="000000"/>
          <w:szCs w:val="21"/>
          <w:lang w:bidi="en-US"/>
        </w:rPr>
        <w:t>存在一定波动具有合理性。</w:t>
      </w:r>
    </w:p>
    <w:p w14:paraId="1B012950" w14:textId="77777777" w:rsidR="00C17BBD" w:rsidRPr="00251592" w:rsidRDefault="00C17BBD" w:rsidP="00C17BBD">
      <w:pPr>
        <w:pStyle w:val="14"/>
        <w:ind w:firstLine="420"/>
        <w:rPr>
          <w:rFonts w:ascii="宋体" w:hAnsi="宋体"/>
          <w:sz w:val="21"/>
          <w:szCs w:val="21"/>
        </w:rPr>
      </w:pPr>
      <w:r w:rsidRPr="00251592">
        <w:rPr>
          <w:rFonts w:ascii="宋体" w:hAnsi="宋体" w:hint="eastAsia"/>
          <w:sz w:val="21"/>
          <w:szCs w:val="21"/>
        </w:rPr>
        <w:t>2、量化分析并补充披露报告期内华东地区、华南地区业务收入及占比波动较大的原因，以及华中地区、东北地区</w:t>
      </w:r>
      <w:r w:rsidRPr="00251592">
        <w:rPr>
          <w:rFonts w:ascii="宋体" w:hAnsi="宋体"/>
          <w:sz w:val="21"/>
          <w:szCs w:val="21"/>
        </w:rPr>
        <w:t>2019年业务收入大幅上升的原因</w:t>
      </w:r>
    </w:p>
    <w:p w14:paraId="45A686F1"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按照业务区域划分，公司建筑设计业务收入构成及占比情况如下：</w:t>
      </w:r>
    </w:p>
    <w:p w14:paraId="2093925C" w14:textId="77777777" w:rsidR="00C17BBD" w:rsidRPr="00251592" w:rsidRDefault="00C17BBD" w:rsidP="00C17BBD">
      <w:pPr>
        <w:ind w:firstLineChars="200" w:firstLine="420"/>
        <w:jc w:val="right"/>
        <w:rPr>
          <w:rFonts w:ascii="宋体" w:eastAsia="宋体" w:hAnsi="宋体" w:cs="Times New Roman"/>
          <w:iCs/>
          <w:szCs w:val="21"/>
          <w:lang w:eastAsia="en-US" w:bidi="en-US"/>
        </w:rPr>
      </w:pPr>
      <w:proofErr w:type="spellStart"/>
      <w:r w:rsidRPr="00251592">
        <w:rPr>
          <w:rFonts w:ascii="宋体" w:eastAsia="宋体" w:hAnsi="宋体" w:cs="Times New Roman"/>
          <w:iCs/>
          <w:szCs w:val="21"/>
          <w:lang w:eastAsia="en-US" w:bidi="en-US"/>
        </w:rPr>
        <w:t>单位：万元</w:t>
      </w:r>
      <w:proofErr w:type="spellEnd"/>
    </w:p>
    <w:tbl>
      <w:tblPr>
        <w:tblW w:w="5000"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1472"/>
        <w:gridCol w:w="1210"/>
        <w:gridCol w:w="1168"/>
        <w:gridCol w:w="1168"/>
        <w:gridCol w:w="1169"/>
        <w:gridCol w:w="1169"/>
        <w:gridCol w:w="1166"/>
      </w:tblGrid>
      <w:tr w:rsidR="00C17BBD" w:rsidRPr="00251592" w14:paraId="6C032058" w14:textId="77777777" w:rsidTr="00622023">
        <w:trPr>
          <w:trHeight w:val="397"/>
          <w:jc w:val="center"/>
        </w:trPr>
        <w:tc>
          <w:tcPr>
            <w:tcW w:w="864" w:type="pct"/>
            <w:vMerge w:val="restart"/>
            <w:vAlign w:val="center"/>
          </w:tcPr>
          <w:p w14:paraId="58629FD9" w14:textId="77777777" w:rsidR="00C17BBD" w:rsidRPr="00251592" w:rsidRDefault="00C17BBD" w:rsidP="008A2055">
            <w:pPr>
              <w:spacing w:beforeLines="50" w:before="156" w:afterLines="50" w:after="156" w:line="360" w:lineRule="auto"/>
              <w:jc w:val="center"/>
              <w:rPr>
                <w:rFonts w:ascii="宋体" w:eastAsia="宋体" w:hAnsi="宋体" w:cs="Times New Roman"/>
                <w:iCs/>
                <w:color w:val="000000"/>
                <w:sz w:val="18"/>
                <w:szCs w:val="18"/>
                <w:lang w:bidi="en-US"/>
              </w:rPr>
            </w:pPr>
            <w:r w:rsidRPr="00251592">
              <w:rPr>
                <w:rFonts w:ascii="宋体" w:eastAsia="宋体" w:hAnsi="宋体" w:cs="Times New Roman"/>
                <w:color w:val="000000"/>
                <w:kern w:val="0"/>
                <w:sz w:val="18"/>
                <w:szCs w:val="18"/>
              </w:rPr>
              <w:t>区域</w:t>
            </w:r>
          </w:p>
        </w:tc>
        <w:tc>
          <w:tcPr>
            <w:tcW w:w="1395" w:type="pct"/>
            <w:gridSpan w:val="2"/>
            <w:vAlign w:val="center"/>
          </w:tcPr>
          <w:p w14:paraId="5A9B2C29" w14:textId="77777777" w:rsidR="00C17BBD" w:rsidRPr="00251592" w:rsidRDefault="00C17BBD" w:rsidP="008A2055">
            <w:pPr>
              <w:jc w:val="center"/>
              <w:rPr>
                <w:rFonts w:ascii="宋体" w:eastAsia="宋体" w:hAnsi="宋体" w:cs="Times New Roman"/>
                <w:iCs/>
                <w:kern w:val="0"/>
                <w:sz w:val="18"/>
                <w:szCs w:val="18"/>
                <w:lang w:eastAsia="en-US" w:bidi="en-US"/>
              </w:rPr>
            </w:pPr>
            <w:r w:rsidRPr="00251592">
              <w:rPr>
                <w:rFonts w:ascii="宋体" w:eastAsia="宋体" w:hAnsi="宋体" w:cs="Times New Roman" w:hint="eastAsia"/>
                <w:iCs/>
                <w:kern w:val="0"/>
                <w:sz w:val="18"/>
                <w:szCs w:val="18"/>
                <w:lang w:eastAsia="en-US" w:bidi="en-US"/>
              </w:rPr>
              <w:t>2</w:t>
            </w:r>
            <w:r w:rsidRPr="00251592">
              <w:rPr>
                <w:rFonts w:ascii="宋体" w:eastAsia="宋体" w:hAnsi="宋体" w:cs="Times New Roman"/>
                <w:iCs/>
                <w:kern w:val="0"/>
                <w:sz w:val="18"/>
                <w:szCs w:val="18"/>
                <w:lang w:eastAsia="en-US" w:bidi="en-US"/>
              </w:rPr>
              <w:t>020年度</w:t>
            </w:r>
          </w:p>
        </w:tc>
        <w:tc>
          <w:tcPr>
            <w:tcW w:w="1371" w:type="pct"/>
            <w:gridSpan w:val="2"/>
            <w:vAlign w:val="center"/>
          </w:tcPr>
          <w:p w14:paraId="0DFA030E" w14:textId="77777777" w:rsidR="00C17BBD" w:rsidRPr="00251592" w:rsidRDefault="00C17BBD" w:rsidP="008A2055">
            <w:pPr>
              <w:jc w:val="center"/>
              <w:rPr>
                <w:rFonts w:ascii="宋体" w:eastAsia="宋体" w:hAnsi="宋体" w:cs="Times New Roman"/>
                <w:iCs/>
                <w:kern w:val="0"/>
                <w:sz w:val="18"/>
                <w:szCs w:val="18"/>
                <w:lang w:eastAsia="en-US" w:bidi="en-US"/>
              </w:rPr>
            </w:pPr>
            <w:r w:rsidRPr="00251592">
              <w:rPr>
                <w:rFonts w:ascii="宋体" w:eastAsia="宋体" w:hAnsi="宋体" w:cs="Times New Roman" w:hint="eastAsia"/>
                <w:iCs/>
                <w:kern w:val="0"/>
                <w:sz w:val="18"/>
                <w:szCs w:val="18"/>
                <w:lang w:eastAsia="en-US" w:bidi="en-US"/>
              </w:rPr>
              <w:t>2019年</w:t>
            </w:r>
            <w:r w:rsidRPr="00251592">
              <w:rPr>
                <w:rFonts w:ascii="宋体" w:eastAsia="宋体" w:hAnsi="宋体" w:cs="Times New Roman" w:hint="eastAsia"/>
                <w:iCs/>
                <w:kern w:val="0"/>
                <w:sz w:val="18"/>
                <w:szCs w:val="18"/>
                <w:lang w:bidi="en-US"/>
              </w:rPr>
              <w:t>度</w:t>
            </w:r>
          </w:p>
        </w:tc>
        <w:tc>
          <w:tcPr>
            <w:tcW w:w="1370" w:type="pct"/>
            <w:gridSpan w:val="2"/>
            <w:vAlign w:val="center"/>
          </w:tcPr>
          <w:p w14:paraId="4B53E19D" w14:textId="77777777" w:rsidR="00C17BBD" w:rsidRPr="00251592" w:rsidRDefault="00C17BBD" w:rsidP="008A2055">
            <w:pPr>
              <w:jc w:val="center"/>
              <w:rPr>
                <w:rFonts w:ascii="宋体" w:eastAsia="宋体" w:hAnsi="宋体" w:cs="Times New Roman"/>
                <w:iCs/>
                <w:kern w:val="0"/>
                <w:sz w:val="18"/>
                <w:szCs w:val="18"/>
                <w:lang w:eastAsia="en-US" w:bidi="en-US"/>
              </w:rPr>
            </w:pPr>
            <w:r w:rsidRPr="00251592">
              <w:rPr>
                <w:rFonts w:ascii="宋体" w:eastAsia="宋体" w:hAnsi="宋体" w:cs="Times New Roman"/>
                <w:iCs/>
                <w:kern w:val="0"/>
                <w:sz w:val="18"/>
                <w:szCs w:val="18"/>
                <w:lang w:eastAsia="en-US" w:bidi="en-US"/>
              </w:rPr>
              <w:t>201</w:t>
            </w:r>
            <w:r w:rsidRPr="00251592">
              <w:rPr>
                <w:rFonts w:ascii="宋体" w:eastAsia="宋体" w:hAnsi="宋体" w:cs="Times New Roman"/>
                <w:iCs/>
                <w:kern w:val="0"/>
                <w:sz w:val="18"/>
                <w:szCs w:val="18"/>
                <w:lang w:bidi="en-US"/>
              </w:rPr>
              <w:t>8</w:t>
            </w:r>
            <w:r w:rsidRPr="00251592">
              <w:rPr>
                <w:rFonts w:ascii="宋体" w:eastAsia="宋体" w:hAnsi="宋体" w:cs="Times New Roman"/>
                <w:iCs/>
                <w:kern w:val="0"/>
                <w:sz w:val="18"/>
                <w:szCs w:val="18"/>
                <w:lang w:eastAsia="en-US" w:bidi="en-US"/>
              </w:rPr>
              <w:t>年度</w:t>
            </w:r>
          </w:p>
        </w:tc>
      </w:tr>
      <w:tr w:rsidR="00C17BBD" w:rsidRPr="00251592" w14:paraId="22703DFD" w14:textId="77777777" w:rsidTr="00622023">
        <w:trPr>
          <w:trHeight w:val="397"/>
          <w:jc w:val="center"/>
        </w:trPr>
        <w:tc>
          <w:tcPr>
            <w:tcW w:w="864" w:type="pct"/>
            <w:vMerge/>
            <w:vAlign w:val="center"/>
          </w:tcPr>
          <w:p w14:paraId="4EFCC7C7" w14:textId="77777777" w:rsidR="00C17BBD" w:rsidRPr="00251592" w:rsidRDefault="00C17BBD" w:rsidP="008A2055">
            <w:pPr>
              <w:spacing w:beforeLines="50" w:before="156" w:afterLines="50" w:after="156" w:line="360" w:lineRule="auto"/>
              <w:jc w:val="center"/>
              <w:rPr>
                <w:rFonts w:ascii="宋体" w:eastAsia="宋体" w:hAnsi="宋体" w:cs="Times New Roman"/>
                <w:iCs/>
                <w:color w:val="000000"/>
                <w:sz w:val="18"/>
                <w:szCs w:val="18"/>
                <w:lang w:bidi="en-US"/>
              </w:rPr>
            </w:pPr>
          </w:p>
        </w:tc>
        <w:tc>
          <w:tcPr>
            <w:tcW w:w="710" w:type="pct"/>
            <w:vAlign w:val="center"/>
          </w:tcPr>
          <w:p w14:paraId="52890837" w14:textId="77777777" w:rsidR="00C17BBD" w:rsidRPr="00251592" w:rsidRDefault="00C17BBD" w:rsidP="008A2055">
            <w:pPr>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金额</w:t>
            </w:r>
            <w:proofErr w:type="spellEnd"/>
          </w:p>
        </w:tc>
        <w:tc>
          <w:tcPr>
            <w:tcW w:w="685" w:type="pct"/>
            <w:vAlign w:val="center"/>
          </w:tcPr>
          <w:p w14:paraId="6E0D0789" w14:textId="77777777" w:rsidR="00C17BBD" w:rsidRPr="00251592" w:rsidRDefault="00C17BBD" w:rsidP="008A2055">
            <w:pPr>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占比</w:t>
            </w:r>
            <w:proofErr w:type="spellEnd"/>
          </w:p>
        </w:tc>
        <w:tc>
          <w:tcPr>
            <w:tcW w:w="685" w:type="pct"/>
            <w:vAlign w:val="center"/>
          </w:tcPr>
          <w:p w14:paraId="04E6FFA5"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金额</w:t>
            </w:r>
            <w:proofErr w:type="spellEnd"/>
          </w:p>
        </w:tc>
        <w:tc>
          <w:tcPr>
            <w:tcW w:w="686" w:type="pct"/>
            <w:vAlign w:val="center"/>
          </w:tcPr>
          <w:p w14:paraId="2CEA0D92"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hint="eastAsia"/>
                <w:iCs/>
                <w:kern w:val="0"/>
                <w:sz w:val="18"/>
                <w:szCs w:val="18"/>
                <w:lang w:eastAsia="en-US" w:bidi="en-US"/>
              </w:rPr>
              <w:t>占比</w:t>
            </w:r>
            <w:proofErr w:type="spellEnd"/>
          </w:p>
        </w:tc>
        <w:tc>
          <w:tcPr>
            <w:tcW w:w="686" w:type="pct"/>
            <w:vAlign w:val="center"/>
          </w:tcPr>
          <w:p w14:paraId="2A176F75"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kern w:val="0"/>
                <w:sz w:val="18"/>
                <w:szCs w:val="18"/>
                <w:lang w:eastAsia="en-US" w:bidi="en-US"/>
              </w:rPr>
              <w:t>金额</w:t>
            </w:r>
            <w:proofErr w:type="spellEnd"/>
          </w:p>
        </w:tc>
        <w:tc>
          <w:tcPr>
            <w:tcW w:w="684" w:type="pct"/>
            <w:vAlign w:val="center"/>
          </w:tcPr>
          <w:p w14:paraId="601BB80A"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kern w:val="0"/>
                <w:sz w:val="18"/>
                <w:szCs w:val="18"/>
                <w:lang w:eastAsia="en-US" w:bidi="en-US"/>
              </w:rPr>
              <w:t>占比</w:t>
            </w:r>
            <w:proofErr w:type="spellEnd"/>
          </w:p>
        </w:tc>
      </w:tr>
      <w:tr w:rsidR="00C17BBD" w:rsidRPr="00251592" w14:paraId="6D494BA6" w14:textId="77777777" w:rsidTr="00622023">
        <w:trPr>
          <w:trHeight w:val="397"/>
          <w:jc w:val="center"/>
        </w:trPr>
        <w:tc>
          <w:tcPr>
            <w:tcW w:w="864" w:type="pct"/>
            <w:vAlign w:val="center"/>
          </w:tcPr>
          <w:p w14:paraId="4706CB08" w14:textId="77777777" w:rsidR="00C17BBD" w:rsidRPr="00251592" w:rsidRDefault="00C17BBD" w:rsidP="008A2055">
            <w:pPr>
              <w:widowControl/>
              <w:jc w:val="center"/>
              <w:rPr>
                <w:rFonts w:ascii="宋体" w:eastAsia="宋体" w:hAnsi="宋体" w:cs="Times New Roman"/>
                <w:iCs/>
                <w:kern w:val="0"/>
                <w:sz w:val="18"/>
                <w:szCs w:val="18"/>
                <w:lang w:bidi="en-US"/>
              </w:rPr>
            </w:pPr>
            <w:proofErr w:type="spellStart"/>
            <w:r w:rsidRPr="00251592">
              <w:rPr>
                <w:rFonts w:ascii="宋体" w:eastAsia="宋体" w:hAnsi="宋体" w:cs="Times New Roman"/>
                <w:iCs/>
                <w:color w:val="000000"/>
                <w:sz w:val="18"/>
                <w:szCs w:val="18"/>
                <w:lang w:eastAsia="en-US" w:bidi="en-US"/>
              </w:rPr>
              <w:t>华东</w:t>
            </w:r>
            <w:proofErr w:type="spellEnd"/>
          </w:p>
        </w:tc>
        <w:tc>
          <w:tcPr>
            <w:tcW w:w="710" w:type="pct"/>
            <w:vAlign w:val="center"/>
          </w:tcPr>
          <w:p w14:paraId="6AA7CD9E"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11,151.62</w:t>
            </w:r>
          </w:p>
        </w:tc>
        <w:tc>
          <w:tcPr>
            <w:tcW w:w="685" w:type="pct"/>
            <w:vAlign w:val="center"/>
          </w:tcPr>
          <w:p w14:paraId="42880CD3"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35.05%</w:t>
            </w:r>
          </w:p>
        </w:tc>
        <w:tc>
          <w:tcPr>
            <w:tcW w:w="685" w:type="pct"/>
            <w:vAlign w:val="center"/>
          </w:tcPr>
          <w:p w14:paraId="7860E01A"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9,871.13</w:t>
            </w:r>
          </w:p>
        </w:tc>
        <w:tc>
          <w:tcPr>
            <w:tcW w:w="686" w:type="pct"/>
            <w:vAlign w:val="center"/>
          </w:tcPr>
          <w:p w14:paraId="37824367"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37.02%</w:t>
            </w:r>
          </w:p>
        </w:tc>
        <w:tc>
          <w:tcPr>
            <w:tcW w:w="686" w:type="pct"/>
            <w:vAlign w:val="center"/>
          </w:tcPr>
          <w:p w14:paraId="1B6086EF"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10,153.16</w:t>
            </w:r>
          </w:p>
        </w:tc>
        <w:tc>
          <w:tcPr>
            <w:tcW w:w="684" w:type="pct"/>
            <w:vAlign w:val="center"/>
          </w:tcPr>
          <w:p w14:paraId="6125415C"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42.05%</w:t>
            </w:r>
          </w:p>
        </w:tc>
      </w:tr>
      <w:tr w:rsidR="00C17BBD" w:rsidRPr="00251592" w14:paraId="663356E0" w14:textId="77777777" w:rsidTr="00622023">
        <w:trPr>
          <w:trHeight w:val="397"/>
          <w:jc w:val="center"/>
        </w:trPr>
        <w:tc>
          <w:tcPr>
            <w:tcW w:w="864" w:type="pct"/>
            <w:vAlign w:val="center"/>
          </w:tcPr>
          <w:p w14:paraId="2FE8085B" w14:textId="77777777" w:rsidR="00C17BBD" w:rsidRPr="00251592" w:rsidRDefault="00C17BBD" w:rsidP="008A2055">
            <w:pPr>
              <w:widowControl/>
              <w:jc w:val="center"/>
              <w:rPr>
                <w:rFonts w:ascii="宋体" w:eastAsia="宋体" w:hAnsi="宋体" w:cs="Times New Roman"/>
                <w:iCs/>
                <w:kern w:val="0"/>
                <w:sz w:val="18"/>
                <w:szCs w:val="18"/>
                <w:lang w:bidi="en-US"/>
              </w:rPr>
            </w:pPr>
            <w:proofErr w:type="spellStart"/>
            <w:r w:rsidRPr="00251592">
              <w:rPr>
                <w:rFonts w:ascii="宋体" w:eastAsia="宋体" w:hAnsi="宋体" w:cs="Times New Roman"/>
                <w:iCs/>
                <w:color w:val="000000"/>
                <w:sz w:val="18"/>
                <w:szCs w:val="18"/>
                <w:lang w:eastAsia="en-US" w:bidi="en-US"/>
              </w:rPr>
              <w:t>华南</w:t>
            </w:r>
            <w:proofErr w:type="spellEnd"/>
          </w:p>
        </w:tc>
        <w:tc>
          <w:tcPr>
            <w:tcW w:w="710" w:type="pct"/>
            <w:vAlign w:val="center"/>
          </w:tcPr>
          <w:p w14:paraId="73955802"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7,058.20</w:t>
            </w:r>
          </w:p>
        </w:tc>
        <w:tc>
          <w:tcPr>
            <w:tcW w:w="685" w:type="pct"/>
            <w:vAlign w:val="center"/>
          </w:tcPr>
          <w:p w14:paraId="435E3379"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22.18%</w:t>
            </w:r>
          </w:p>
        </w:tc>
        <w:tc>
          <w:tcPr>
            <w:tcW w:w="685" w:type="pct"/>
            <w:vAlign w:val="center"/>
          </w:tcPr>
          <w:p w14:paraId="0FE96E6B"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6,176.57</w:t>
            </w:r>
          </w:p>
        </w:tc>
        <w:tc>
          <w:tcPr>
            <w:tcW w:w="686" w:type="pct"/>
            <w:vAlign w:val="center"/>
          </w:tcPr>
          <w:p w14:paraId="093DC0F6"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23.16%</w:t>
            </w:r>
          </w:p>
        </w:tc>
        <w:tc>
          <w:tcPr>
            <w:tcW w:w="686" w:type="pct"/>
            <w:vAlign w:val="center"/>
          </w:tcPr>
          <w:p w14:paraId="212058CA"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7,804.96</w:t>
            </w:r>
          </w:p>
        </w:tc>
        <w:tc>
          <w:tcPr>
            <w:tcW w:w="684" w:type="pct"/>
            <w:vAlign w:val="center"/>
          </w:tcPr>
          <w:p w14:paraId="70FAF26E"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32.33%</w:t>
            </w:r>
          </w:p>
        </w:tc>
      </w:tr>
      <w:tr w:rsidR="00C17BBD" w:rsidRPr="00251592" w14:paraId="0E340302" w14:textId="77777777" w:rsidTr="00622023">
        <w:trPr>
          <w:trHeight w:val="397"/>
          <w:jc w:val="center"/>
        </w:trPr>
        <w:tc>
          <w:tcPr>
            <w:tcW w:w="864" w:type="pct"/>
            <w:vAlign w:val="center"/>
          </w:tcPr>
          <w:p w14:paraId="5A98C563"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color w:val="000000"/>
                <w:sz w:val="18"/>
                <w:szCs w:val="18"/>
                <w:lang w:eastAsia="en-US" w:bidi="en-US"/>
              </w:rPr>
              <w:t>东北</w:t>
            </w:r>
            <w:proofErr w:type="spellEnd"/>
          </w:p>
        </w:tc>
        <w:tc>
          <w:tcPr>
            <w:tcW w:w="710" w:type="pct"/>
            <w:vAlign w:val="center"/>
          </w:tcPr>
          <w:p w14:paraId="31D94407"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2,562.78</w:t>
            </w:r>
          </w:p>
        </w:tc>
        <w:tc>
          <w:tcPr>
            <w:tcW w:w="685" w:type="pct"/>
            <w:vAlign w:val="center"/>
          </w:tcPr>
          <w:p w14:paraId="77138AF2"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8.05%</w:t>
            </w:r>
          </w:p>
        </w:tc>
        <w:tc>
          <w:tcPr>
            <w:tcW w:w="685" w:type="pct"/>
            <w:vAlign w:val="center"/>
          </w:tcPr>
          <w:p w14:paraId="43C64DEA"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2,414.96</w:t>
            </w:r>
          </w:p>
        </w:tc>
        <w:tc>
          <w:tcPr>
            <w:tcW w:w="686" w:type="pct"/>
            <w:vAlign w:val="center"/>
          </w:tcPr>
          <w:p w14:paraId="29A7E858"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9.06%</w:t>
            </w:r>
          </w:p>
        </w:tc>
        <w:tc>
          <w:tcPr>
            <w:tcW w:w="686" w:type="pct"/>
            <w:vAlign w:val="center"/>
          </w:tcPr>
          <w:p w14:paraId="298945BF"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1,486.84</w:t>
            </w:r>
          </w:p>
        </w:tc>
        <w:tc>
          <w:tcPr>
            <w:tcW w:w="684" w:type="pct"/>
            <w:vAlign w:val="center"/>
          </w:tcPr>
          <w:p w14:paraId="124578B2"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6.16%</w:t>
            </w:r>
          </w:p>
        </w:tc>
      </w:tr>
      <w:tr w:rsidR="00C17BBD" w:rsidRPr="00251592" w14:paraId="3406E190" w14:textId="77777777" w:rsidTr="00622023">
        <w:trPr>
          <w:trHeight w:val="397"/>
          <w:jc w:val="center"/>
        </w:trPr>
        <w:tc>
          <w:tcPr>
            <w:tcW w:w="864" w:type="pct"/>
            <w:vAlign w:val="center"/>
          </w:tcPr>
          <w:p w14:paraId="7C641BFF"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color w:val="000000"/>
                <w:sz w:val="18"/>
                <w:szCs w:val="18"/>
                <w:lang w:eastAsia="en-US" w:bidi="en-US"/>
              </w:rPr>
              <w:t>华北</w:t>
            </w:r>
            <w:proofErr w:type="spellEnd"/>
          </w:p>
        </w:tc>
        <w:tc>
          <w:tcPr>
            <w:tcW w:w="710" w:type="pct"/>
            <w:vAlign w:val="center"/>
          </w:tcPr>
          <w:p w14:paraId="2792EF4A"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2,486.82</w:t>
            </w:r>
          </w:p>
        </w:tc>
        <w:tc>
          <w:tcPr>
            <w:tcW w:w="685" w:type="pct"/>
            <w:vAlign w:val="center"/>
          </w:tcPr>
          <w:p w14:paraId="4AF2A1DB"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7.82%</w:t>
            </w:r>
          </w:p>
        </w:tc>
        <w:tc>
          <w:tcPr>
            <w:tcW w:w="685" w:type="pct"/>
            <w:vAlign w:val="center"/>
          </w:tcPr>
          <w:p w14:paraId="59381C55"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1,430.05</w:t>
            </w:r>
          </w:p>
        </w:tc>
        <w:tc>
          <w:tcPr>
            <w:tcW w:w="686" w:type="pct"/>
            <w:vAlign w:val="center"/>
          </w:tcPr>
          <w:p w14:paraId="58A3D78C"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5.36%</w:t>
            </w:r>
          </w:p>
        </w:tc>
        <w:tc>
          <w:tcPr>
            <w:tcW w:w="686" w:type="pct"/>
            <w:vAlign w:val="center"/>
          </w:tcPr>
          <w:p w14:paraId="2090FA91"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1,319.92</w:t>
            </w:r>
          </w:p>
        </w:tc>
        <w:tc>
          <w:tcPr>
            <w:tcW w:w="684" w:type="pct"/>
            <w:vAlign w:val="center"/>
          </w:tcPr>
          <w:p w14:paraId="74E944F2"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5.47%</w:t>
            </w:r>
          </w:p>
        </w:tc>
      </w:tr>
      <w:tr w:rsidR="00C17BBD" w:rsidRPr="00251592" w14:paraId="5D1947FD" w14:textId="77777777" w:rsidTr="00622023">
        <w:trPr>
          <w:trHeight w:val="397"/>
          <w:jc w:val="center"/>
        </w:trPr>
        <w:tc>
          <w:tcPr>
            <w:tcW w:w="864" w:type="pct"/>
            <w:vAlign w:val="center"/>
          </w:tcPr>
          <w:p w14:paraId="07082FA7" w14:textId="77777777" w:rsidR="00C17BBD" w:rsidRPr="00251592" w:rsidRDefault="00C17BBD" w:rsidP="008A2055">
            <w:pPr>
              <w:widowControl/>
              <w:jc w:val="center"/>
              <w:rPr>
                <w:rFonts w:ascii="宋体" w:eastAsia="宋体" w:hAnsi="宋体" w:cs="Times New Roman"/>
                <w:iCs/>
                <w:kern w:val="0"/>
                <w:sz w:val="18"/>
                <w:szCs w:val="18"/>
                <w:lang w:bidi="en-US"/>
              </w:rPr>
            </w:pPr>
            <w:proofErr w:type="spellStart"/>
            <w:r w:rsidRPr="00251592">
              <w:rPr>
                <w:rFonts w:ascii="宋体" w:eastAsia="宋体" w:hAnsi="宋体" w:cs="Times New Roman"/>
                <w:iCs/>
                <w:color w:val="000000"/>
                <w:sz w:val="18"/>
                <w:szCs w:val="18"/>
                <w:lang w:eastAsia="en-US" w:bidi="en-US"/>
              </w:rPr>
              <w:t>华中</w:t>
            </w:r>
            <w:proofErr w:type="spellEnd"/>
          </w:p>
        </w:tc>
        <w:tc>
          <w:tcPr>
            <w:tcW w:w="710" w:type="pct"/>
            <w:vAlign w:val="center"/>
          </w:tcPr>
          <w:p w14:paraId="6018C114"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3,922.10</w:t>
            </w:r>
          </w:p>
        </w:tc>
        <w:tc>
          <w:tcPr>
            <w:tcW w:w="685" w:type="pct"/>
            <w:vAlign w:val="center"/>
          </w:tcPr>
          <w:p w14:paraId="30B40AF0"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12.33%</w:t>
            </w:r>
          </w:p>
        </w:tc>
        <w:tc>
          <w:tcPr>
            <w:tcW w:w="685" w:type="pct"/>
            <w:vAlign w:val="center"/>
          </w:tcPr>
          <w:p w14:paraId="06145788"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4,081.15</w:t>
            </w:r>
          </w:p>
        </w:tc>
        <w:tc>
          <w:tcPr>
            <w:tcW w:w="686" w:type="pct"/>
            <w:vAlign w:val="center"/>
          </w:tcPr>
          <w:p w14:paraId="556EB4AD"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15.31%</w:t>
            </w:r>
          </w:p>
        </w:tc>
        <w:tc>
          <w:tcPr>
            <w:tcW w:w="686" w:type="pct"/>
            <w:vAlign w:val="center"/>
          </w:tcPr>
          <w:p w14:paraId="13163A80"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1,295.21</w:t>
            </w:r>
          </w:p>
        </w:tc>
        <w:tc>
          <w:tcPr>
            <w:tcW w:w="684" w:type="pct"/>
            <w:vAlign w:val="center"/>
          </w:tcPr>
          <w:p w14:paraId="56CEF852"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5.36%</w:t>
            </w:r>
          </w:p>
        </w:tc>
      </w:tr>
      <w:tr w:rsidR="00C17BBD" w:rsidRPr="00251592" w14:paraId="2158A336" w14:textId="77777777" w:rsidTr="00622023">
        <w:trPr>
          <w:trHeight w:val="397"/>
          <w:jc w:val="center"/>
        </w:trPr>
        <w:tc>
          <w:tcPr>
            <w:tcW w:w="864" w:type="pct"/>
            <w:vAlign w:val="center"/>
          </w:tcPr>
          <w:p w14:paraId="2DEBABD3" w14:textId="77777777" w:rsidR="00C17BBD" w:rsidRPr="00251592" w:rsidRDefault="00C17BBD" w:rsidP="008A2055">
            <w:pPr>
              <w:widowControl/>
              <w:jc w:val="center"/>
              <w:rPr>
                <w:rFonts w:ascii="宋体" w:eastAsia="宋体" w:hAnsi="宋体" w:cs="Times New Roman"/>
                <w:iCs/>
                <w:kern w:val="0"/>
                <w:sz w:val="18"/>
                <w:szCs w:val="18"/>
                <w:lang w:bidi="en-US"/>
              </w:rPr>
            </w:pPr>
            <w:proofErr w:type="spellStart"/>
            <w:r w:rsidRPr="00251592">
              <w:rPr>
                <w:rFonts w:ascii="宋体" w:eastAsia="宋体" w:hAnsi="宋体" w:cs="Times New Roman"/>
                <w:iCs/>
                <w:color w:val="000000"/>
                <w:sz w:val="18"/>
                <w:szCs w:val="18"/>
                <w:lang w:eastAsia="en-US" w:bidi="en-US"/>
              </w:rPr>
              <w:t>西北</w:t>
            </w:r>
            <w:proofErr w:type="spellEnd"/>
          </w:p>
        </w:tc>
        <w:tc>
          <w:tcPr>
            <w:tcW w:w="710" w:type="pct"/>
            <w:vAlign w:val="center"/>
          </w:tcPr>
          <w:p w14:paraId="452B7B3E"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2,330.94</w:t>
            </w:r>
          </w:p>
        </w:tc>
        <w:tc>
          <w:tcPr>
            <w:tcW w:w="685" w:type="pct"/>
            <w:vAlign w:val="center"/>
          </w:tcPr>
          <w:p w14:paraId="3023DF34"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7.33%</w:t>
            </w:r>
          </w:p>
        </w:tc>
        <w:tc>
          <w:tcPr>
            <w:tcW w:w="685" w:type="pct"/>
            <w:vAlign w:val="center"/>
          </w:tcPr>
          <w:p w14:paraId="6B369405"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1,169.19</w:t>
            </w:r>
          </w:p>
        </w:tc>
        <w:tc>
          <w:tcPr>
            <w:tcW w:w="686" w:type="pct"/>
            <w:vAlign w:val="center"/>
          </w:tcPr>
          <w:p w14:paraId="27D9849F"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4.38%</w:t>
            </w:r>
          </w:p>
        </w:tc>
        <w:tc>
          <w:tcPr>
            <w:tcW w:w="686" w:type="pct"/>
            <w:vAlign w:val="center"/>
          </w:tcPr>
          <w:p w14:paraId="5EC18487"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1,301.76</w:t>
            </w:r>
          </w:p>
        </w:tc>
        <w:tc>
          <w:tcPr>
            <w:tcW w:w="684" w:type="pct"/>
            <w:vAlign w:val="center"/>
          </w:tcPr>
          <w:p w14:paraId="410614CC"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5.39%</w:t>
            </w:r>
          </w:p>
        </w:tc>
      </w:tr>
      <w:tr w:rsidR="00C17BBD" w:rsidRPr="00251592" w14:paraId="295D2AD2" w14:textId="77777777" w:rsidTr="00622023">
        <w:trPr>
          <w:trHeight w:val="397"/>
          <w:jc w:val="center"/>
        </w:trPr>
        <w:tc>
          <w:tcPr>
            <w:tcW w:w="864" w:type="pct"/>
            <w:vAlign w:val="center"/>
          </w:tcPr>
          <w:p w14:paraId="607A24EF" w14:textId="77777777" w:rsidR="00C17BBD" w:rsidRPr="00251592" w:rsidRDefault="00C17BBD" w:rsidP="008A2055">
            <w:pPr>
              <w:widowControl/>
              <w:jc w:val="center"/>
              <w:rPr>
                <w:rFonts w:ascii="宋体" w:eastAsia="宋体" w:hAnsi="宋体" w:cs="Times New Roman"/>
                <w:iCs/>
                <w:color w:val="000000"/>
                <w:sz w:val="18"/>
                <w:szCs w:val="18"/>
                <w:lang w:eastAsia="en-US" w:bidi="en-US"/>
              </w:rPr>
            </w:pPr>
            <w:proofErr w:type="spellStart"/>
            <w:r w:rsidRPr="00251592">
              <w:rPr>
                <w:rFonts w:ascii="宋体" w:eastAsia="宋体" w:hAnsi="宋体" w:cs="Times New Roman"/>
                <w:iCs/>
                <w:color w:val="000000"/>
                <w:sz w:val="18"/>
                <w:szCs w:val="18"/>
                <w:lang w:eastAsia="en-US" w:bidi="en-US"/>
              </w:rPr>
              <w:t>西南</w:t>
            </w:r>
            <w:proofErr w:type="spellEnd"/>
          </w:p>
        </w:tc>
        <w:tc>
          <w:tcPr>
            <w:tcW w:w="710" w:type="pct"/>
            <w:vAlign w:val="center"/>
          </w:tcPr>
          <w:p w14:paraId="48E7C841"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2,305.12</w:t>
            </w:r>
          </w:p>
        </w:tc>
        <w:tc>
          <w:tcPr>
            <w:tcW w:w="685" w:type="pct"/>
            <w:vAlign w:val="center"/>
          </w:tcPr>
          <w:p w14:paraId="7EFA40DF"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7.24%</w:t>
            </w:r>
          </w:p>
        </w:tc>
        <w:tc>
          <w:tcPr>
            <w:tcW w:w="685" w:type="pct"/>
            <w:vAlign w:val="center"/>
          </w:tcPr>
          <w:p w14:paraId="6197B45B" w14:textId="77777777" w:rsidR="00C17BBD" w:rsidRPr="00251592" w:rsidRDefault="00C17BBD" w:rsidP="008A2055">
            <w:pPr>
              <w:jc w:val="right"/>
              <w:rPr>
                <w:rFonts w:ascii="宋体" w:eastAsia="宋体" w:hAnsi="宋体" w:cs="Times New Roman"/>
                <w:iCs/>
                <w:color w:val="000000"/>
                <w:sz w:val="18"/>
                <w:szCs w:val="18"/>
                <w:lang w:bidi="en-US"/>
              </w:rPr>
            </w:pPr>
            <w:r w:rsidRPr="00251592">
              <w:rPr>
                <w:rFonts w:ascii="宋体" w:eastAsia="宋体" w:hAnsi="宋体" w:cs="Times New Roman"/>
                <w:color w:val="000000"/>
                <w:sz w:val="18"/>
                <w:szCs w:val="18"/>
              </w:rPr>
              <w:t>1,521.09</w:t>
            </w:r>
          </w:p>
        </w:tc>
        <w:tc>
          <w:tcPr>
            <w:tcW w:w="686" w:type="pct"/>
            <w:vAlign w:val="center"/>
          </w:tcPr>
          <w:p w14:paraId="13EEDEF4"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5.70%</w:t>
            </w:r>
          </w:p>
        </w:tc>
        <w:tc>
          <w:tcPr>
            <w:tcW w:w="686" w:type="pct"/>
            <w:vAlign w:val="center"/>
          </w:tcPr>
          <w:p w14:paraId="4DEBEC97"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783.30</w:t>
            </w:r>
          </w:p>
        </w:tc>
        <w:tc>
          <w:tcPr>
            <w:tcW w:w="684" w:type="pct"/>
            <w:vAlign w:val="center"/>
          </w:tcPr>
          <w:p w14:paraId="6EE02E4D"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3.24%</w:t>
            </w:r>
          </w:p>
        </w:tc>
      </w:tr>
      <w:tr w:rsidR="00C17BBD" w:rsidRPr="00251592" w14:paraId="69FB2400" w14:textId="77777777" w:rsidTr="00622023">
        <w:trPr>
          <w:trHeight w:val="397"/>
          <w:jc w:val="center"/>
        </w:trPr>
        <w:tc>
          <w:tcPr>
            <w:tcW w:w="864" w:type="pct"/>
            <w:vAlign w:val="center"/>
          </w:tcPr>
          <w:p w14:paraId="76409506" w14:textId="77777777" w:rsidR="00C17BBD" w:rsidRPr="00251592" w:rsidRDefault="00C17BBD" w:rsidP="008A2055">
            <w:pPr>
              <w:widowControl/>
              <w:jc w:val="center"/>
              <w:rPr>
                <w:rFonts w:ascii="宋体" w:eastAsia="宋体" w:hAnsi="宋体" w:cs="Times New Roman"/>
                <w:iCs/>
                <w:kern w:val="0"/>
                <w:sz w:val="18"/>
                <w:szCs w:val="18"/>
                <w:lang w:eastAsia="en-US" w:bidi="en-US"/>
              </w:rPr>
            </w:pPr>
            <w:proofErr w:type="spellStart"/>
            <w:r w:rsidRPr="00251592">
              <w:rPr>
                <w:rFonts w:ascii="宋体" w:eastAsia="宋体" w:hAnsi="宋体" w:cs="Times New Roman"/>
                <w:iCs/>
                <w:kern w:val="0"/>
                <w:sz w:val="18"/>
                <w:szCs w:val="18"/>
                <w:lang w:eastAsia="en-US" w:bidi="en-US"/>
              </w:rPr>
              <w:t>合计</w:t>
            </w:r>
            <w:proofErr w:type="spellEnd"/>
          </w:p>
        </w:tc>
        <w:tc>
          <w:tcPr>
            <w:tcW w:w="710" w:type="pct"/>
            <w:vAlign w:val="center"/>
          </w:tcPr>
          <w:p w14:paraId="26A2061C"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31,817.58</w:t>
            </w:r>
          </w:p>
        </w:tc>
        <w:tc>
          <w:tcPr>
            <w:tcW w:w="685" w:type="pct"/>
            <w:vAlign w:val="center"/>
          </w:tcPr>
          <w:p w14:paraId="30D12EA0" w14:textId="77777777" w:rsidR="00C17BBD" w:rsidRPr="00251592" w:rsidRDefault="00C17BBD" w:rsidP="008A2055">
            <w:pPr>
              <w:jc w:val="right"/>
              <w:rPr>
                <w:rFonts w:ascii="宋体" w:eastAsia="宋体" w:hAnsi="宋体" w:cs="Times New Roman"/>
                <w:iCs/>
                <w:kern w:val="0"/>
                <w:sz w:val="18"/>
                <w:szCs w:val="18"/>
                <w:lang w:eastAsia="en-US" w:bidi="en-US"/>
              </w:rPr>
            </w:pPr>
            <w:r w:rsidRPr="00251592">
              <w:rPr>
                <w:rFonts w:ascii="宋体" w:eastAsia="宋体" w:hAnsi="宋体" w:cs="Times New Roman"/>
                <w:color w:val="000000"/>
                <w:sz w:val="18"/>
                <w:szCs w:val="18"/>
              </w:rPr>
              <w:t>100.00%</w:t>
            </w:r>
          </w:p>
        </w:tc>
        <w:tc>
          <w:tcPr>
            <w:tcW w:w="685" w:type="pct"/>
            <w:vAlign w:val="center"/>
          </w:tcPr>
          <w:p w14:paraId="63F66A6B"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26,664.14</w:t>
            </w:r>
          </w:p>
        </w:tc>
        <w:tc>
          <w:tcPr>
            <w:tcW w:w="686" w:type="pct"/>
            <w:vAlign w:val="center"/>
          </w:tcPr>
          <w:p w14:paraId="7F5D70D8"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color w:val="000000"/>
                <w:sz w:val="18"/>
                <w:szCs w:val="18"/>
              </w:rPr>
              <w:t>100.00%</w:t>
            </w:r>
          </w:p>
        </w:tc>
        <w:tc>
          <w:tcPr>
            <w:tcW w:w="686" w:type="pct"/>
            <w:vAlign w:val="center"/>
          </w:tcPr>
          <w:p w14:paraId="3EBF16D7" w14:textId="77777777" w:rsidR="00C17BBD" w:rsidRPr="00251592" w:rsidRDefault="00C17BBD" w:rsidP="008A2055">
            <w:pPr>
              <w:jc w:val="right"/>
              <w:rPr>
                <w:rFonts w:ascii="宋体" w:eastAsia="宋体" w:hAnsi="宋体" w:cs="Times New Roman"/>
                <w:iCs/>
                <w:color w:val="000000"/>
                <w:sz w:val="18"/>
                <w:szCs w:val="18"/>
                <w:lang w:eastAsia="en-US" w:bidi="en-US"/>
              </w:rPr>
            </w:pPr>
            <w:r w:rsidRPr="00251592">
              <w:rPr>
                <w:rFonts w:ascii="宋体" w:eastAsia="宋体" w:hAnsi="宋体" w:cs="Times New Roman"/>
                <w:iCs/>
                <w:color w:val="000000"/>
                <w:sz w:val="18"/>
                <w:szCs w:val="18"/>
                <w:lang w:eastAsia="en-US" w:bidi="en-US"/>
              </w:rPr>
              <w:t>24,145.15</w:t>
            </w:r>
          </w:p>
        </w:tc>
        <w:tc>
          <w:tcPr>
            <w:tcW w:w="684" w:type="pct"/>
            <w:vAlign w:val="center"/>
          </w:tcPr>
          <w:p w14:paraId="43DC000F" w14:textId="77777777" w:rsidR="00C17BBD" w:rsidRPr="00251592" w:rsidRDefault="00C17BBD" w:rsidP="008A2055">
            <w:pPr>
              <w:jc w:val="right"/>
              <w:rPr>
                <w:rFonts w:ascii="宋体" w:eastAsia="宋体" w:hAnsi="宋体" w:cs="Times New Roman"/>
                <w:iCs/>
                <w:color w:val="000000"/>
                <w:sz w:val="18"/>
                <w:szCs w:val="18"/>
                <w:lang w:bidi="en-US"/>
              </w:rPr>
            </w:pPr>
            <w:r w:rsidRPr="00251592">
              <w:rPr>
                <w:rFonts w:ascii="宋体" w:eastAsia="宋体" w:hAnsi="宋体" w:cs="Times New Roman"/>
                <w:iCs/>
                <w:color w:val="000000"/>
                <w:sz w:val="18"/>
                <w:szCs w:val="18"/>
                <w:lang w:bidi="en-US"/>
              </w:rPr>
              <w:t>100.</w:t>
            </w:r>
            <w:r w:rsidRPr="00251592">
              <w:rPr>
                <w:rFonts w:ascii="宋体" w:eastAsia="宋体" w:hAnsi="宋体" w:cs="Times New Roman"/>
                <w:iCs/>
                <w:color w:val="000000"/>
                <w:sz w:val="18"/>
                <w:szCs w:val="18"/>
                <w:lang w:eastAsia="en-US" w:bidi="en-US"/>
              </w:rPr>
              <w:t>00</w:t>
            </w:r>
            <w:r w:rsidRPr="00251592">
              <w:rPr>
                <w:rFonts w:ascii="宋体" w:eastAsia="宋体" w:hAnsi="宋体" w:cs="Times New Roman"/>
                <w:iCs/>
                <w:color w:val="000000"/>
                <w:sz w:val="18"/>
                <w:szCs w:val="18"/>
                <w:lang w:bidi="en-US"/>
              </w:rPr>
              <w:t>%</w:t>
            </w:r>
          </w:p>
        </w:tc>
      </w:tr>
    </w:tbl>
    <w:p w14:paraId="62A10B0F"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宋体"/>
          <w:iCs/>
          <w:szCs w:val="21"/>
          <w:lang w:bidi="en-US"/>
        </w:rPr>
        <w:t>1</w:t>
      </w:r>
      <w:r w:rsidRPr="00251592">
        <w:rPr>
          <w:rFonts w:ascii="宋体" w:eastAsia="宋体" w:hAnsi="宋体" w:cs="宋体" w:hint="eastAsia"/>
          <w:iCs/>
          <w:szCs w:val="21"/>
          <w:lang w:bidi="en-US"/>
        </w:rPr>
        <w:t>）</w:t>
      </w:r>
      <w:r w:rsidRPr="00251592">
        <w:rPr>
          <w:rFonts w:ascii="宋体" w:eastAsia="宋体" w:hAnsi="宋体" w:cs="Times New Roman"/>
          <w:iCs/>
          <w:szCs w:val="21"/>
          <w:lang w:bidi="en-US"/>
        </w:rPr>
        <w:t>华东地区成为公司主要业务区域，业务收入保持较高水平</w:t>
      </w:r>
    </w:p>
    <w:p w14:paraId="57323057"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华东地区尤其是江浙沪地区经济较为发达，城市建设总体保持着持续、稳定的发展态势，公司立足于上海，依托良好的区位优势，在华东区域建立了较强的行业地位与市场影响力。报告期内，公司在华东区域实现的设计业务收入分别为10,153.16万元、9,871.13万元和</w:t>
      </w:r>
      <w:r w:rsidRPr="00251592">
        <w:rPr>
          <w:rFonts w:ascii="宋体" w:eastAsia="宋体" w:hAnsi="宋体" w:cs="Times New Roman"/>
          <w:color w:val="000000"/>
          <w:szCs w:val="21"/>
        </w:rPr>
        <w:t>11,151.62</w:t>
      </w:r>
      <w:r w:rsidRPr="00251592">
        <w:rPr>
          <w:rFonts w:ascii="宋体" w:eastAsia="宋体" w:hAnsi="宋体" w:cs="Times New Roman"/>
          <w:iCs/>
          <w:szCs w:val="21"/>
          <w:lang w:bidi="en-US"/>
        </w:rPr>
        <w:t>万元，占设计业务收入的比例分别为42.05%、37.02%和</w:t>
      </w:r>
      <w:r w:rsidRPr="00251592">
        <w:rPr>
          <w:rFonts w:ascii="宋体" w:eastAsia="宋体" w:hAnsi="宋体" w:cs="Times New Roman"/>
          <w:color w:val="000000"/>
          <w:szCs w:val="21"/>
        </w:rPr>
        <w:t>35.05%</w:t>
      </w:r>
      <w:r w:rsidRPr="00251592">
        <w:rPr>
          <w:rFonts w:ascii="宋体" w:eastAsia="宋体" w:hAnsi="宋体" w:cs="Times New Roman"/>
          <w:iCs/>
          <w:szCs w:val="21"/>
          <w:lang w:bidi="en-US"/>
        </w:rPr>
        <w:t>，总体处于较高水平，成为公司业务收入的主要区域。</w:t>
      </w:r>
    </w:p>
    <w:p w14:paraId="3B75570B"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2）华南地区是公司重要的业务区域，业务收入总体保持稳定</w:t>
      </w:r>
    </w:p>
    <w:p w14:paraId="1F9907E1"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华南地区尤其是广</w:t>
      </w:r>
      <w:proofErr w:type="gramStart"/>
      <w:r w:rsidRPr="00251592">
        <w:rPr>
          <w:rFonts w:ascii="宋体" w:eastAsia="宋体" w:hAnsi="宋体" w:cs="Times New Roman"/>
          <w:iCs/>
          <w:szCs w:val="21"/>
          <w:lang w:bidi="en-US"/>
        </w:rPr>
        <w:t>深区域</w:t>
      </w:r>
      <w:proofErr w:type="gramEnd"/>
      <w:r w:rsidRPr="00251592">
        <w:rPr>
          <w:rFonts w:ascii="宋体" w:eastAsia="宋体" w:hAnsi="宋体" w:cs="Times New Roman"/>
          <w:iCs/>
          <w:szCs w:val="21"/>
          <w:lang w:bidi="en-US"/>
        </w:rPr>
        <w:t>经济发展和城市建设一直处于全国领先水平，公司积极布局以</w:t>
      </w:r>
      <w:r w:rsidRPr="00251592">
        <w:rPr>
          <w:rFonts w:ascii="宋体" w:eastAsia="宋体" w:hAnsi="宋体" w:cs="Times New Roman"/>
          <w:iCs/>
          <w:szCs w:val="21"/>
          <w:lang w:bidi="en-US"/>
        </w:rPr>
        <w:lastRenderedPageBreak/>
        <w:t>广州、深圳为核心，辐射华南区域的营销服务网络，业务开展取得了较为明显的成效。报告期内，公司在华南区域实现的设计业务收入分别为7,804.96万元、6,176.57万元和</w:t>
      </w:r>
      <w:r w:rsidRPr="00251592">
        <w:rPr>
          <w:rFonts w:ascii="宋体" w:eastAsia="宋体" w:hAnsi="宋体" w:cs="Times New Roman"/>
          <w:color w:val="000000"/>
          <w:szCs w:val="21"/>
        </w:rPr>
        <w:t>7,058.20</w:t>
      </w:r>
      <w:r w:rsidRPr="00251592">
        <w:rPr>
          <w:rFonts w:ascii="宋体" w:eastAsia="宋体" w:hAnsi="宋体" w:cs="Times New Roman"/>
          <w:iCs/>
          <w:szCs w:val="21"/>
          <w:lang w:bidi="en-US"/>
        </w:rPr>
        <w:t>万元，占设计业务收入的比例分别为32.33%、23.16%和</w:t>
      </w:r>
      <w:r w:rsidRPr="00251592">
        <w:rPr>
          <w:rFonts w:ascii="宋体" w:eastAsia="宋体" w:hAnsi="宋体" w:cs="Times New Roman"/>
          <w:color w:val="000000"/>
          <w:szCs w:val="21"/>
        </w:rPr>
        <w:t>22.18%</w:t>
      </w:r>
      <w:r w:rsidRPr="00251592">
        <w:rPr>
          <w:rFonts w:ascii="宋体" w:eastAsia="宋体" w:hAnsi="宋体" w:cs="Times New Roman"/>
          <w:iCs/>
          <w:szCs w:val="21"/>
          <w:lang w:bidi="en-US"/>
        </w:rPr>
        <w:t>，成为公司业务收入的重要区域。</w:t>
      </w:r>
    </w:p>
    <w:p w14:paraId="4CD01622"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3）华中地区是公司重点发展的业务区域，业务收入增长较快</w:t>
      </w:r>
    </w:p>
    <w:p w14:paraId="65EDF68F"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华中地区以长沙、武汉、郑州为中心，辐射周边城市，形成了华中地区市场格局。报告期内，公司在华中区域实现的设计业务收入分别为1,295.21万元、4,081.15万元和</w:t>
      </w:r>
      <w:r w:rsidRPr="00251592">
        <w:rPr>
          <w:rFonts w:ascii="宋体" w:eastAsia="宋体" w:hAnsi="宋体" w:cs="Times New Roman"/>
          <w:color w:val="000000"/>
          <w:szCs w:val="21"/>
        </w:rPr>
        <w:t>3,922.10</w:t>
      </w:r>
      <w:r w:rsidRPr="00251592">
        <w:rPr>
          <w:rFonts w:ascii="宋体" w:eastAsia="宋体" w:hAnsi="宋体" w:cs="Times New Roman"/>
          <w:iCs/>
          <w:szCs w:val="21"/>
          <w:lang w:bidi="en-US"/>
        </w:rPr>
        <w:t>万元，占设计业务收入的比例分别为5.36%、15.31%和</w:t>
      </w:r>
      <w:r w:rsidRPr="00251592">
        <w:rPr>
          <w:rFonts w:ascii="宋体" w:eastAsia="宋体" w:hAnsi="宋体" w:cs="Times New Roman"/>
          <w:color w:val="000000"/>
          <w:szCs w:val="21"/>
        </w:rPr>
        <w:t>12.33%</w:t>
      </w:r>
      <w:r w:rsidRPr="00251592">
        <w:rPr>
          <w:rFonts w:ascii="宋体" w:eastAsia="宋体" w:hAnsi="宋体" w:cs="Times New Roman"/>
          <w:iCs/>
          <w:szCs w:val="21"/>
          <w:lang w:bidi="en-US"/>
        </w:rPr>
        <w:t>，2019年以来，华中区域实现的设计业务收入、占比明显提升，成为公司业务收入的重点发展区域。其中，2018年至2019年华中地区设计业务收入增加2,785.94万元，增幅显著，主要原因是：2019年，公司与都市霍普的协同效应逐步显现，公司在华中区域先后开拓了北辰、</w:t>
      </w:r>
      <w:proofErr w:type="gramStart"/>
      <w:r w:rsidRPr="00251592">
        <w:rPr>
          <w:rFonts w:ascii="宋体" w:eastAsia="宋体" w:hAnsi="宋体" w:cs="Times New Roman"/>
          <w:iCs/>
          <w:szCs w:val="21"/>
          <w:lang w:bidi="en-US"/>
        </w:rPr>
        <w:t>世</w:t>
      </w:r>
      <w:proofErr w:type="gramEnd"/>
      <w:r w:rsidRPr="00251592">
        <w:rPr>
          <w:rFonts w:ascii="宋体" w:eastAsia="宋体" w:hAnsi="宋体" w:cs="Times New Roman"/>
          <w:iCs/>
          <w:szCs w:val="21"/>
          <w:lang w:bidi="en-US"/>
        </w:rPr>
        <w:t>茂等知名地产开发商客户及TCL科技产业园（武汉）有限公司、长沙先导恒泰房地产开发有限公司等当地优质客户，获得了“北辰武汉经济技术开发区P067地块”、“</w:t>
      </w:r>
      <w:proofErr w:type="gramStart"/>
      <w:r w:rsidRPr="00251592">
        <w:rPr>
          <w:rFonts w:ascii="宋体" w:eastAsia="宋体" w:hAnsi="宋体" w:cs="Times New Roman"/>
          <w:iCs/>
          <w:szCs w:val="21"/>
          <w:lang w:bidi="en-US"/>
        </w:rPr>
        <w:t>世</w:t>
      </w:r>
      <w:proofErr w:type="gramEnd"/>
      <w:r w:rsidRPr="00251592">
        <w:rPr>
          <w:rFonts w:ascii="宋体" w:eastAsia="宋体" w:hAnsi="宋体" w:cs="Times New Roman"/>
          <w:iCs/>
          <w:szCs w:val="21"/>
          <w:lang w:bidi="en-US"/>
        </w:rPr>
        <w:t>茂长沙公司张家界沿江经济开发区地块”、“碧</w:t>
      </w:r>
      <w:proofErr w:type="gramStart"/>
      <w:r w:rsidRPr="00251592">
        <w:rPr>
          <w:rFonts w:ascii="宋体" w:eastAsia="宋体" w:hAnsi="宋体" w:cs="Times New Roman"/>
          <w:iCs/>
          <w:szCs w:val="21"/>
          <w:lang w:bidi="en-US"/>
        </w:rPr>
        <w:t>桂园</w:t>
      </w:r>
      <w:proofErr w:type="gramEnd"/>
      <w:r w:rsidRPr="00251592">
        <w:rPr>
          <w:rFonts w:ascii="宋体" w:eastAsia="宋体" w:hAnsi="宋体" w:cs="Times New Roman"/>
          <w:iCs/>
          <w:szCs w:val="21"/>
          <w:lang w:bidi="en-US"/>
        </w:rPr>
        <w:t>武汉市光谷中心十里春风”、“湖南保利长沙高新区尖山湖F23、F25地块”等项目，2019年对上述客户分别新增确认914.34万元、761.83万元、467.09万元、489.92万元设计业务收入，使得2019年华中区域的设计业务收入及占比大幅上升。</w:t>
      </w:r>
    </w:p>
    <w:p w14:paraId="7518AE7A"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4）东北地区是公司新兴发展的业务区域，业务收入稳步上升</w:t>
      </w:r>
    </w:p>
    <w:p w14:paraId="4EEA790D"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bookmarkStart w:id="2" w:name="_Hlk55643991"/>
      <w:r w:rsidRPr="00251592">
        <w:rPr>
          <w:rFonts w:ascii="宋体" w:eastAsia="宋体" w:hAnsi="宋体" w:cs="Times New Roman"/>
          <w:iCs/>
          <w:szCs w:val="21"/>
          <w:lang w:bidi="en-US"/>
        </w:rPr>
        <w:t>公司设计业务在东北区域仍处于逐步探索和开发市场的阶段，主要以沈阳、哈尔滨、大连、长春为核心城市开展业务，逐步向东北三省其他城市蔓延。报告期内，公司在东北区域实现的设计业务收入分别为1,486.84万元、2,414.96万元和</w:t>
      </w:r>
      <w:r w:rsidRPr="00251592">
        <w:rPr>
          <w:rFonts w:ascii="宋体" w:eastAsia="宋体" w:hAnsi="宋体" w:cs="Times New Roman"/>
          <w:color w:val="000000"/>
          <w:szCs w:val="21"/>
        </w:rPr>
        <w:t>2,562.78</w:t>
      </w:r>
      <w:r w:rsidRPr="00251592">
        <w:rPr>
          <w:rFonts w:ascii="宋体" w:eastAsia="宋体" w:hAnsi="宋体" w:cs="Times New Roman"/>
          <w:iCs/>
          <w:szCs w:val="21"/>
          <w:lang w:bidi="en-US"/>
        </w:rPr>
        <w:t>万元，占设计业务收入的比例分别为6.16%、9.06%和</w:t>
      </w:r>
      <w:r w:rsidRPr="00251592">
        <w:rPr>
          <w:rFonts w:ascii="宋体" w:eastAsia="宋体" w:hAnsi="宋体" w:cs="Times New Roman"/>
          <w:color w:val="000000"/>
          <w:szCs w:val="21"/>
        </w:rPr>
        <w:t>8.05%</w:t>
      </w:r>
      <w:r w:rsidRPr="00251592">
        <w:rPr>
          <w:rFonts w:ascii="宋体" w:eastAsia="宋体" w:hAnsi="宋体" w:cs="Times New Roman"/>
          <w:iCs/>
          <w:szCs w:val="21"/>
          <w:lang w:bidi="en-US"/>
        </w:rPr>
        <w:t>，整体体量较小，呈现稳定增长的趋势，是公司新兴发展的业务区域。其中，2019年东北区域设计业务收入增加928.12万元，增幅较为显著，主要原因为：自2018年公司与保利东北片区签订设计集</w:t>
      </w:r>
      <w:proofErr w:type="gramStart"/>
      <w:r w:rsidRPr="00251592">
        <w:rPr>
          <w:rFonts w:ascii="宋体" w:eastAsia="宋体" w:hAnsi="宋体" w:cs="Times New Roman"/>
          <w:iCs/>
          <w:szCs w:val="21"/>
          <w:lang w:bidi="en-US"/>
        </w:rPr>
        <w:t>采战略</w:t>
      </w:r>
      <w:proofErr w:type="gramEnd"/>
      <w:r w:rsidRPr="00251592">
        <w:rPr>
          <w:rFonts w:ascii="宋体" w:eastAsia="宋体" w:hAnsi="宋体" w:cs="Times New Roman"/>
          <w:iCs/>
          <w:szCs w:val="21"/>
          <w:lang w:bidi="en-US"/>
        </w:rPr>
        <w:t>合作协议以来，公司成为保利东北片区的战略供应商，东北区域的设计业务项目明显增多，先后承接了“沈阳保利丁香湖19号地块”、</w:t>
      </w:r>
      <w:proofErr w:type="gramStart"/>
      <w:r w:rsidRPr="00251592">
        <w:rPr>
          <w:rFonts w:ascii="宋体" w:eastAsia="宋体" w:hAnsi="宋体" w:cs="Times New Roman"/>
          <w:iCs/>
          <w:szCs w:val="21"/>
          <w:lang w:bidi="en-US"/>
        </w:rPr>
        <w:t>“</w:t>
      </w:r>
      <w:proofErr w:type="gramEnd"/>
      <w:r w:rsidRPr="00251592">
        <w:rPr>
          <w:rFonts w:ascii="宋体" w:eastAsia="宋体" w:hAnsi="宋体" w:cs="Times New Roman"/>
          <w:iCs/>
          <w:szCs w:val="21"/>
          <w:lang w:bidi="en-US"/>
        </w:rPr>
        <w:t>长春保利长春市大众总部基地项目、“沈阳保利高官台街东侧、东贸路南侧地块”等项目，2019年公司与保利合作的设计业务收入确认金额为1,890.18万元，相较于2018年的872.01万元，增加1,018.17万元的设计业务收入，从而引致2019年公司在东北区域实现的设计业务收入及占比大幅提升。</w:t>
      </w:r>
      <w:bookmarkEnd w:id="2"/>
    </w:p>
    <w:p w14:paraId="1432D5F2"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lastRenderedPageBreak/>
        <w:t>5</w:t>
      </w:r>
      <w:r w:rsidRPr="00251592">
        <w:rPr>
          <w:rFonts w:ascii="宋体" w:eastAsia="宋体" w:hAnsi="宋体" w:cs="Times New Roman" w:hint="eastAsia"/>
          <w:iCs/>
          <w:szCs w:val="21"/>
          <w:lang w:bidi="en-US"/>
        </w:rPr>
        <w:t>）</w:t>
      </w:r>
      <w:r w:rsidRPr="00251592">
        <w:rPr>
          <w:rFonts w:ascii="宋体" w:eastAsia="宋体" w:hAnsi="宋体" w:cs="Times New Roman"/>
          <w:iCs/>
          <w:szCs w:val="21"/>
          <w:lang w:bidi="en-US"/>
        </w:rPr>
        <w:t>其他地区业务不断发展</w:t>
      </w:r>
    </w:p>
    <w:p w14:paraId="7D465FCE"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公司一直秉持全国化布局的战略发展目标，除华南、华东</w:t>
      </w:r>
      <w:r w:rsidRPr="00251592">
        <w:rPr>
          <w:rFonts w:ascii="宋体" w:eastAsia="宋体" w:hAnsi="宋体" w:cs="Times New Roman" w:hint="eastAsia"/>
          <w:iCs/>
          <w:szCs w:val="21"/>
          <w:lang w:bidi="en-US"/>
        </w:rPr>
        <w:t>、华中、东北</w:t>
      </w:r>
      <w:r w:rsidRPr="00251592">
        <w:rPr>
          <w:rFonts w:ascii="宋体" w:eastAsia="宋体" w:hAnsi="宋体" w:cs="Times New Roman"/>
          <w:iCs/>
          <w:szCs w:val="21"/>
          <w:lang w:bidi="en-US"/>
        </w:rPr>
        <w:t>区域外，公司业务范围逐步覆盖华北、西南等多个区域。随着公司行业知名度的持续提升，加之区域市场开拓力度的不断加深，公司在该等区域的业务收入总体呈现出稳定增长的态势。</w:t>
      </w:r>
    </w:p>
    <w:p w14:paraId="0FD65933"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color w:val="000000"/>
          <w:szCs w:val="21"/>
          <w:lang w:bidi="en-US"/>
        </w:rPr>
      </w:pPr>
      <w:r w:rsidRPr="00251592">
        <w:rPr>
          <w:rFonts w:ascii="宋体" w:eastAsia="宋体" w:hAnsi="宋体" w:cs="Times New Roman" w:hint="eastAsia"/>
          <w:iCs/>
          <w:szCs w:val="21"/>
          <w:lang w:bidi="en-US"/>
        </w:rPr>
        <w:t>综上，报告期内公司在全国各区域的业务收入整体呈现出稳定增长的态势，华东、华南、华中、东北等地区收入占比的波动具有合理性。</w:t>
      </w:r>
    </w:p>
    <w:p w14:paraId="2D28BAA4"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0E8CF980"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514C67C2" w14:textId="535EA1F2"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eastAsia="zh-TW" w:bidi="en-US"/>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执行了如下核查程序：</w:t>
      </w:r>
    </w:p>
    <w:p w14:paraId="7B356985"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color w:val="000000"/>
          <w:kern w:val="0"/>
          <w:szCs w:val="21"/>
          <w:u w:color="000000"/>
          <w:lang w:bidi="en-US"/>
        </w:rPr>
        <w:t>1</w:t>
      </w:r>
      <w:r w:rsidRPr="00251592">
        <w:rPr>
          <w:rFonts w:ascii="宋体" w:eastAsia="宋体" w:hAnsi="宋体" w:cs="宋体" w:hint="eastAsia"/>
          <w:color w:val="000000"/>
          <w:kern w:val="0"/>
          <w:szCs w:val="21"/>
          <w:u w:color="000000"/>
          <w:lang w:bidi="en-US"/>
        </w:rPr>
        <w:t>、查阅了发行人的收入确认政策、完工百分比的具体确认方法，对</w:t>
      </w:r>
      <w:r w:rsidRPr="00251592">
        <w:rPr>
          <w:rFonts w:ascii="宋体" w:eastAsia="宋体" w:hAnsi="宋体" w:cs="宋体"/>
          <w:color w:val="000000"/>
          <w:kern w:val="0"/>
          <w:szCs w:val="21"/>
          <w:u w:color="000000"/>
          <w:lang w:bidi="en-US"/>
        </w:rPr>
        <w:t>报告期内各建筑设计项目完工百分比的确认依据是否充分合</w:t>
      </w:r>
      <w:proofErr w:type="gramStart"/>
      <w:r w:rsidRPr="00251592">
        <w:rPr>
          <w:rFonts w:ascii="宋体" w:eastAsia="宋体" w:hAnsi="宋体" w:cs="宋体"/>
          <w:color w:val="000000"/>
          <w:kern w:val="0"/>
          <w:szCs w:val="21"/>
          <w:u w:color="000000"/>
          <w:lang w:bidi="en-US"/>
        </w:rPr>
        <w:t>规</w:t>
      </w:r>
      <w:proofErr w:type="gramEnd"/>
      <w:r w:rsidRPr="00251592">
        <w:rPr>
          <w:rFonts w:ascii="宋体" w:eastAsia="宋体" w:hAnsi="宋体" w:cs="宋体" w:hint="eastAsia"/>
          <w:color w:val="000000"/>
          <w:kern w:val="0"/>
          <w:szCs w:val="21"/>
          <w:u w:color="000000"/>
          <w:lang w:bidi="en-US"/>
        </w:rPr>
        <w:t>、</w:t>
      </w:r>
      <w:r w:rsidRPr="00251592">
        <w:rPr>
          <w:rFonts w:ascii="宋体" w:eastAsia="宋体" w:hAnsi="宋体" w:cs="宋体"/>
          <w:color w:val="000000"/>
          <w:kern w:val="0"/>
          <w:szCs w:val="21"/>
          <w:u w:color="000000"/>
          <w:lang w:bidi="en-US"/>
        </w:rPr>
        <w:t>不同项目各阶段收入确认比例是否存在较大差异</w:t>
      </w:r>
      <w:r w:rsidRPr="00251592">
        <w:rPr>
          <w:rFonts w:ascii="宋体" w:eastAsia="宋体" w:hAnsi="宋体" w:cs="宋体" w:hint="eastAsia"/>
          <w:color w:val="000000"/>
          <w:kern w:val="0"/>
          <w:szCs w:val="21"/>
          <w:u w:color="000000"/>
          <w:lang w:bidi="en-US"/>
        </w:rPr>
        <w:t>、</w:t>
      </w:r>
      <w:r w:rsidRPr="00251592">
        <w:rPr>
          <w:rFonts w:ascii="宋体" w:eastAsia="宋体" w:hAnsi="宋体" w:cs="宋体"/>
          <w:color w:val="000000"/>
          <w:kern w:val="0"/>
          <w:szCs w:val="21"/>
          <w:u w:color="000000"/>
          <w:lang w:bidi="en-US"/>
        </w:rPr>
        <w:t>是否存在提前确认收入的情形</w:t>
      </w:r>
      <w:r w:rsidRPr="00251592">
        <w:rPr>
          <w:rFonts w:ascii="宋体" w:eastAsia="宋体" w:hAnsi="宋体" w:cs="宋体" w:hint="eastAsia"/>
          <w:color w:val="000000"/>
          <w:kern w:val="0"/>
          <w:szCs w:val="21"/>
          <w:u w:color="000000"/>
          <w:lang w:bidi="en-US"/>
        </w:rPr>
        <w:t>进行了分析</w:t>
      </w:r>
      <w:r w:rsidRPr="00251592">
        <w:rPr>
          <w:rFonts w:ascii="宋体" w:eastAsia="宋体" w:hAnsi="宋体" w:cs="宋体"/>
          <w:color w:val="000000"/>
          <w:kern w:val="0"/>
          <w:szCs w:val="21"/>
          <w:u w:color="000000"/>
          <w:lang w:bidi="en-US"/>
        </w:rPr>
        <w:t>；</w:t>
      </w:r>
    </w:p>
    <w:p w14:paraId="4B1E10AC"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2、</w:t>
      </w:r>
      <w:r w:rsidRPr="00251592">
        <w:rPr>
          <w:rFonts w:ascii="宋体" w:eastAsia="宋体" w:hAnsi="宋体" w:cs="Times New Roman"/>
          <w:color w:val="000000"/>
          <w:kern w:val="0"/>
          <w:szCs w:val="21"/>
          <w:u w:color="000000"/>
          <w:lang w:bidi="en-US"/>
        </w:rPr>
        <w:t>统计报告期内发行人已签订的业务合同发生变更的具体情况，</w:t>
      </w:r>
      <w:r w:rsidRPr="00251592">
        <w:rPr>
          <w:rFonts w:ascii="宋体" w:eastAsia="宋体" w:hAnsi="宋体" w:cs="Times New Roman"/>
          <w:kern w:val="0"/>
          <w:szCs w:val="21"/>
          <w:u w:color="000000"/>
        </w:rPr>
        <w:t>查阅了同行业可比公司的招股说明书，分析了同行业可比公司是否存在类似情况</w:t>
      </w:r>
      <w:r w:rsidRPr="00251592">
        <w:rPr>
          <w:rFonts w:ascii="宋体" w:eastAsia="宋体" w:hAnsi="宋体" w:cs="Times New Roman"/>
          <w:color w:val="000000"/>
          <w:kern w:val="0"/>
          <w:szCs w:val="21"/>
          <w:u w:color="000000"/>
          <w:lang w:bidi="en-US"/>
        </w:rPr>
        <w:t>；</w:t>
      </w:r>
    </w:p>
    <w:p w14:paraId="5B726BFA"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3、查阅了发行人的收入确认政策，</w:t>
      </w:r>
      <w:r w:rsidRPr="00251592">
        <w:rPr>
          <w:rFonts w:ascii="宋体" w:eastAsia="宋体" w:hAnsi="宋体" w:cs="宋体"/>
          <w:color w:val="000000"/>
          <w:kern w:val="0"/>
          <w:szCs w:val="21"/>
          <w:u w:color="000000"/>
          <w:lang w:bidi="en-US"/>
        </w:rPr>
        <w:t>结合合同条款约定、行业惯例、同行业可比公司相关会计处理等分析发行人会计处理的合</w:t>
      </w:r>
      <w:proofErr w:type="gramStart"/>
      <w:r w:rsidRPr="00251592">
        <w:rPr>
          <w:rFonts w:ascii="宋体" w:eastAsia="宋体" w:hAnsi="宋体" w:cs="宋体"/>
          <w:color w:val="000000"/>
          <w:kern w:val="0"/>
          <w:szCs w:val="21"/>
          <w:u w:color="000000"/>
          <w:lang w:bidi="en-US"/>
        </w:rPr>
        <w:t>规</w:t>
      </w:r>
      <w:proofErr w:type="gramEnd"/>
      <w:r w:rsidRPr="00251592">
        <w:rPr>
          <w:rFonts w:ascii="宋体" w:eastAsia="宋体" w:hAnsi="宋体" w:cs="宋体"/>
          <w:color w:val="000000"/>
          <w:kern w:val="0"/>
          <w:szCs w:val="21"/>
          <w:u w:color="000000"/>
          <w:lang w:bidi="en-US"/>
        </w:rPr>
        <w:t>性，并按照同行业可比公司预收账款后续会计处理对发行人财务报表的影响</w:t>
      </w:r>
      <w:r w:rsidRPr="00251592">
        <w:rPr>
          <w:rFonts w:ascii="宋体" w:eastAsia="宋体" w:hAnsi="宋体" w:cs="宋体" w:hint="eastAsia"/>
          <w:color w:val="000000"/>
          <w:kern w:val="0"/>
          <w:szCs w:val="21"/>
          <w:u w:color="000000"/>
          <w:lang w:bidi="en-US"/>
        </w:rPr>
        <w:t>进行测算</w:t>
      </w:r>
      <w:r w:rsidRPr="00251592">
        <w:rPr>
          <w:rFonts w:ascii="宋体" w:eastAsia="宋体" w:hAnsi="宋体" w:cs="宋体"/>
          <w:color w:val="000000"/>
          <w:kern w:val="0"/>
          <w:szCs w:val="21"/>
          <w:u w:color="000000"/>
          <w:lang w:bidi="en-US"/>
        </w:rPr>
        <w:t>；</w:t>
      </w:r>
    </w:p>
    <w:p w14:paraId="4FA53953" w14:textId="77777777" w:rsidR="00C17BBD" w:rsidRPr="00251592" w:rsidRDefault="00C17BBD" w:rsidP="00C17BBD">
      <w:pPr>
        <w:spacing w:beforeLines="50" w:before="156" w:afterLines="50" w:after="156" w:line="360" w:lineRule="auto"/>
        <w:ind w:firstLine="44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4、</w:t>
      </w:r>
      <w:r w:rsidRPr="00251592">
        <w:rPr>
          <w:rFonts w:ascii="宋体" w:eastAsia="宋体" w:hAnsi="宋体" w:cs="Times New Roman"/>
          <w:color w:val="000000"/>
          <w:kern w:val="0"/>
          <w:szCs w:val="21"/>
          <w:u w:color="000000"/>
          <w:lang w:bidi="en-US"/>
        </w:rPr>
        <w:t>获取了发行人报告期内的项目收入明细表，分析了发行人报告期内居住建筑设计业务收入、公共建筑设计业务收入存在较大波动的原因及合理性；分析了报告期内华东地区、华南地区业务收入及占比波动较大的原因，以及华中地区、东北地区2019年业务收入大幅上升的原因</w:t>
      </w:r>
      <w:r w:rsidRPr="00251592">
        <w:rPr>
          <w:rFonts w:ascii="宋体" w:eastAsia="宋体" w:hAnsi="宋体" w:cs="Times New Roman" w:hint="eastAsia"/>
          <w:color w:val="000000"/>
          <w:kern w:val="0"/>
          <w:szCs w:val="21"/>
          <w:u w:color="000000"/>
          <w:lang w:bidi="en-US"/>
        </w:rPr>
        <w:t>。</w:t>
      </w:r>
    </w:p>
    <w:p w14:paraId="10950763"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40491976" w14:textId="7077A670"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4F629C0F"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1、发行人</w:t>
      </w:r>
      <w:r w:rsidRPr="00251592">
        <w:rPr>
          <w:rFonts w:ascii="宋体" w:eastAsia="宋体" w:hAnsi="宋体" w:cs="Times New Roman"/>
          <w:szCs w:val="21"/>
        </w:rPr>
        <w:t>完工百分比的具体确认方法</w:t>
      </w:r>
      <w:r w:rsidRPr="00251592">
        <w:rPr>
          <w:rFonts w:ascii="宋体" w:eastAsia="宋体" w:hAnsi="宋体" w:cs="Times New Roman" w:hint="eastAsia"/>
          <w:szCs w:val="21"/>
        </w:rPr>
        <w:t>符合《企业会计准则》的规定，</w:t>
      </w:r>
      <w:r w:rsidRPr="00251592">
        <w:rPr>
          <w:rFonts w:ascii="宋体" w:eastAsia="宋体" w:hAnsi="宋体" w:cs="Times New Roman"/>
          <w:szCs w:val="21"/>
        </w:rPr>
        <w:t>各建筑设计项目完工百分比的确认依据</w:t>
      </w:r>
      <w:r w:rsidRPr="00251592">
        <w:rPr>
          <w:rFonts w:ascii="宋体" w:eastAsia="宋体" w:hAnsi="宋体" w:cs="Times New Roman" w:hint="eastAsia"/>
          <w:szCs w:val="21"/>
        </w:rPr>
        <w:t>充分、合</w:t>
      </w:r>
      <w:proofErr w:type="gramStart"/>
      <w:r w:rsidRPr="00251592">
        <w:rPr>
          <w:rFonts w:ascii="宋体" w:eastAsia="宋体" w:hAnsi="宋体" w:cs="Times New Roman" w:hint="eastAsia"/>
          <w:szCs w:val="21"/>
        </w:rPr>
        <w:t>规</w:t>
      </w:r>
      <w:proofErr w:type="gramEnd"/>
      <w:r w:rsidRPr="00251592">
        <w:rPr>
          <w:rFonts w:ascii="宋体" w:eastAsia="宋体" w:hAnsi="宋体" w:cs="Times New Roman"/>
          <w:szCs w:val="21"/>
        </w:rPr>
        <w:t>，不同项目各阶段收入确认比例</w:t>
      </w:r>
      <w:r w:rsidRPr="00251592">
        <w:rPr>
          <w:rFonts w:ascii="宋体" w:eastAsia="宋体" w:hAnsi="宋体" w:cs="Times New Roman" w:hint="eastAsia"/>
          <w:szCs w:val="21"/>
        </w:rPr>
        <w:t>不</w:t>
      </w:r>
      <w:r w:rsidRPr="00251592">
        <w:rPr>
          <w:rFonts w:ascii="宋体" w:eastAsia="宋体" w:hAnsi="宋体" w:cs="Times New Roman"/>
          <w:szCs w:val="21"/>
        </w:rPr>
        <w:t>存在较大差异，</w:t>
      </w:r>
      <w:r w:rsidRPr="00251592">
        <w:rPr>
          <w:rFonts w:ascii="宋体" w:eastAsia="宋体" w:hAnsi="宋体" w:cs="Times New Roman" w:hint="eastAsia"/>
          <w:szCs w:val="21"/>
        </w:rPr>
        <w:t>不</w:t>
      </w:r>
      <w:r w:rsidRPr="00251592">
        <w:rPr>
          <w:rFonts w:ascii="宋体" w:eastAsia="宋体" w:hAnsi="宋体" w:cs="Times New Roman"/>
          <w:szCs w:val="21"/>
        </w:rPr>
        <w:t>存在</w:t>
      </w:r>
      <w:r w:rsidRPr="00251592">
        <w:rPr>
          <w:rFonts w:ascii="宋体" w:eastAsia="宋体" w:hAnsi="宋体" w:cs="Times New Roman"/>
          <w:szCs w:val="21"/>
        </w:rPr>
        <w:lastRenderedPageBreak/>
        <w:t>提前确认收入的情形；</w:t>
      </w:r>
    </w:p>
    <w:p w14:paraId="1509BD46"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u w:color="000000"/>
        </w:rPr>
      </w:pPr>
      <w:r w:rsidRPr="00251592">
        <w:rPr>
          <w:rFonts w:ascii="宋体" w:eastAsia="宋体" w:hAnsi="宋体" w:cs="Times New Roman" w:hint="eastAsia"/>
          <w:szCs w:val="21"/>
        </w:rPr>
        <w:t>2、</w:t>
      </w:r>
      <w:r w:rsidRPr="00251592">
        <w:rPr>
          <w:rFonts w:ascii="宋体" w:eastAsia="宋体" w:hAnsi="宋体" w:cs="Times New Roman"/>
          <w:kern w:val="0"/>
          <w:szCs w:val="21"/>
          <w:u w:color="000000"/>
        </w:rPr>
        <w:t>发行人报告期内已签订的业务合同</w:t>
      </w:r>
      <w:proofErr w:type="gramStart"/>
      <w:r w:rsidRPr="00251592">
        <w:rPr>
          <w:rFonts w:ascii="宋体" w:eastAsia="宋体" w:hAnsi="宋体" w:cs="Times New Roman"/>
          <w:kern w:val="0"/>
          <w:szCs w:val="21"/>
          <w:u w:color="000000"/>
        </w:rPr>
        <w:t>发生改价的</w:t>
      </w:r>
      <w:proofErr w:type="gramEnd"/>
      <w:r w:rsidRPr="00251592">
        <w:rPr>
          <w:rFonts w:ascii="宋体" w:eastAsia="宋体" w:hAnsi="宋体" w:cs="Times New Roman"/>
          <w:kern w:val="0"/>
          <w:szCs w:val="21"/>
          <w:u w:color="000000"/>
        </w:rPr>
        <w:t>具体情况已列表说明</w:t>
      </w:r>
      <w:r w:rsidRPr="00251592">
        <w:rPr>
          <w:rFonts w:ascii="宋体" w:eastAsia="宋体" w:hAnsi="宋体" w:cs="Times New Roman" w:hint="eastAsia"/>
          <w:kern w:val="0"/>
          <w:szCs w:val="21"/>
          <w:u w:color="000000"/>
        </w:rPr>
        <w:t>，相关表述真实、准确；</w:t>
      </w:r>
    </w:p>
    <w:p w14:paraId="31AEE765"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3、</w:t>
      </w:r>
      <w:r w:rsidRPr="00251592">
        <w:rPr>
          <w:rFonts w:ascii="宋体" w:eastAsia="宋体" w:hAnsi="宋体" w:cs="Times New Roman"/>
          <w:szCs w:val="21"/>
        </w:rPr>
        <w:t>发行人预收客户设计费用在后续收入确认环节的具体处理</w:t>
      </w:r>
      <w:r w:rsidRPr="00251592">
        <w:rPr>
          <w:rFonts w:ascii="宋体" w:eastAsia="宋体" w:hAnsi="宋体" w:cs="Times New Roman" w:hint="eastAsia"/>
          <w:szCs w:val="21"/>
        </w:rPr>
        <w:t>符合《企业会计准则》的规定</w:t>
      </w:r>
      <w:r w:rsidRPr="00251592">
        <w:rPr>
          <w:rFonts w:ascii="宋体" w:eastAsia="宋体" w:hAnsi="宋体" w:cs="Times New Roman"/>
          <w:szCs w:val="21"/>
        </w:rPr>
        <w:t>，</w:t>
      </w:r>
      <w:r w:rsidRPr="00251592">
        <w:rPr>
          <w:rFonts w:ascii="宋体" w:eastAsia="宋体" w:hAnsi="宋体" w:cs="Times New Roman" w:hint="eastAsia"/>
          <w:szCs w:val="21"/>
        </w:rPr>
        <w:t>与</w:t>
      </w:r>
      <w:r w:rsidRPr="00251592">
        <w:rPr>
          <w:rFonts w:ascii="宋体" w:eastAsia="宋体" w:hAnsi="宋体" w:cs="Times New Roman"/>
          <w:szCs w:val="21"/>
        </w:rPr>
        <w:t>同行业可比公司相关会计处理</w:t>
      </w:r>
      <w:r w:rsidRPr="00251592">
        <w:rPr>
          <w:rFonts w:ascii="宋体" w:eastAsia="宋体" w:hAnsi="宋体" w:cs="Times New Roman" w:hint="eastAsia"/>
          <w:szCs w:val="21"/>
        </w:rPr>
        <w:t>不存在重大差异，按照其他同行业企业对预收款项的会计处理，模拟测算结果对发行人财务报表的影响整体较小；</w:t>
      </w:r>
    </w:p>
    <w:p w14:paraId="1DEFD3AD" w14:textId="77777777" w:rsidR="00C17BBD" w:rsidRPr="00251592" w:rsidRDefault="00C17BBD" w:rsidP="00C17BBD">
      <w:pPr>
        <w:snapToGrid w:val="0"/>
        <w:spacing w:beforeLines="50" w:before="156" w:afterLines="50" w:after="156" w:line="360" w:lineRule="auto"/>
        <w:ind w:firstLine="480"/>
        <w:rPr>
          <w:rFonts w:ascii="宋体" w:eastAsia="宋体" w:hAnsi="宋体" w:cs="宋体"/>
          <w:color w:val="000000"/>
          <w:kern w:val="0"/>
          <w:szCs w:val="21"/>
          <w:u w:color="000000"/>
          <w:lang w:bidi="en-US"/>
        </w:rPr>
      </w:pPr>
      <w:r w:rsidRPr="00251592">
        <w:rPr>
          <w:rFonts w:ascii="宋体" w:eastAsia="宋体" w:hAnsi="宋体" w:cs="Times New Roman" w:hint="eastAsia"/>
          <w:szCs w:val="21"/>
        </w:rPr>
        <w:t>4、</w:t>
      </w:r>
      <w:r w:rsidRPr="00251592">
        <w:rPr>
          <w:rFonts w:ascii="宋体" w:eastAsia="宋体" w:hAnsi="宋体" w:cs="Times New Roman"/>
          <w:szCs w:val="21"/>
        </w:rPr>
        <w:t>报告期内，发行人居住建筑设计业务收入、公共建筑设计业务收入波动</w:t>
      </w:r>
      <w:r w:rsidRPr="00251592">
        <w:rPr>
          <w:rFonts w:ascii="宋体" w:eastAsia="宋体" w:hAnsi="宋体" w:cs="Times New Roman" w:hint="eastAsia"/>
          <w:szCs w:val="21"/>
        </w:rPr>
        <w:t>较大</w:t>
      </w:r>
      <w:r w:rsidRPr="00251592">
        <w:rPr>
          <w:rFonts w:ascii="宋体" w:eastAsia="宋体" w:hAnsi="宋体" w:cs="Times New Roman"/>
          <w:szCs w:val="21"/>
        </w:rPr>
        <w:t>具有合理性；发行人华东地区、华南地区的业务收入、占比波动较大以及华中地区、东北地区2019年业务收入大幅上升具有合理性</w:t>
      </w:r>
      <w:r w:rsidRPr="00251592">
        <w:rPr>
          <w:rFonts w:ascii="宋体" w:eastAsia="宋体" w:hAnsi="宋体" w:cs="Times New Roman" w:hint="eastAsia"/>
          <w:szCs w:val="21"/>
        </w:rPr>
        <w:t>。发行人已完善相关回复内容，并在招股说明书中予以更新。</w:t>
      </w:r>
    </w:p>
    <w:p w14:paraId="1498605A" w14:textId="77777777" w:rsidR="00C17BBD" w:rsidRPr="00251592" w:rsidRDefault="00C17BBD" w:rsidP="00C17BBD">
      <w:pPr>
        <w:pStyle w:val="af7"/>
        <w:ind w:firstLine="420"/>
        <w:rPr>
          <w:rFonts w:ascii="宋体" w:eastAsia="宋体" w:hAnsi="宋体"/>
          <w:b w:val="0"/>
          <w:bCs w:val="0"/>
          <w:sz w:val="21"/>
          <w:szCs w:val="21"/>
        </w:rPr>
      </w:pPr>
    </w:p>
    <w:p w14:paraId="34B521A1" w14:textId="77777777" w:rsidR="00C17BBD" w:rsidRPr="00251592" w:rsidRDefault="00C17BBD" w:rsidP="00C17BBD">
      <w:pPr>
        <w:pStyle w:val="af6"/>
        <w:ind w:firstLine="422"/>
        <w:rPr>
          <w:rFonts w:ascii="宋体" w:hAnsi="宋体"/>
          <w:sz w:val="21"/>
          <w:szCs w:val="21"/>
        </w:rPr>
      </w:pPr>
      <w:bookmarkStart w:id="3" w:name="_Toc55861283"/>
      <w:r w:rsidRPr="00251592">
        <w:rPr>
          <w:rFonts w:ascii="宋体" w:hAnsi="宋体" w:hint="eastAsia"/>
          <w:sz w:val="21"/>
          <w:szCs w:val="21"/>
        </w:rPr>
        <w:t>问题</w:t>
      </w:r>
      <w:r w:rsidRPr="00251592">
        <w:rPr>
          <w:rFonts w:ascii="宋体" w:hAnsi="宋体"/>
          <w:sz w:val="21"/>
          <w:szCs w:val="21"/>
        </w:rPr>
        <w:t>6</w:t>
      </w:r>
      <w:bookmarkEnd w:id="3"/>
    </w:p>
    <w:p w14:paraId="23D7FB86"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rPr>
      </w:pPr>
      <w:r w:rsidRPr="00251592">
        <w:rPr>
          <w:rFonts w:ascii="宋体" w:eastAsia="宋体" w:hAnsi="宋体"/>
          <w:b/>
          <w:bCs/>
          <w:szCs w:val="21"/>
        </w:rPr>
        <w:t>6</w:t>
      </w:r>
      <w:r w:rsidRPr="00251592">
        <w:rPr>
          <w:rFonts w:ascii="宋体" w:eastAsia="宋体" w:hAnsi="宋体" w:hint="eastAsia"/>
          <w:b/>
          <w:bCs/>
          <w:szCs w:val="21"/>
        </w:rPr>
        <w:t>.</w:t>
      </w:r>
      <w:r w:rsidRPr="00251592">
        <w:rPr>
          <w:rFonts w:ascii="宋体" w:eastAsia="宋体" w:hAnsi="宋体"/>
          <w:b/>
          <w:bCs/>
          <w:szCs w:val="21"/>
        </w:rPr>
        <w:t xml:space="preserve"> 根据申报材料及审核问询回复，报告期各期，公司前五名客户销售占比分别为58.75%、61.06%、65.58%、69.58%，其中，</w:t>
      </w:r>
      <w:proofErr w:type="gramStart"/>
      <w:r w:rsidRPr="00251592">
        <w:rPr>
          <w:rFonts w:ascii="宋体" w:eastAsia="宋体" w:hAnsi="宋体"/>
          <w:b/>
          <w:bCs/>
          <w:szCs w:val="21"/>
        </w:rPr>
        <w:t>对保利</w:t>
      </w:r>
      <w:proofErr w:type="gramEnd"/>
      <w:r w:rsidRPr="00251592">
        <w:rPr>
          <w:rFonts w:ascii="宋体" w:eastAsia="宋体" w:hAnsi="宋体"/>
          <w:b/>
          <w:bCs/>
          <w:szCs w:val="21"/>
        </w:rPr>
        <w:t>的收入占比分别为44.97%、42.20%、46.01%和56.03%，</w:t>
      </w:r>
      <w:proofErr w:type="gramStart"/>
      <w:r w:rsidRPr="00251592">
        <w:rPr>
          <w:rFonts w:ascii="宋体" w:eastAsia="宋体" w:hAnsi="宋体"/>
          <w:b/>
          <w:bCs/>
          <w:szCs w:val="21"/>
        </w:rPr>
        <w:t>占比较</w:t>
      </w:r>
      <w:proofErr w:type="gramEnd"/>
      <w:r w:rsidRPr="00251592">
        <w:rPr>
          <w:rFonts w:ascii="宋体" w:eastAsia="宋体" w:hAnsi="宋体"/>
          <w:b/>
          <w:bCs/>
          <w:szCs w:val="21"/>
        </w:rPr>
        <w:t>高。同时，发行人认为招股说明书中关于</w:t>
      </w:r>
      <w:proofErr w:type="gramStart"/>
      <w:r w:rsidRPr="00251592">
        <w:rPr>
          <w:rFonts w:ascii="宋体" w:eastAsia="宋体" w:hAnsi="宋体"/>
          <w:b/>
          <w:bCs/>
          <w:szCs w:val="21"/>
        </w:rPr>
        <w:t>对保利</w:t>
      </w:r>
      <w:proofErr w:type="gramEnd"/>
      <w:r w:rsidRPr="00251592">
        <w:rPr>
          <w:rFonts w:ascii="宋体" w:eastAsia="宋体" w:hAnsi="宋体"/>
          <w:b/>
          <w:bCs/>
          <w:szCs w:val="21"/>
        </w:rPr>
        <w:t>不存在依赖的表述客观。请发行人：（1）结合2020年8月出</w:t>
      </w:r>
      <w:proofErr w:type="gramStart"/>
      <w:r w:rsidRPr="00251592">
        <w:rPr>
          <w:rFonts w:ascii="宋体" w:eastAsia="宋体" w:hAnsi="宋体"/>
          <w:b/>
          <w:bCs/>
          <w:szCs w:val="21"/>
        </w:rPr>
        <w:t>台对房企有息</w:t>
      </w:r>
      <w:proofErr w:type="gramEnd"/>
      <w:r w:rsidRPr="00251592">
        <w:rPr>
          <w:rFonts w:ascii="宋体" w:eastAsia="宋体" w:hAnsi="宋体"/>
          <w:b/>
          <w:bCs/>
          <w:szCs w:val="21"/>
        </w:rPr>
        <w:t>负债规模设置的“三道红线”融资新</w:t>
      </w:r>
      <w:proofErr w:type="gramStart"/>
      <w:r w:rsidRPr="00251592">
        <w:rPr>
          <w:rFonts w:ascii="宋体" w:eastAsia="宋体" w:hAnsi="宋体"/>
          <w:b/>
          <w:bCs/>
          <w:szCs w:val="21"/>
        </w:rPr>
        <w:t>规</w:t>
      </w:r>
      <w:proofErr w:type="gramEnd"/>
      <w:r w:rsidRPr="00251592">
        <w:rPr>
          <w:rFonts w:ascii="宋体" w:eastAsia="宋体" w:hAnsi="宋体"/>
          <w:b/>
          <w:bCs/>
          <w:szCs w:val="21"/>
        </w:rPr>
        <w:t>，补充披露发行人主要客户分类情况；（2）按照中国证监会《首发业务若干问题解答（2020年6月修订）》（以下简称《首发问答》）关于客户集中</w:t>
      </w:r>
      <w:proofErr w:type="gramStart"/>
      <w:r w:rsidRPr="00251592">
        <w:rPr>
          <w:rFonts w:ascii="宋体" w:eastAsia="宋体" w:hAnsi="宋体"/>
          <w:b/>
          <w:bCs/>
          <w:szCs w:val="21"/>
        </w:rPr>
        <w:t>度有关</w:t>
      </w:r>
      <w:proofErr w:type="gramEnd"/>
      <w:r w:rsidRPr="00251592">
        <w:rPr>
          <w:rFonts w:ascii="宋体" w:eastAsia="宋体" w:hAnsi="宋体"/>
          <w:b/>
          <w:bCs/>
          <w:szCs w:val="21"/>
        </w:rPr>
        <w:t>内容补充披露相关信息，并在招股说明书中充分揭示客户集中度较高可能带来的风险。</w:t>
      </w:r>
    </w:p>
    <w:p w14:paraId="2FD91BF2"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rPr>
      </w:pPr>
      <w:r w:rsidRPr="00251592">
        <w:rPr>
          <w:rFonts w:ascii="宋体" w:eastAsia="宋体" w:hAnsi="宋体"/>
          <w:b/>
          <w:bCs/>
          <w:szCs w:val="21"/>
        </w:rPr>
        <w:t>请保荐人、申报会计师、发行人律师按照中国证监会《首发问答》关于客户集中</w:t>
      </w:r>
      <w:proofErr w:type="gramStart"/>
      <w:r w:rsidRPr="00251592">
        <w:rPr>
          <w:rFonts w:ascii="宋体" w:eastAsia="宋体" w:hAnsi="宋体"/>
          <w:b/>
          <w:bCs/>
          <w:szCs w:val="21"/>
        </w:rPr>
        <w:t>度有关</w:t>
      </w:r>
      <w:proofErr w:type="gramEnd"/>
      <w:r w:rsidRPr="00251592">
        <w:rPr>
          <w:rFonts w:ascii="宋体" w:eastAsia="宋体" w:hAnsi="宋体"/>
          <w:b/>
          <w:bCs/>
          <w:szCs w:val="21"/>
        </w:rPr>
        <w:t>内容进行核查，详细说明核查情况，提供相关依据，并就发行人</w:t>
      </w:r>
      <w:proofErr w:type="gramStart"/>
      <w:r w:rsidRPr="00251592">
        <w:rPr>
          <w:rFonts w:ascii="宋体" w:eastAsia="宋体" w:hAnsi="宋体"/>
          <w:b/>
          <w:bCs/>
          <w:szCs w:val="21"/>
        </w:rPr>
        <w:t>对保利是否</w:t>
      </w:r>
      <w:proofErr w:type="gramEnd"/>
      <w:r w:rsidRPr="00251592">
        <w:rPr>
          <w:rFonts w:ascii="宋体" w:eastAsia="宋体" w:hAnsi="宋体"/>
          <w:b/>
          <w:bCs/>
          <w:szCs w:val="21"/>
        </w:rPr>
        <w:t>存在重大依赖、是否对发行条件构成重大不利影响发表明确意见。</w:t>
      </w:r>
    </w:p>
    <w:p w14:paraId="3711EBB4"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2FD722F1"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（一）</w:t>
      </w:r>
      <w:r w:rsidRPr="00251592">
        <w:rPr>
          <w:rFonts w:ascii="宋体" w:eastAsia="宋体" w:hAnsi="宋体"/>
          <w:sz w:val="21"/>
          <w:szCs w:val="21"/>
        </w:rPr>
        <w:t>结合2020年8月出</w:t>
      </w:r>
      <w:proofErr w:type="gramStart"/>
      <w:r w:rsidRPr="00251592">
        <w:rPr>
          <w:rFonts w:ascii="宋体" w:eastAsia="宋体" w:hAnsi="宋体"/>
          <w:sz w:val="21"/>
          <w:szCs w:val="21"/>
        </w:rPr>
        <w:t>台对房企有息</w:t>
      </w:r>
      <w:proofErr w:type="gramEnd"/>
      <w:r w:rsidRPr="00251592">
        <w:rPr>
          <w:rFonts w:ascii="宋体" w:eastAsia="宋体" w:hAnsi="宋体"/>
          <w:sz w:val="21"/>
          <w:szCs w:val="21"/>
        </w:rPr>
        <w:t>负债规模设置的“三道红线”融资新</w:t>
      </w:r>
      <w:proofErr w:type="gramStart"/>
      <w:r w:rsidRPr="00251592">
        <w:rPr>
          <w:rFonts w:ascii="宋体" w:eastAsia="宋体" w:hAnsi="宋体"/>
          <w:sz w:val="21"/>
          <w:szCs w:val="21"/>
        </w:rPr>
        <w:t>规</w:t>
      </w:r>
      <w:proofErr w:type="gramEnd"/>
      <w:r w:rsidRPr="00251592">
        <w:rPr>
          <w:rFonts w:ascii="宋体" w:eastAsia="宋体" w:hAnsi="宋体"/>
          <w:sz w:val="21"/>
          <w:szCs w:val="21"/>
        </w:rPr>
        <w:t>，补充披露发行人主要客户分类情况</w:t>
      </w:r>
    </w:p>
    <w:p w14:paraId="79683710" w14:textId="77777777" w:rsidR="00C17BBD" w:rsidRPr="00251592" w:rsidRDefault="00C17BBD" w:rsidP="00C17BBD">
      <w:pPr>
        <w:pStyle w:val="af7"/>
        <w:ind w:firstLine="420"/>
        <w:rPr>
          <w:rFonts w:ascii="宋体" w:eastAsia="宋体" w:hAnsi="宋体"/>
          <w:b w:val="0"/>
          <w:bCs w:val="0"/>
          <w:sz w:val="21"/>
          <w:szCs w:val="21"/>
        </w:rPr>
      </w:pPr>
      <w:bookmarkStart w:id="4" w:name="_Hlk55644361"/>
      <w:r w:rsidRPr="00251592">
        <w:rPr>
          <w:rFonts w:ascii="宋体" w:eastAsia="宋体" w:hAnsi="宋体"/>
          <w:b w:val="0"/>
          <w:bCs w:val="0"/>
          <w:sz w:val="21"/>
          <w:szCs w:val="21"/>
        </w:rPr>
        <w:t>2020年8月，监管部门出台房地产融资新</w:t>
      </w:r>
      <w:proofErr w:type="gramStart"/>
      <w:r w:rsidRPr="00251592">
        <w:rPr>
          <w:rFonts w:ascii="宋体" w:eastAsia="宋体" w:hAnsi="宋体"/>
          <w:b w:val="0"/>
          <w:bCs w:val="0"/>
          <w:sz w:val="21"/>
          <w:szCs w:val="21"/>
        </w:rPr>
        <w:t>规</w:t>
      </w:r>
      <w:proofErr w:type="gramEnd"/>
      <w:r w:rsidRPr="00251592">
        <w:rPr>
          <w:rFonts w:ascii="宋体" w:eastAsia="宋体" w:hAnsi="宋体"/>
          <w:b w:val="0"/>
          <w:bCs w:val="0"/>
          <w:sz w:val="21"/>
          <w:szCs w:val="21"/>
        </w:rPr>
        <w:t>，设置“三道红线”控制房地产企业有息债务的增长，具体来看，一是剔除预收款后的资产负债率大于70%；二是净负债率大于100%；</w:t>
      </w:r>
      <w:r w:rsidRPr="00251592">
        <w:rPr>
          <w:rFonts w:ascii="宋体" w:eastAsia="宋体" w:hAnsi="宋体"/>
          <w:b w:val="0"/>
          <w:bCs w:val="0"/>
          <w:sz w:val="21"/>
          <w:szCs w:val="21"/>
        </w:rPr>
        <w:lastRenderedPageBreak/>
        <w:t>三是现金</w:t>
      </w:r>
      <w:proofErr w:type="gramStart"/>
      <w:r w:rsidRPr="00251592">
        <w:rPr>
          <w:rFonts w:ascii="宋体" w:eastAsia="宋体" w:hAnsi="宋体"/>
          <w:b w:val="0"/>
          <w:bCs w:val="0"/>
          <w:sz w:val="21"/>
          <w:szCs w:val="21"/>
        </w:rPr>
        <w:t>短债比小于</w:t>
      </w:r>
      <w:proofErr w:type="gramEnd"/>
      <w:r w:rsidRPr="00251592">
        <w:rPr>
          <w:rFonts w:ascii="宋体" w:eastAsia="宋体" w:hAnsi="宋体"/>
          <w:b w:val="0"/>
          <w:bCs w:val="0"/>
          <w:sz w:val="21"/>
          <w:szCs w:val="21"/>
        </w:rPr>
        <w:t>1倍。根据“三道红线”触线情况不同，试点房地产企业分为“红-橙-黄-绿”四档，以有息负债规模作为融资管理的操作目标。如果“三线”均超出阈值为“红色档”，有息负债规模以2019年6月底为上限，不得增加。而有两项、一项和没有</w:t>
      </w:r>
      <w:proofErr w:type="gramStart"/>
      <w:r w:rsidRPr="00251592">
        <w:rPr>
          <w:rFonts w:ascii="宋体" w:eastAsia="宋体" w:hAnsi="宋体"/>
          <w:b w:val="0"/>
          <w:bCs w:val="0"/>
          <w:sz w:val="21"/>
          <w:szCs w:val="21"/>
        </w:rPr>
        <w:t>超出阙值的</w:t>
      </w:r>
      <w:proofErr w:type="gramEnd"/>
      <w:r w:rsidRPr="00251592">
        <w:rPr>
          <w:rFonts w:ascii="宋体" w:eastAsia="宋体" w:hAnsi="宋体"/>
          <w:b w:val="0"/>
          <w:bCs w:val="0"/>
          <w:sz w:val="21"/>
          <w:szCs w:val="21"/>
        </w:rPr>
        <w:t>公司，有息负债规模年增速分别设限为5%、10%和15%。</w:t>
      </w:r>
    </w:p>
    <w:tbl>
      <w:tblPr>
        <w:tblStyle w:val="50"/>
        <w:tblW w:w="5000" w:type="pct"/>
        <w:jc w:val="center"/>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firstRow="1" w:lastRow="0" w:firstColumn="1" w:lastColumn="0" w:noHBand="0" w:noVBand="1"/>
      </w:tblPr>
      <w:tblGrid>
        <w:gridCol w:w="1247"/>
        <w:gridCol w:w="2390"/>
        <w:gridCol w:w="4885"/>
      </w:tblGrid>
      <w:tr w:rsidR="00C17BBD" w:rsidRPr="00251592" w14:paraId="3FB44B82" w14:textId="77777777" w:rsidTr="00622023">
        <w:trPr>
          <w:trHeight w:val="397"/>
          <w:jc w:val="center"/>
        </w:trPr>
        <w:tc>
          <w:tcPr>
            <w:tcW w:w="732" w:type="pct"/>
            <w:noWrap/>
            <w:vAlign w:val="center"/>
            <w:hideMark/>
          </w:tcPr>
          <w:p w14:paraId="2E1554CE"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档</w:t>
            </w:r>
            <w:r w:rsidRPr="00251592">
              <w:rPr>
                <w:rFonts w:ascii="宋体" w:eastAsia="宋体" w:hAnsi="宋体" w:cs="Times New Roman"/>
                <w:color w:val="000000"/>
                <w:kern w:val="0"/>
                <w:sz w:val="18"/>
                <w:szCs w:val="18"/>
                <w:lang w:bidi="en-US"/>
              </w:rPr>
              <w:t xml:space="preserve"> </w:t>
            </w:r>
            <w:r w:rsidRPr="00251592">
              <w:rPr>
                <w:rFonts w:ascii="宋体" w:eastAsia="宋体" w:hAnsi="宋体" w:cs="Times New Roman"/>
                <w:color w:val="000000"/>
                <w:kern w:val="0"/>
                <w:sz w:val="18"/>
                <w:szCs w:val="18"/>
                <w:lang w:eastAsia="en-US" w:bidi="en-US"/>
              </w:rPr>
              <w:t>位</w:t>
            </w:r>
          </w:p>
        </w:tc>
        <w:tc>
          <w:tcPr>
            <w:tcW w:w="1402" w:type="pct"/>
            <w:noWrap/>
            <w:vAlign w:val="center"/>
            <w:hideMark/>
          </w:tcPr>
          <w:p w14:paraId="03632AFF"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分档依据</w:t>
            </w:r>
          </w:p>
        </w:tc>
        <w:tc>
          <w:tcPr>
            <w:tcW w:w="2866" w:type="pct"/>
            <w:noWrap/>
            <w:vAlign w:val="center"/>
            <w:hideMark/>
          </w:tcPr>
          <w:p w14:paraId="0E75290B"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有息负债规模增速阈值（同2019年6月底相比）</w:t>
            </w:r>
          </w:p>
        </w:tc>
      </w:tr>
      <w:tr w:rsidR="00C17BBD" w:rsidRPr="00251592" w14:paraId="0C9077B2" w14:textId="77777777" w:rsidTr="00622023">
        <w:trPr>
          <w:trHeight w:val="397"/>
          <w:jc w:val="center"/>
        </w:trPr>
        <w:tc>
          <w:tcPr>
            <w:tcW w:w="732" w:type="pct"/>
            <w:noWrap/>
            <w:vAlign w:val="center"/>
            <w:hideMark/>
          </w:tcPr>
          <w:p w14:paraId="02C1A321"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红色档</w:t>
            </w:r>
          </w:p>
        </w:tc>
        <w:tc>
          <w:tcPr>
            <w:tcW w:w="1402" w:type="pct"/>
            <w:noWrap/>
            <w:vAlign w:val="center"/>
          </w:tcPr>
          <w:p w14:paraId="599BE7DA"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“三线”均超出阈值</w:t>
            </w:r>
          </w:p>
        </w:tc>
        <w:tc>
          <w:tcPr>
            <w:tcW w:w="2866" w:type="pct"/>
            <w:noWrap/>
            <w:vAlign w:val="center"/>
          </w:tcPr>
          <w:p w14:paraId="4D1A7F3F"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不得增加</w:t>
            </w:r>
          </w:p>
        </w:tc>
      </w:tr>
      <w:tr w:rsidR="00C17BBD" w:rsidRPr="00251592" w14:paraId="74339D9F" w14:textId="77777777" w:rsidTr="00622023">
        <w:trPr>
          <w:trHeight w:val="397"/>
          <w:jc w:val="center"/>
        </w:trPr>
        <w:tc>
          <w:tcPr>
            <w:tcW w:w="732" w:type="pct"/>
            <w:noWrap/>
            <w:vAlign w:val="center"/>
            <w:hideMark/>
          </w:tcPr>
          <w:p w14:paraId="1D4C990B"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橙色档</w:t>
            </w:r>
          </w:p>
        </w:tc>
        <w:tc>
          <w:tcPr>
            <w:tcW w:w="1402" w:type="pct"/>
            <w:noWrap/>
            <w:vAlign w:val="center"/>
          </w:tcPr>
          <w:p w14:paraId="1E980960"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“二线”超出阈值</w:t>
            </w:r>
          </w:p>
        </w:tc>
        <w:tc>
          <w:tcPr>
            <w:tcW w:w="2866" w:type="pct"/>
            <w:noWrap/>
            <w:vAlign w:val="center"/>
          </w:tcPr>
          <w:p w14:paraId="49AC5B33"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增速不超过5%</w:t>
            </w:r>
          </w:p>
        </w:tc>
      </w:tr>
      <w:tr w:rsidR="00C17BBD" w:rsidRPr="00251592" w14:paraId="73AB6345" w14:textId="77777777" w:rsidTr="00622023">
        <w:trPr>
          <w:trHeight w:val="397"/>
          <w:jc w:val="center"/>
        </w:trPr>
        <w:tc>
          <w:tcPr>
            <w:tcW w:w="732" w:type="pct"/>
            <w:noWrap/>
            <w:vAlign w:val="center"/>
            <w:hideMark/>
          </w:tcPr>
          <w:p w14:paraId="7B32E4C1"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sz w:val="18"/>
                <w:szCs w:val="18"/>
              </w:rPr>
              <w:t>黄色档</w:t>
            </w:r>
          </w:p>
        </w:tc>
        <w:tc>
          <w:tcPr>
            <w:tcW w:w="1402" w:type="pct"/>
            <w:noWrap/>
            <w:vAlign w:val="center"/>
          </w:tcPr>
          <w:p w14:paraId="6A7EB406"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sz w:val="18"/>
                <w:szCs w:val="18"/>
              </w:rPr>
              <w:t>“一线”超出阈值</w:t>
            </w:r>
          </w:p>
        </w:tc>
        <w:tc>
          <w:tcPr>
            <w:tcW w:w="2866" w:type="pct"/>
            <w:noWrap/>
            <w:vAlign w:val="center"/>
          </w:tcPr>
          <w:p w14:paraId="19CD4A62"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sz w:val="18"/>
                <w:szCs w:val="18"/>
              </w:rPr>
              <w:t>增速不超过10%</w:t>
            </w:r>
          </w:p>
        </w:tc>
      </w:tr>
      <w:tr w:rsidR="00C17BBD" w:rsidRPr="00251592" w14:paraId="61EC339F" w14:textId="77777777" w:rsidTr="00622023">
        <w:trPr>
          <w:trHeight w:val="397"/>
          <w:jc w:val="center"/>
        </w:trPr>
        <w:tc>
          <w:tcPr>
            <w:tcW w:w="732" w:type="pct"/>
            <w:noWrap/>
            <w:vAlign w:val="center"/>
            <w:hideMark/>
          </w:tcPr>
          <w:p w14:paraId="110C4DD3"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sz w:val="18"/>
                <w:szCs w:val="18"/>
              </w:rPr>
              <w:t>绿色档</w:t>
            </w:r>
          </w:p>
        </w:tc>
        <w:tc>
          <w:tcPr>
            <w:tcW w:w="1402" w:type="pct"/>
            <w:noWrap/>
            <w:vAlign w:val="center"/>
          </w:tcPr>
          <w:p w14:paraId="20123F97"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“三线”均未超出阈值</w:t>
            </w:r>
          </w:p>
        </w:tc>
        <w:tc>
          <w:tcPr>
            <w:tcW w:w="2866" w:type="pct"/>
            <w:noWrap/>
            <w:vAlign w:val="center"/>
          </w:tcPr>
          <w:p w14:paraId="771E5693"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sz w:val="18"/>
                <w:szCs w:val="18"/>
              </w:rPr>
              <w:t>增速不超过15%</w:t>
            </w:r>
          </w:p>
        </w:tc>
      </w:tr>
    </w:tbl>
    <w:p w14:paraId="3D853C18" w14:textId="77777777" w:rsidR="00C17BBD" w:rsidRPr="00251592" w:rsidRDefault="00C17BBD"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报告期内，公司主要客户触及红线情况和所属类别情况如下：</w:t>
      </w:r>
    </w:p>
    <w:tbl>
      <w:tblPr>
        <w:tblStyle w:val="50"/>
        <w:tblW w:w="5000" w:type="pct"/>
        <w:jc w:val="center"/>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firstRow="1" w:lastRow="0" w:firstColumn="1" w:lastColumn="0" w:noHBand="0" w:noVBand="1"/>
      </w:tblPr>
      <w:tblGrid>
        <w:gridCol w:w="4224"/>
        <w:gridCol w:w="2398"/>
        <w:gridCol w:w="1900"/>
      </w:tblGrid>
      <w:tr w:rsidR="00C17BBD" w:rsidRPr="00251592" w14:paraId="59525753" w14:textId="77777777" w:rsidTr="00622023">
        <w:trPr>
          <w:trHeight w:val="397"/>
          <w:jc w:val="center"/>
        </w:trPr>
        <w:tc>
          <w:tcPr>
            <w:tcW w:w="2478" w:type="pct"/>
            <w:noWrap/>
            <w:vAlign w:val="center"/>
            <w:hideMark/>
          </w:tcPr>
          <w:p w14:paraId="3B5F3CAF" w14:textId="77777777" w:rsidR="00C17BBD" w:rsidRPr="00251592" w:rsidRDefault="00C17BBD" w:rsidP="008A2055">
            <w:pPr>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bidi="en-US"/>
              </w:rPr>
              <w:t>客户名称</w:t>
            </w:r>
          </w:p>
        </w:tc>
        <w:tc>
          <w:tcPr>
            <w:tcW w:w="1407" w:type="pct"/>
            <w:noWrap/>
            <w:vAlign w:val="center"/>
            <w:hideMark/>
          </w:tcPr>
          <w:p w14:paraId="4FA7E8DB"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触及红线数量</w:t>
            </w:r>
          </w:p>
        </w:tc>
        <w:tc>
          <w:tcPr>
            <w:tcW w:w="1115" w:type="pct"/>
            <w:vAlign w:val="center"/>
          </w:tcPr>
          <w:p w14:paraId="779CE6E2"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所属类别</w:t>
            </w:r>
          </w:p>
        </w:tc>
      </w:tr>
      <w:tr w:rsidR="00C17BBD" w:rsidRPr="00251592" w14:paraId="7A52DD42" w14:textId="77777777" w:rsidTr="00622023">
        <w:trPr>
          <w:trHeight w:val="397"/>
          <w:jc w:val="center"/>
        </w:trPr>
        <w:tc>
          <w:tcPr>
            <w:tcW w:w="2478" w:type="pct"/>
            <w:noWrap/>
            <w:vAlign w:val="center"/>
            <w:hideMark/>
          </w:tcPr>
          <w:p w14:paraId="46ECE24B"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保利地产</w:t>
            </w:r>
          </w:p>
        </w:tc>
        <w:tc>
          <w:tcPr>
            <w:tcW w:w="1407" w:type="pct"/>
            <w:noWrap/>
            <w:vAlign w:val="center"/>
          </w:tcPr>
          <w:p w14:paraId="08B23A9B"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0</w:t>
            </w:r>
          </w:p>
        </w:tc>
        <w:tc>
          <w:tcPr>
            <w:tcW w:w="1115" w:type="pct"/>
            <w:vAlign w:val="center"/>
          </w:tcPr>
          <w:p w14:paraId="387EFA3E"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绿色档</w:t>
            </w:r>
          </w:p>
        </w:tc>
      </w:tr>
      <w:tr w:rsidR="00C17BBD" w:rsidRPr="00251592" w14:paraId="531B710D" w14:textId="77777777" w:rsidTr="00622023">
        <w:trPr>
          <w:trHeight w:val="397"/>
          <w:jc w:val="center"/>
        </w:trPr>
        <w:tc>
          <w:tcPr>
            <w:tcW w:w="2478" w:type="pct"/>
            <w:noWrap/>
            <w:vAlign w:val="center"/>
            <w:hideMark/>
          </w:tcPr>
          <w:p w14:paraId="57FF2AC8"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绿地集团</w:t>
            </w:r>
          </w:p>
        </w:tc>
        <w:tc>
          <w:tcPr>
            <w:tcW w:w="1407" w:type="pct"/>
            <w:noWrap/>
            <w:vAlign w:val="center"/>
          </w:tcPr>
          <w:p w14:paraId="73191398"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3</w:t>
            </w:r>
          </w:p>
        </w:tc>
        <w:tc>
          <w:tcPr>
            <w:tcW w:w="1115" w:type="pct"/>
            <w:vAlign w:val="center"/>
          </w:tcPr>
          <w:p w14:paraId="24119F5D"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红色档</w:t>
            </w:r>
          </w:p>
        </w:tc>
      </w:tr>
      <w:tr w:rsidR="00C17BBD" w:rsidRPr="00251592" w14:paraId="6C30E588" w14:textId="77777777" w:rsidTr="00622023">
        <w:trPr>
          <w:trHeight w:val="397"/>
          <w:jc w:val="center"/>
        </w:trPr>
        <w:tc>
          <w:tcPr>
            <w:tcW w:w="2478" w:type="pct"/>
            <w:noWrap/>
            <w:vAlign w:val="center"/>
            <w:hideMark/>
          </w:tcPr>
          <w:p w14:paraId="5ECCD763"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阳光城集团股份有限公司</w:t>
            </w:r>
          </w:p>
        </w:tc>
        <w:tc>
          <w:tcPr>
            <w:tcW w:w="1407" w:type="pct"/>
            <w:noWrap/>
            <w:vAlign w:val="center"/>
          </w:tcPr>
          <w:p w14:paraId="736FDEBB"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w:t>
            </w:r>
          </w:p>
        </w:tc>
        <w:tc>
          <w:tcPr>
            <w:tcW w:w="1115" w:type="pct"/>
            <w:vAlign w:val="center"/>
          </w:tcPr>
          <w:p w14:paraId="25C0B01C"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橙色档</w:t>
            </w:r>
          </w:p>
        </w:tc>
      </w:tr>
      <w:tr w:rsidR="00C17BBD" w:rsidRPr="00251592" w14:paraId="0BA7B33C" w14:textId="77777777" w:rsidTr="00622023">
        <w:trPr>
          <w:trHeight w:val="397"/>
          <w:jc w:val="center"/>
        </w:trPr>
        <w:tc>
          <w:tcPr>
            <w:tcW w:w="2478" w:type="pct"/>
            <w:noWrap/>
            <w:vAlign w:val="center"/>
            <w:hideMark/>
          </w:tcPr>
          <w:p w14:paraId="2AE27790"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sz w:val="18"/>
                <w:szCs w:val="18"/>
              </w:rPr>
              <w:t>北京北辰实业股份有限公司</w:t>
            </w:r>
          </w:p>
        </w:tc>
        <w:tc>
          <w:tcPr>
            <w:tcW w:w="1407" w:type="pct"/>
            <w:noWrap/>
            <w:vAlign w:val="center"/>
          </w:tcPr>
          <w:p w14:paraId="4D118B2E" w14:textId="77777777" w:rsidR="00C17BBD" w:rsidRPr="00251592" w:rsidRDefault="00C17BBD" w:rsidP="008A2055">
            <w:pPr>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w:t>
            </w:r>
          </w:p>
        </w:tc>
        <w:tc>
          <w:tcPr>
            <w:tcW w:w="1115" w:type="pct"/>
            <w:vAlign w:val="center"/>
          </w:tcPr>
          <w:p w14:paraId="35154292"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橙色档</w:t>
            </w:r>
          </w:p>
        </w:tc>
      </w:tr>
      <w:tr w:rsidR="00C17BBD" w:rsidRPr="00251592" w14:paraId="30D2FF46" w14:textId="77777777" w:rsidTr="00622023">
        <w:trPr>
          <w:trHeight w:val="397"/>
          <w:jc w:val="center"/>
        </w:trPr>
        <w:tc>
          <w:tcPr>
            <w:tcW w:w="2478" w:type="pct"/>
            <w:noWrap/>
            <w:vAlign w:val="center"/>
          </w:tcPr>
          <w:p w14:paraId="3B93B042" w14:textId="77777777" w:rsidR="00C17BBD" w:rsidRPr="00251592" w:rsidRDefault="00C17BBD" w:rsidP="008A2055">
            <w:pPr>
              <w:jc w:val="center"/>
              <w:rPr>
                <w:rFonts w:ascii="宋体" w:eastAsia="宋体" w:hAnsi="宋体" w:cs="Times New Roman"/>
                <w:sz w:val="18"/>
                <w:szCs w:val="18"/>
              </w:rPr>
            </w:pPr>
            <w:proofErr w:type="gramStart"/>
            <w:r w:rsidRPr="00251592">
              <w:rPr>
                <w:rFonts w:ascii="宋体" w:eastAsia="宋体" w:hAnsi="宋体" w:cs="Times New Roman"/>
                <w:sz w:val="18"/>
                <w:szCs w:val="18"/>
              </w:rPr>
              <w:t>世</w:t>
            </w:r>
            <w:proofErr w:type="gramEnd"/>
            <w:r w:rsidRPr="00251592">
              <w:rPr>
                <w:rFonts w:ascii="宋体" w:eastAsia="宋体" w:hAnsi="宋体" w:cs="Times New Roman"/>
                <w:sz w:val="18"/>
                <w:szCs w:val="18"/>
              </w:rPr>
              <w:t>茂房地产控股有限公司</w:t>
            </w:r>
          </w:p>
        </w:tc>
        <w:tc>
          <w:tcPr>
            <w:tcW w:w="1407" w:type="pct"/>
            <w:noWrap/>
            <w:vAlign w:val="center"/>
          </w:tcPr>
          <w:p w14:paraId="2BDD94F1"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0</w:t>
            </w:r>
          </w:p>
        </w:tc>
        <w:tc>
          <w:tcPr>
            <w:tcW w:w="1115" w:type="pct"/>
            <w:vAlign w:val="center"/>
          </w:tcPr>
          <w:p w14:paraId="6EA7A788"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绿色挡</w:t>
            </w:r>
          </w:p>
        </w:tc>
      </w:tr>
      <w:tr w:rsidR="00C17BBD" w:rsidRPr="00251592" w14:paraId="4FAAEE94" w14:textId="77777777" w:rsidTr="00622023">
        <w:trPr>
          <w:trHeight w:val="397"/>
          <w:jc w:val="center"/>
        </w:trPr>
        <w:tc>
          <w:tcPr>
            <w:tcW w:w="2478" w:type="pct"/>
            <w:noWrap/>
            <w:vAlign w:val="center"/>
          </w:tcPr>
          <w:p w14:paraId="2997E571" w14:textId="77777777" w:rsidR="00C17BBD" w:rsidRPr="00251592" w:rsidRDefault="00C17BBD" w:rsidP="008A2055">
            <w:pPr>
              <w:jc w:val="center"/>
              <w:rPr>
                <w:rFonts w:ascii="宋体" w:eastAsia="宋体" w:hAnsi="宋体" w:cs="Times New Roman"/>
                <w:sz w:val="18"/>
                <w:szCs w:val="18"/>
              </w:rPr>
            </w:pPr>
            <w:proofErr w:type="gramStart"/>
            <w:r w:rsidRPr="00251592">
              <w:rPr>
                <w:rFonts w:ascii="宋体" w:eastAsia="宋体" w:hAnsi="宋体" w:cs="Times New Roman"/>
                <w:sz w:val="18"/>
                <w:szCs w:val="18"/>
              </w:rPr>
              <w:t>中国奥园集团</w:t>
            </w:r>
            <w:proofErr w:type="gramEnd"/>
            <w:r w:rsidRPr="00251592">
              <w:rPr>
                <w:rFonts w:ascii="宋体" w:eastAsia="宋体" w:hAnsi="宋体" w:cs="Times New Roman"/>
                <w:sz w:val="18"/>
                <w:szCs w:val="18"/>
              </w:rPr>
              <w:t>股份有限公司</w:t>
            </w:r>
          </w:p>
        </w:tc>
        <w:tc>
          <w:tcPr>
            <w:tcW w:w="1407" w:type="pct"/>
            <w:noWrap/>
            <w:vAlign w:val="center"/>
          </w:tcPr>
          <w:p w14:paraId="4349DEB1"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1</w:t>
            </w:r>
          </w:p>
        </w:tc>
        <w:tc>
          <w:tcPr>
            <w:tcW w:w="1115" w:type="pct"/>
            <w:vAlign w:val="center"/>
          </w:tcPr>
          <w:p w14:paraId="03F10073"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黄色档</w:t>
            </w:r>
          </w:p>
        </w:tc>
      </w:tr>
      <w:tr w:rsidR="00C17BBD" w:rsidRPr="00251592" w14:paraId="561D3784" w14:textId="77777777" w:rsidTr="00622023">
        <w:trPr>
          <w:trHeight w:val="397"/>
          <w:jc w:val="center"/>
        </w:trPr>
        <w:tc>
          <w:tcPr>
            <w:tcW w:w="2478" w:type="pct"/>
            <w:noWrap/>
            <w:vAlign w:val="center"/>
          </w:tcPr>
          <w:p w14:paraId="6B8F8372"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金科地产集团股份有限公司</w:t>
            </w:r>
          </w:p>
        </w:tc>
        <w:tc>
          <w:tcPr>
            <w:tcW w:w="1407" w:type="pct"/>
            <w:noWrap/>
            <w:vAlign w:val="center"/>
          </w:tcPr>
          <w:p w14:paraId="7BB2AAE4"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3</w:t>
            </w:r>
          </w:p>
        </w:tc>
        <w:tc>
          <w:tcPr>
            <w:tcW w:w="1115" w:type="pct"/>
            <w:vAlign w:val="center"/>
          </w:tcPr>
          <w:p w14:paraId="1052DE0C"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红色档</w:t>
            </w:r>
          </w:p>
        </w:tc>
      </w:tr>
    </w:tbl>
    <w:p w14:paraId="39E7B5E5" w14:textId="77777777" w:rsidR="00C17BBD" w:rsidRPr="00251592" w:rsidRDefault="00C17BBD" w:rsidP="00C17BBD">
      <w:pPr>
        <w:pStyle w:val="af7"/>
        <w:spacing w:beforeLines="0" w:line="240" w:lineRule="auto"/>
        <w:ind w:firstLine="420"/>
        <w:rPr>
          <w:rFonts w:ascii="宋体" w:eastAsia="宋体" w:hAnsi="宋体"/>
          <w:b w:val="0"/>
          <w:bCs w:val="0"/>
          <w:sz w:val="21"/>
          <w:szCs w:val="21"/>
        </w:rPr>
      </w:pPr>
      <w:r w:rsidRPr="00251592">
        <w:rPr>
          <w:rFonts w:ascii="宋体" w:eastAsia="宋体" w:hAnsi="宋体"/>
          <w:b w:val="0"/>
          <w:bCs w:val="0"/>
          <w:sz w:val="21"/>
          <w:szCs w:val="21"/>
        </w:rPr>
        <w:t>注：数据来源于国泰君安研究所。</w:t>
      </w:r>
    </w:p>
    <w:p w14:paraId="0939DE19" w14:textId="77777777" w:rsidR="00C17BBD" w:rsidRPr="00251592" w:rsidRDefault="00C17BBD" w:rsidP="00C17BBD">
      <w:pPr>
        <w:pStyle w:val="af7"/>
        <w:ind w:firstLine="420"/>
        <w:rPr>
          <w:rFonts w:ascii="宋体" w:eastAsia="宋体" w:hAnsi="宋体"/>
          <w:b w:val="0"/>
          <w:bCs w:val="0"/>
          <w:sz w:val="21"/>
          <w:szCs w:val="21"/>
        </w:rPr>
      </w:pPr>
      <w:r w:rsidRPr="00251592">
        <w:rPr>
          <w:rFonts w:ascii="宋体" w:eastAsia="宋体" w:hAnsi="宋体"/>
          <w:b w:val="0"/>
          <w:bCs w:val="0"/>
          <w:sz w:val="21"/>
          <w:szCs w:val="21"/>
        </w:rPr>
        <w:t>由上表可见，公司的主要客户保利、</w:t>
      </w:r>
      <w:proofErr w:type="gramStart"/>
      <w:r w:rsidRPr="00251592">
        <w:rPr>
          <w:rFonts w:ascii="宋体" w:eastAsia="宋体" w:hAnsi="宋体"/>
          <w:b w:val="0"/>
          <w:bCs w:val="0"/>
          <w:sz w:val="21"/>
          <w:szCs w:val="21"/>
        </w:rPr>
        <w:t>世</w:t>
      </w:r>
      <w:proofErr w:type="gramEnd"/>
      <w:r w:rsidRPr="00251592">
        <w:rPr>
          <w:rFonts w:ascii="宋体" w:eastAsia="宋体" w:hAnsi="宋体"/>
          <w:b w:val="0"/>
          <w:bCs w:val="0"/>
          <w:sz w:val="21"/>
          <w:szCs w:val="21"/>
        </w:rPr>
        <w:t>茂归入绿色档，未触及红线，整体经营情况较好。其他客户根据触及红线数量的不同，相应被归入黄、橙、红三档。</w:t>
      </w:r>
    </w:p>
    <w:bookmarkEnd w:id="4"/>
    <w:p w14:paraId="0C0A18A3"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（二）按照中国证监会《首发业务若干问题解答（2020年6月修订）》（以下简称《首发问答》）关于客户集中</w:t>
      </w:r>
      <w:proofErr w:type="gramStart"/>
      <w:r w:rsidRPr="00251592">
        <w:rPr>
          <w:rFonts w:ascii="宋体" w:eastAsia="宋体" w:hAnsi="宋体" w:hint="eastAsia"/>
          <w:sz w:val="21"/>
          <w:szCs w:val="21"/>
        </w:rPr>
        <w:t>度有关</w:t>
      </w:r>
      <w:proofErr w:type="gramEnd"/>
      <w:r w:rsidRPr="00251592">
        <w:rPr>
          <w:rFonts w:ascii="宋体" w:eastAsia="宋体" w:hAnsi="宋体" w:hint="eastAsia"/>
          <w:sz w:val="21"/>
          <w:szCs w:val="21"/>
        </w:rPr>
        <w:t>内容补充披露相关信息，并在招股说明书中充分揭示客户集中度较高可能带来的风险</w:t>
      </w:r>
    </w:p>
    <w:p w14:paraId="7A5FD77D" w14:textId="77777777" w:rsidR="00C17BBD" w:rsidRPr="00251592" w:rsidRDefault="00C17BBD" w:rsidP="00C17BBD">
      <w:pPr>
        <w:spacing w:beforeLines="50" w:before="156" w:line="360" w:lineRule="auto"/>
        <w:ind w:firstLineChars="200" w:firstLine="420"/>
        <w:jc w:val="left"/>
        <w:rPr>
          <w:rFonts w:ascii="宋体" w:eastAsia="宋体" w:hAnsi="宋体" w:cs="Times New Roman"/>
          <w:color w:val="000000"/>
          <w:kern w:val="0"/>
          <w:szCs w:val="21"/>
          <w:lang w:bidi="en-US"/>
        </w:rPr>
      </w:pPr>
      <w:r w:rsidRPr="00251592">
        <w:rPr>
          <w:rFonts w:ascii="宋体" w:eastAsia="宋体" w:hAnsi="宋体" w:cs="Times New Roman" w:hint="eastAsia"/>
          <w:color w:val="000000"/>
          <w:kern w:val="0"/>
          <w:szCs w:val="21"/>
          <w:lang w:bidi="en-US"/>
        </w:rPr>
        <w:t>1、按照中国证监会《首发业务若干问题解答（</w:t>
      </w:r>
      <w:r w:rsidRPr="00251592">
        <w:rPr>
          <w:rFonts w:ascii="宋体" w:eastAsia="宋体" w:hAnsi="宋体" w:cs="Times New Roman"/>
          <w:color w:val="000000"/>
          <w:kern w:val="0"/>
          <w:szCs w:val="21"/>
          <w:lang w:bidi="en-US"/>
        </w:rPr>
        <w:t>2020年6月修订）》（以下简称《首发问答》）关于客户集中</w:t>
      </w:r>
      <w:proofErr w:type="gramStart"/>
      <w:r w:rsidRPr="00251592">
        <w:rPr>
          <w:rFonts w:ascii="宋体" w:eastAsia="宋体" w:hAnsi="宋体" w:cs="Times New Roman"/>
          <w:color w:val="000000"/>
          <w:kern w:val="0"/>
          <w:szCs w:val="21"/>
          <w:lang w:bidi="en-US"/>
        </w:rPr>
        <w:t>度有关</w:t>
      </w:r>
      <w:proofErr w:type="gramEnd"/>
      <w:r w:rsidRPr="00251592">
        <w:rPr>
          <w:rFonts w:ascii="宋体" w:eastAsia="宋体" w:hAnsi="宋体" w:cs="Times New Roman"/>
          <w:color w:val="000000"/>
          <w:kern w:val="0"/>
          <w:szCs w:val="21"/>
          <w:lang w:bidi="en-US"/>
        </w:rPr>
        <w:t>内容补充披露相关信息</w:t>
      </w:r>
    </w:p>
    <w:p w14:paraId="6AB8BEBE" w14:textId="5EE51280" w:rsidR="00C17BBD" w:rsidRPr="00251592" w:rsidRDefault="00C17BBD" w:rsidP="00C17BBD">
      <w:pPr>
        <w:spacing w:before="120" w:after="120"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公司客户集中度高、特别是第一大客户保利</w:t>
      </w:r>
      <w:proofErr w:type="gramStart"/>
      <w:r w:rsidRPr="00251592">
        <w:rPr>
          <w:rFonts w:ascii="宋体" w:eastAsia="宋体" w:hAnsi="宋体" w:cs="Times New Roman"/>
          <w:color w:val="000000"/>
          <w:kern w:val="0"/>
          <w:szCs w:val="21"/>
          <w:u w:color="000000"/>
          <w:lang w:bidi="en-US"/>
        </w:rPr>
        <w:t>占比较</w:t>
      </w:r>
      <w:proofErr w:type="gramEnd"/>
      <w:r w:rsidRPr="00251592">
        <w:rPr>
          <w:rFonts w:ascii="宋体" w:eastAsia="宋体" w:hAnsi="宋体" w:cs="Times New Roman"/>
          <w:color w:val="000000"/>
          <w:kern w:val="0"/>
          <w:szCs w:val="21"/>
          <w:u w:color="000000"/>
          <w:lang w:bidi="en-US"/>
        </w:rPr>
        <w:t>高，其原因及合理性，是否构成重大不利影响</w:t>
      </w:r>
    </w:p>
    <w:p w14:paraId="4C7A7B8E" w14:textId="77777777" w:rsidR="00C17BBD" w:rsidRPr="00251592" w:rsidRDefault="00C17BBD" w:rsidP="00C17BBD">
      <w:pPr>
        <w:spacing w:before="120" w:after="120"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lastRenderedPageBreak/>
        <w:t>报告期各期，公司前五名客户销售占比分别为61.06%、65.58%、</w:t>
      </w:r>
      <w:r w:rsidRPr="00251592">
        <w:rPr>
          <w:rFonts w:ascii="宋体" w:eastAsia="宋体" w:hAnsi="宋体" w:cs="Times New Roman" w:hint="eastAsia"/>
          <w:color w:val="000000"/>
          <w:kern w:val="0"/>
          <w:szCs w:val="21"/>
          <w:u w:color="000000"/>
          <w:lang w:bidi="en-US"/>
        </w:rPr>
        <w:t>62.49%</w:t>
      </w:r>
      <w:r w:rsidRPr="00251592">
        <w:rPr>
          <w:rFonts w:ascii="宋体" w:eastAsia="宋体" w:hAnsi="宋体" w:cs="Times New Roman"/>
          <w:color w:val="000000"/>
          <w:kern w:val="0"/>
          <w:szCs w:val="21"/>
          <w:u w:color="000000"/>
          <w:lang w:bidi="en-US"/>
        </w:rPr>
        <w:t>，其中，</w:t>
      </w:r>
      <w:proofErr w:type="gramStart"/>
      <w:r w:rsidRPr="00251592">
        <w:rPr>
          <w:rFonts w:ascii="宋体" w:eastAsia="宋体" w:hAnsi="宋体" w:cs="Times New Roman"/>
          <w:color w:val="000000"/>
          <w:kern w:val="0"/>
          <w:szCs w:val="21"/>
          <w:u w:color="000000"/>
          <w:lang w:bidi="en-US"/>
        </w:rPr>
        <w:t>对保利</w:t>
      </w:r>
      <w:proofErr w:type="gramEnd"/>
      <w:r w:rsidRPr="00251592">
        <w:rPr>
          <w:rFonts w:ascii="宋体" w:eastAsia="宋体" w:hAnsi="宋体" w:cs="Times New Roman"/>
          <w:color w:val="000000"/>
          <w:kern w:val="0"/>
          <w:szCs w:val="21"/>
          <w:u w:color="000000"/>
          <w:lang w:bidi="en-US"/>
        </w:rPr>
        <w:t>的收入占比分别为42.20%、46.01%</w:t>
      </w:r>
      <w:r w:rsidRPr="00251592">
        <w:rPr>
          <w:rFonts w:ascii="宋体" w:eastAsia="宋体" w:hAnsi="宋体" w:cs="Times New Roman" w:hint="eastAsia"/>
          <w:color w:val="000000"/>
          <w:kern w:val="0"/>
          <w:szCs w:val="21"/>
          <w:u w:color="000000"/>
          <w:lang w:bidi="en-US"/>
        </w:rPr>
        <w:t>、</w:t>
      </w:r>
      <w:r w:rsidRPr="00251592">
        <w:rPr>
          <w:rFonts w:ascii="宋体" w:eastAsia="宋体" w:hAnsi="宋体" w:cs="Times New Roman"/>
          <w:color w:val="000000"/>
          <w:kern w:val="0"/>
          <w:szCs w:val="21"/>
          <w:u w:color="000000"/>
          <w:lang w:bidi="en-US"/>
        </w:rPr>
        <w:t>51.95%，</w:t>
      </w:r>
      <w:proofErr w:type="gramStart"/>
      <w:r w:rsidRPr="00251592">
        <w:rPr>
          <w:rFonts w:ascii="宋体" w:eastAsia="宋体" w:hAnsi="宋体" w:cs="Times New Roman"/>
          <w:color w:val="000000"/>
          <w:kern w:val="0"/>
          <w:szCs w:val="21"/>
          <w:u w:color="000000"/>
          <w:lang w:bidi="en-US"/>
        </w:rPr>
        <w:t>占比较</w:t>
      </w:r>
      <w:proofErr w:type="gramEnd"/>
      <w:r w:rsidRPr="00251592">
        <w:rPr>
          <w:rFonts w:ascii="宋体" w:eastAsia="宋体" w:hAnsi="宋体" w:cs="Times New Roman"/>
          <w:color w:val="000000"/>
          <w:kern w:val="0"/>
          <w:szCs w:val="21"/>
          <w:u w:color="000000"/>
          <w:lang w:bidi="en-US"/>
        </w:rPr>
        <w:t>高，存在一定程度的依赖，但不构成重大不利影响，不存在影响公司持续盈利能力的重大不利情形，主要分析如下：</w:t>
      </w:r>
    </w:p>
    <w:p w14:paraId="11E2CC15" w14:textId="77777777" w:rsidR="00C17BBD" w:rsidRPr="00251592" w:rsidRDefault="00C17BBD" w:rsidP="00C17BBD">
      <w:pPr>
        <w:spacing w:before="120" w:after="120"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（1）公司的业务收入呈现出前五名客户集中度高、特别是第一大客户保利占比高的情形，符合公司所在的建筑方案设计领域的行业惯例</w:t>
      </w:r>
    </w:p>
    <w:p w14:paraId="44BBFEC5"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宋体" w:hint="eastAsia"/>
          <w:color w:val="000000"/>
          <w:kern w:val="0"/>
          <w:szCs w:val="21"/>
          <w:u w:color="000000"/>
          <w:lang w:bidi="en-US"/>
        </w:rPr>
        <w:t>①</w:t>
      </w:r>
      <w:r w:rsidRPr="00251592">
        <w:rPr>
          <w:rFonts w:ascii="宋体" w:eastAsia="宋体" w:hAnsi="宋体" w:cs="Times New Roman"/>
          <w:color w:val="000000"/>
          <w:kern w:val="0"/>
          <w:szCs w:val="21"/>
          <w:u w:color="000000"/>
          <w:lang w:bidi="en-US"/>
        </w:rPr>
        <w:t xml:space="preserve"> 与全国性品牌地产企业深度合作、跨区域发展，并随之形成较高客户集中度，是建筑方案设计领域的行业惯例</w:t>
      </w:r>
    </w:p>
    <w:p w14:paraId="7B29ADCB"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公司以建筑方案设计为业务核心，建筑方案设计居于建筑设计整个过程的前端，对建筑设计过程起到牵头引领作用，也是创意、创新、创造性最强的环节。建筑方案设计的成果直接决定了房地产开发商所开发产品的业态定位、创意风格、经济价值。</w:t>
      </w:r>
    </w:p>
    <w:p w14:paraId="08FD49F9"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房地产开发商为了提升运营效率，追求“高周转、高效率”的开发模式，即以标准化、体系化的多个产品系列，在不同城市的不同项目上进行标准化连锁、复制开发，进而降低开发管理难度和成本费用，有利于缩短项目开发周期，提高开发效率，最终提高项目的投资回报率。这使得房地产开发商在遴选建筑方案设计单位时，对于已建立起长期信任合作关系且熟悉其产品定位、项目风格、开发流程、经济价值预期的建筑方案公司，具有很强的采购黏性，该类建筑方案公司能够为房地产开发商精准、高效的提供设计服务，帮助其节约时间与成本，提升运营效率。</w:t>
      </w:r>
    </w:p>
    <w:p w14:paraId="780B876E"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宋体" w:hint="eastAsia"/>
          <w:color w:val="000000"/>
          <w:kern w:val="0"/>
          <w:szCs w:val="21"/>
          <w:u w:color="000000"/>
          <w:lang w:bidi="en-US"/>
        </w:rPr>
        <w:t>②</w:t>
      </w:r>
      <w:r w:rsidRPr="00251592">
        <w:rPr>
          <w:rFonts w:ascii="宋体" w:eastAsia="宋体" w:hAnsi="宋体" w:cs="Times New Roman"/>
          <w:color w:val="000000"/>
          <w:kern w:val="0"/>
          <w:szCs w:val="21"/>
          <w:u w:color="000000"/>
          <w:lang w:bidi="en-US"/>
        </w:rPr>
        <w:t xml:space="preserve"> 公司作为国内知名的建筑方案公司，与保利等国内一线地产开发商建立了深度合作关系，并随之形成较高客户集中度，符合行业惯例</w:t>
      </w:r>
    </w:p>
    <w:p w14:paraId="6D578D15"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公司作为国内知名的建筑方案公司，经过多年经营积累，与国内主要一线开发商尤其是保利，已建立了长期持久的合作关系，对主流开发商的产品运营特征、产品特点、开发习惯、市场定位、建筑风格等有着非常深刻的理解。尤其对于保利，公司已为其打造、提炼出了众多标准化的设计产品，例如保利“大国璟”系、“时光印象”系等，得到保利与市场的一致认可，并多次获得业界设计奖项。这使得公司的设计团队能够为保利等开发商提供精准、高效的设计服务，最大限度的满足开发商对开发周期、服务效率等方面的诉求。</w:t>
      </w:r>
    </w:p>
    <w:p w14:paraId="52CC3DDD"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与此同时，公司目前整体业务规模相对较小，出于业务战略选择，在人员产能有限的前提下，优先保障既有优质客户的项目投入，保利作为全国一流</w:t>
      </w:r>
      <w:proofErr w:type="gramStart"/>
      <w:r w:rsidRPr="00251592">
        <w:rPr>
          <w:rFonts w:ascii="宋体" w:eastAsia="宋体" w:hAnsi="宋体" w:cs="Times New Roman"/>
          <w:color w:val="000000"/>
          <w:kern w:val="0"/>
          <w:szCs w:val="21"/>
          <w:u w:color="000000"/>
          <w:lang w:bidi="en-US"/>
        </w:rPr>
        <w:t>的央企</w:t>
      </w:r>
      <w:proofErr w:type="gramEnd"/>
      <w:r w:rsidRPr="00251592">
        <w:rPr>
          <w:rFonts w:ascii="宋体" w:eastAsia="宋体" w:hAnsi="宋体" w:cs="Times New Roman"/>
          <w:color w:val="000000"/>
          <w:kern w:val="0"/>
          <w:szCs w:val="21"/>
          <w:u w:color="000000"/>
          <w:lang w:bidi="en-US"/>
        </w:rPr>
        <w:t>开发商，是公司的战略</w:t>
      </w:r>
      <w:r w:rsidRPr="00251592">
        <w:rPr>
          <w:rFonts w:ascii="宋体" w:eastAsia="宋体" w:hAnsi="宋体" w:cs="Times New Roman"/>
          <w:color w:val="000000"/>
          <w:kern w:val="0"/>
          <w:szCs w:val="21"/>
          <w:u w:color="000000"/>
          <w:lang w:bidi="en-US"/>
        </w:rPr>
        <w:lastRenderedPageBreak/>
        <w:t>服务客户，其业务订单也较为丰富，因而同等条件下，公司优先保障保利的设计服务。上述因素共同引致报告期内公司客户集中度高、特别是第一大客户</w:t>
      </w:r>
      <w:proofErr w:type="gramStart"/>
      <w:r w:rsidRPr="00251592">
        <w:rPr>
          <w:rFonts w:ascii="宋体" w:eastAsia="宋体" w:hAnsi="宋体" w:cs="Times New Roman"/>
          <w:color w:val="000000"/>
          <w:kern w:val="0"/>
          <w:szCs w:val="21"/>
          <w:u w:color="000000"/>
          <w:lang w:bidi="en-US"/>
        </w:rPr>
        <w:t>占比较</w:t>
      </w:r>
      <w:proofErr w:type="gramEnd"/>
      <w:r w:rsidRPr="00251592">
        <w:rPr>
          <w:rFonts w:ascii="宋体" w:eastAsia="宋体" w:hAnsi="宋体" w:cs="Times New Roman"/>
          <w:color w:val="000000"/>
          <w:kern w:val="0"/>
          <w:szCs w:val="21"/>
          <w:u w:color="000000"/>
          <w:lang w:bidi="en-US"/>
        </w:rPr>
        <w:t>高。</w:t>
      </w:r>
    </w:p>
    <w:p w14:paraId="006E1C09"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创业板在审企业尤安设计，业务侧重于建筑方案设计，与公司业务相近，2016年至2020年1-6月，营业收入分别为3.87亿元、4.86亿元、7.30亿元、8.54亿元、4.08亿元，前五大客户销售占比分别为74.82%、59.58%、54.29%、53.72%、55.26%，其中第一大客户绿地的占比分别为60.25%、41.97%、38.73%、38.44%、39.29%，整体客户集中度、特别是第一大客户占比均较高。2016年，尤安设计收入规模与公司接近，其第一大客户占比达60.25%，后续年度随着收入规模的迅速提升，使得第一大客户占比有所下降。</w:t>
      </w:r>
    </w:p>
    <w:p w14:paraId="1B362318"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（2）公司主要通过招投标的方式获取业务项目，具备独立面向市场获取业务的能力，公司与保利的交易是双方基于市场化原则相互选择的结果</w:t>
      </w:r>
    </w:p>
    <w:p w14:paraId="06ED0E70"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1）公司与保利是一种相互选择、互利共赢的战略合作关系。</w:t>
      </w:r>
    </w:p>
    <w:p w14:paraId="4F4F9EF0"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房地产开发商为了提升运营效率，追求“高周转、高效率”的开发模式，即以标准化、体系化的多个产品系列，在不同城市的不同项目上进行标准化连锁、复制开发，进而降低开发管理难度和成本费用。这使得房地产开发商在遴选建筑方案设计单位时，对于已建立起长期信任合作关系且熟悉其产品定位、项目风格、开发流程、经济价值预期的建筑方案公司，具有很强的采购黏性。</w:t>
      </w:r>
    </w:p>
    <w:p w14:paraId="3C9140E1"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公司自成立之初即与保利接洽并建立起稳定的合作关系，一直处在保利的设计服务供应商名录之中，至今已与保利保持了10多年的良好合作关系。经过多年合作，公司</w:t>
      </w:r>
      <w:proofErr w:type="gramStart"/>
      <w:r w:rsidRPr="00251592">
        <w:rPr>
          <w:rFonts w:ascii="宋体" w:eastAsia="宋体" w:hAnsi="宋体" w:cs="Times New Roman"/>
          <w:color w:val="000000"/>
          <w:kern w:val="0"/>
          <w:szCs w:val="21"/>
          <w:u w:color="000000"/>
          <w:lang w:bidi="en-US"/>
        </w:rPr>
        <w:t>对保利</w:t>
      </w:r>
      <w:proofErr w:type="gramEnd"/>
      <w:r w:rsidRPr="00251592">
        <w:rPr>
          <w:rFonts w:ascii="宋体" w:eastAsia="宋体" w:hAnsi="宋体" w:cs="Times New Roman"/>
          <w:color w:val="000000"/>
          <w:kern w:val="0"/>
          <w:szCs w:val="21"/>
          <w:u w:color="000000"/>
          <w:lang w:bidi="en-US"/>
        </w:rPr>
        <w:t>的运营特征、产品特点、开发习惯、市场定位、建筑风格等有着非常深刻的理解，并已为其打造、提炼出了众多标准化的设计产品，例如保利“大国璟”系、“时光印象”系等，得到保利与市场的一致认可，因此选择公司作为长期合作伙伴符合保利的商业利益和诉求。</w:t>
      </w:r>
    </w:p>
    <w:p w14:paraId="2B72D83F"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与此同时，公司目前整体业务规模相对较小，出于业务战略选择，在人员产能有限的前提下，优先保障既有优质客户的项目投入，保利作为全国一流</w:t>
      </w:r>
      <w:proofErr w:type="gramStart"/>
      <w:r w:rsidRPr="00251592">
        <w:rPr>
          <w:rFonts w:ascii="宋体" w:eastAsia="宋体" w:hAnsi="宋体" w:cs="Times New Roman"/>
          <w:color w:val="000000"/>
          <w:kern w:val="0"/>
          <w:szCs w:val="21"/>
          <w:u w:color="000000"/>
          <w:lang w:bidi="en-US"/>
        </w:rPr>
        <w:t>的央企</w:t>
      </w:r>
      <w:proofErr w:type="gramEnd"/>
      <w:r w:rsidRPr="00251592">
        <w:rPr>
          <w:rFonts w:ascii="宋体" w:eastAsia="宋体" w:hAnsi="宋体" w:cs="Times New Roman"/>
          <w:color w:val="000000"/>
          <w:kern w:val="0"/>
          <w:szCs w:val="21"/>
          <w:u w:color="000000"/>
          <w:lang w:bidi="en-US"/>
        </w:rPr>
        <w:t>开发商，是公司的战略服务客户，其业务订单也较为丰富，同等条件下，公司优先保障保利的设计服务，因而形成</w:t>
      </w:r>
      <w:proofErr w:type="gramStart"/>
      <w:r w:rsidRPr="00251592">
        <w:rPr>
          <w:rFonts w:ascii="宋体" w:eastAsia="宋体" w:hAnsi="宋体" w:cs="Times New Roman"/>
          <w:color w:val="000000"/>
          <w:kern w:val="0"/>
          <w:szCs w:val="21"/>
          <w:u w:color="000000"/>
          <w:lang w:bidi="en-US"/>
        </w:rPr>
        <w:t>对保利销售占比较</w:t>
      </w:r>
      <w:proofErr w:type="gramEnd"/>
      <w:r w:rsidRPr="00251592">
        <w:rPr>
          <w:rFonts w:ascii="宋体" w:eastAsia="宋体" w:hAnsi="宋体" w:cs="Times New Roman"/>
          <w:color w:val="000000"/>
          <w:kern w:val="0"/>
          <w:szCs w:val="21"/>
          <w:u w:color="000000"/>
          <w:lang w:bidi="en-US"/>
        </w:rPr>
        <w:t>高的情形。</w:t>
      </w:r>
    </w:p>
    <w:p w14:paraId="6FDEC0ED"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2）公司</w:t>
      </w:r>
      <w:proofErr w:type="gramStart"/>
      <w:r w:rsidRPr="00251592">
        <w:rPr>
          <w:rFonts w:ascii="宋体" w:eastAsia="宋体" w:hAnsi="宋体" w:cs="Times New Roman"/>
          <w:color w:val="000000"/>
          <w:kern w:val="0"/>
          <w:szCs w:val="21"/>
          <w:u w:color="000000"/>
          <w:lang w:bidi="en-US"/>
        </w:rPr>
        <w:t>对保利</w:t>
      </w:r>
      <w:proofErr w:type="gramEnd"/>
      <w:r w:rsidRPr="00251592">
        <w:rPr>
          <w:rFonts w:ascii="宋体" w:eastAsia="宋体" w:hAnsi="宋体" w:cs="Times New Roman"/>
          <w:color w:val="000000"/>
          <w:kern w:val="0"/>
          <w:szCs w:val="21"/>
          <w:u w:color="000000"/>
          <w:lang w:bidi="en-US"/>
        </w:rPr>
        <w:t>的销售分布较为广泛，与各区域公司的合作都是独立进行的，不存在依赖单一区域性公司的风险。</w:t>
      </w:r>
    </w:p>
    <w:p w14:paraId="4F9C2E58"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lastRenderedPageBreak/>
        <w:t>根据房地产行业的开发惯例，包括保利在内的全国性房地产公司通常采取集团公司+区域公司+地产项目开发运营公司的架构进行全国性跨区域开发。一般来说，地产项目开发运营公司负责单个项目采购合同的签订与结算，而区域公司负责区域内各个地产项目采购的审批和决策，各区域公司相互独立，分别主导各自区域内项目的开发、项目的运营和供应商的遴选。保利各区域公司都独立的建立了各自的战略供应商库，通过招投标的方式进行供应商的遴选。</w:t>
      </w:r>
    </w:p>
    <w:p w14:paraId="35AAD5B0"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经过多年的深耕，公司在建筑方案设计行业积累了良好的声誉和丰富的经验，已经与保利华东、华南、华北、东北、西部等区域公司签订了战略集中采购协议，并与其进行了深入、稳定的合作。目前，公司已经为保利多个区域公司打造出了一系列有代表性的作品，例如杭州保利融信·大国璟、广州保利·半岛、武汉保利·大都会，获得了保利与社会的一致认可。公司与保利合作的项目遍布国内多个省份，合作的主体涉及保利多个区域性公司，不存在依赖单一区域性公司的风险。</w:t>
      </w:r>
    </w:p>
    <w:p w14:paraId="75D4941B"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3）公司已经具备了丰富的客户资源和良好的品牌形象，长期来看，随着业务规模的不断提升，</w:t>
      </w:r>
      <w:proofErr w:type="gramStart"/>
      <w:r w:rsidRPr="00251592">
        <w:rPr>
          <w:rFonts w:ascii="宋体" w:eastAsia="宋体" w:hAnsi="宋体" w:cs="Times New Roman"/>
          <w:color w:val="000000"/>
          <w:kern w:val="0"/>
          <w:szCs w:val="21"/>
          <w:u w:color="000000"/>
          <w:lang w:bidi="en-US"/>
        </w:rPr>
        <w:t>对保利</w:t>
      </w:r>
      <w:proofErr w:type="gramEnd"/>
      <w:r w:rsidRPr="00251592">
        <w:rPr>
          <w:rFonts w:ascii="宋体" w:eastAsia="宋体" w:hAnsi="宋体" w:cs="Times New Roman"/>
          <w:color w:val="000000"/>
          <w:kern w:val="0"/>
          <w:szCs w:val="21"/>
          <w:u w:color="000000"/>
          <w:lang w:bidi="en-US"/>
        </w:rPr>
        <w:t>的销售占比将会降低。</w:t>
      </w:r>
    </w:p>
    <w:p w14:paraId="7742C179"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Times New Roman"/>
          <w:color w:val="000000"/>
          <w:kern w:val="0"/>
          <w:szCs w:val="21"/>
          <w:u w:color="000000"/>
          <w:lang w:bidi="en-US"/>
        </w:rPr>
        <w:t>公司经过多年业务积累，项目遍及全国近30个省级行政区、60余个地级市，已成为国内百强房地产企业的建筑设计技术与咨询服务的提供商。除了保利外，公司还与绿地、</w:t>
      </w:r>
      <w:proofErr w:type="gramStart"/>
      <w:r w:rsidRPr="00251592">
        <w:rPr>
          <w:rFonts w:ascii="宋体" w:eastAsia="宋体" w:hAnsi="宋体" w:cs="Times New Roman"/>
          <w:color w:val="000000"/>
          <w:kern w:val="0"/>
          <w:szCs w:val="21"/>
          <w:u w:color="000000"/>
          <w:lang w:bidi="en-US"/>
        </w:rPr>
        <w:t>世</w:t>
      </w:r>
      <w:proofErr w:type="gramEnd"/>
      <w:r w:rsidRPr="00251592">
        <w:rPr>
          <w:rFonts w:ascii="宋体" w:eastAsia="宋体" w:hAnsi="宋体" w:cs="Times New Roman"/>
          <w:color w:val="000000"/>
          <w:kern w:val="0"/>
          <w:szCs w:val="21"/>
          <w:u w:color="000000"/>
          <w:lang w:bidi="en-US"/>
        </w:rPr>
        <w:t>茂、金科、旭辉、奥园、宝能、大华等在内的房地产商之间建立了长期稳定的合作关系。随着公司经营规模的不断扩大，对该等非保利客户的收入金额亦会不断攀升。未来，公司将持续开拓客户资源、优化客户结构并扩大市场份额，逐步降低保利系房地产的交易占比。</w:t>
      </w:r>
    </w:p>
    <w:p w14:paraId="57052DED"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color w:val="000000"/>
          <w:szCs w:val="21"/>
        </w:rPr>
      </w:pPr>
      <w:r w:rsidRPr="00251592">
        <w:rPr>
          <w:rFonts w:ascii="宋体" w:eastAsia="宋体" w:hAnsi="宋体" w:cs="Times New Roman"/>
          <w:color w:val="000000"/>
          <w:kern w:val="0"/>
          <w:szCs w:val="21"/>
          <w:lang w:bidi="en-US"/>
        </w:rPr>
        <w:t>（3）</w:t>
      </w:r>
      <w:r w:rsidRPr="00251592">
        <w:rPr>
          <w:rFonts w:ascii="宋体" w:eastAsia="宋体" w:hAnsi="宋体" w:cs="Times New Roman"/>
          <w:color w:val="000000"/>
          <w:szCs w:val="21"/>
        </w:rPr>
        <w:t>公司与保利的交易具有稳定性和</w:t>
      </w:r>
      <w:proofErr w:type="gramStart"/>
      <w:r w:rsidRPr="00251592">
        <w:rPr>
          <w:rFonts w:ascii="宋体" w:eastAsia="宋体" w:hAnsi="宋体" w:cs="Times New Roman"/>
          <w:color w:val="000000"/>
          <w:szCs w:val="21"/>
        </w:rPr>
        <w:t>可</w:t>
      </w:r>
      <w:proofErr w:type="gramEnd"/>
      <w:r w:rsidRPr="00251592">
        <w:rPr>
          <w:rFonts w:ascii="宋体" w:eastAsia="宋体" w:hAnsi="宋体" w:cs="Times New Roman"/>
          <w:color w:val="000000"/>
          <w:szCs w:val="21"/>
        </w:rPr>
        <w:t>持续性</w:t>
      </w:r>
    </w:p>
    <w:p w14:paraId="7CBFB762"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1）作为地产行业的领军企业，保利倾向选择理解其产品特色、设计理念的战略供应商</w:t>
      </w:r>
    </w:p>
    <w:p w14:paraId="61EB2615"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保利作为大型</w:t>
      </w:r>
      <w:proofErr w:type="gramStart"/>
      <w:r w:rsidRPr="00251592">
        <w:rPr>
          <w:rFonts w:ascii="宋体" w:eastAsia="宋体" w:hAnsi="宋体" w:cs="Times New Roman"/>
          <w:color w:val="000000"/>
          <w:kern w:val="0"/>
          <w:szCs w:val="21"/>
          <w:lang w:bidi="en-US"/>
        </w:rPr>
        <w:t>上市央企开发商</w:t>
      </w:r>
      <w:proofErr w:type="gramEnd"/>
      <w:r w:rsidRPr="00251592">
        <w:rPr>
          <w:rFonts w:ascii="宋体" w:eastAsia="宋体" w:hAnsi="宋体" w:cs="Times New Roman"/>
          <w:color w:val="000000"/>
          <w:kern w:val="0"/>
          <w:szCs w:val="21"/>
          <w:lang w:bidi="en-US"/>
        </w:rPr>
        <w:t>，专注于房地产开发及销售，始终稳居行业领先地位。2017至2020年度，根据中国房地产业协会、中国房地产测评中心发布的中国房地产测评系列榜单，保利分别位列第5名、第5名</w:t>
      </w:r>
      <w:r w:rsidRPr="00251592">
        <w:rPr>
          <w:rFonts w:ascii="宋体" w:eastAsia="宋体" w:hAnsi="宋体" w:cs="Times New Roman" w:hint="eastAsia"/>
          <w:color w:val="000000"/>
          <w:kern w:val="0"/>
          <w:szCs w:val="21"/>
          <w:lang w:bidi="en-US"/>
        </w:rPr>
        <w:t>、</w:t>
      </w:r>
      <w:r w:rsidRPr="00251592">
        <w:rPr>
          <w:rFonts w:ascii="宋体" w:eastAsia="宋体" w:hAnsi="宋体" w:cs="Times New Roman"/>
          <w:color w:val="000000"/>
          <w:kern w:val="0"/>
          <w:szCs w:val="21"/>
          <w:lang w:bidi="en-US"/>
        </w:rPr>
        <w:t>第4名</w:t>
      </w:r>
      <w:r w:rsidRPr="00251592">
        <w:rPr>
          <w:rFonts w:ascii="宋体" w:eastAsia="宋体" w:hAnsi="宋体" w:cs="Times New Roman" w:hint="eastAsia"/>
          <w:color w:val="000000"/>
          <w:kern w:val="0"/>
          <w:szCs w:val="21"/>
          <w:lang w:bidi="en-US"/>
        </w:rPr>
        <w:t>和第</w:t>
      </w:r>
      <w:r w:rsidRPr="00251592">
        <w:rPr>
          <w:rFonts w:ascii="宋体" w:eastAsia="宋体" w:hAnsi="宋体" w:cs="Times New Roman"/>
          <w:color w:val="000000"/>
          <w:kern w:val="0"/>
          <w:szCs w:val="21"/>
          <w:lang w:bidi="en-US"/>
        </w:rPr>
        <w:t>7</w:t>
      </w:r>
      <w:r w:rsidRPr="00251592">
        <w:rPr>
          <w:rFonts w:ascii="宋体" w:eastAsia="宋体" w:hAnsi="宋体" w:cs="Times New Roman" w:hint="eastAsia"/>
          <w:color w:val="000000"/>
          <w:kern w:val="0"/>
          <w:szCs w:val="21"/>
          <w:lang w:bidi="en-US"/>
        </w:rPr>
        <w:t>名。</w:t>
      </w:r>
      <w:r w:rsidRPr="00251592">
        <w:rPr>
          <w:rFonts w:ascii="宋体" w:eastAsia="宋体" w:hAnsi="宋体" w:cs="Times New Roman"/>
          <w:color w:val="000000"/>
          <w:kern w:val="0"/>
          <w:szCs w:val="21"/>
          <w:lang w:bidi="en-US"/>
        </w:rPr>
        <w:t>建筑设计行业的下游客户，尤其是品牌知名度较高的房地产开发企业在建筑设计服务供应商的选择上较为谨慎，普遍采用供需粘合度较高的战略供应商选定和集中采购模式，因此，设计企业与开发企业之间的业务黏性较大。保利秉持“和谐、自然、舒适”的设计理念与产品特色，倾向于和具有丰富项目经验和</w:t>
      </w:r>
      <w:r w:rsidRPr="00251592">
        <w:rPr>
          <w:rFonts w:ascii="宋体" w:eastAsia="宋体" w:hAnsi="宋体" w:cs="Times New Roman"/>
          <w:color w:val="000000"/>
          <w:kern w:val="0"/>
          <w:szCs w:val="21"/>
          <w:lang w:bidi="en-US"/>
        </w:rPr>
        <w:lastRenderedPageBreak/>
        <w:t>优秀设计能力的设计企业采用战略供应商选定和集中采购模式，形成长期稳定的合作关系。</w:t>
      </w:r>
    </w:p>
    <w:p w14:paraId="1520DAA9"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2）公司与保利地产合作长达十多年，</w:t>
      </w:r>
      <w:proofErr w:type="gramStart"/>
      <w:r w:rsidRPr="00251592">
        <w:rPr>
          <w:rFonts w:ascii="宋体" w:eastAsia="宋体" w:hAnsi="宋体" w:cs="Times New Roman"/>
          <w:color w:val="000000"/>
          <w:kern w:val="0"/>
          <w:szCs w:val="21"/>
          <w:lang w:bidi="en-US"/>
        </w:rPr>
        <w:t>对保利</w:t>
      </w:r>
      <w:proofErr w:type="gramEnd"/>
      <w:r w:rsidRPr="00251592">
        <w:rPr>
          <w:rFonts w:ascii="宋体" w:eastAsia="宋体" w:hAnsi="宋体" w:cs="Times New Roman"/>
          <w:color w:val="000000"/>
          <w:kern w:val="0"/>
          <w:szCs w:val="21"/>
          <w:lang w:bidi="en-US"/>
        </w:rPr>
        <w:t>的建筑风格、建筑文化有着深刻的理解</w:t>
      </w:r>
    </w:p>
    <w:p w14:paraId="28712F82"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公司定位于建筑方案公司，核心业务聚焦于以建筑方案设计为轴心的建筑专业领域内的设计服务，在本地化优势的基础上，公司依靠品牌优势，业务逐渐辐射至全国其他区域，获得了市场和客户的认可。公司自成立之初一直处在保利的设计服务供应商名录之中，至今已与保利保持了10多年的良好合作关系，并与保利华东、华南、华北、东北、西部等区域公司签订过战略集中采购协议。公司对主要核心客户的运营特征、产品特点、开发习惯、市场定位、建筑风格等有着非常深刻的理解，并已为其打造、提炼出了众多标准化的设计产品，例如保利“大国璟”系、“时光印象”系等，得到客户与市场的一致认可，并多次获得业界设计奖项，例如：上海市建筑学会“科技进步奖三等奖（建筑设计类）”、上海市勘察设计行业协会“上海市优秀住宅小区设计一等奖”等称号。随着房地产行业逐步回归持续、稳定的发展道路，下游房地产开发商集中度进一步提升以及与</w:t>
      </w:r>
      <w:proofErr w:type="gramStart"/>
      <w:r w:rsidRPr="00251592">
        <w:rPr>
          <w:rFonts w:ascii="宋体" w:eastAsia="宋体" w:hAnsi="宋体" w:cs="Times New Roman"/>
          <w:color w:val="000000"/>
          <w:kern w:val="0"/>
          <w:szCs w:val="21"/>
          <w:lang w:bidi="en-US"/>
        </w:rPr>
        <w:t>龙头房企稳定</w:t>
      </w:r>
      <w:proofErr w:type="gramEnd"/>
      <w:r w:rsidRPr="00251592">
        <w:rPr>
          <w:rFonts w:ascii="宋体" w:eastAsia="宋体" w:hAnsi="宋体" w:cs="Times New Roman"/>
          <w:color w:val="000000"/>
          <w:kern w:val="0"/>
          <w:szCs w:val="21"/>
          <w:lang w:bidi="en-US"/>
        </w:rPr>
        <w:t>的合作关系的背景下，公司将凭借突出的方案创作能力、跨区域的市场拓展能力、不断提升的设计品质和服务水平使得公司与保利保持长期、稳定的持续合作。</w:t>
      </w:r>
    </w:p>
    <w:p w14:paraId="193844DA"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bookmarkStart w:id="5" w:name="_Hlk66194344"/>
      <w:r w:rsidRPr="00251592">
        <w:rPr>
          <w:rFonts w:ascii="宋体" w:eastAsia="宋体" w:hAnsi="宋体" w:cs="Times New Roman"/>
          <w:color w:val="000000"/>
          <w:kern w:val="0"/>
          <w:szCs w:val="21"/>
          <w:lang w:bidi="en-US"/>
        </w:rPr>
        <w:t>3）公司持有保利在手订单</w:t>
      </w:r>
      <w:r w:rsidRPr="00251592">
        <w:rPr>
          <w:rFonts w:ascii="宋体" w:eastAsia="宋体" w:hAnsi="宋体" w:cs="Times New Roman"/>
          <w:iCs/>
          <w:kern w:val="0"/>
          <w:szCs w:val="21"/>
          <w:lang w:bidi="en-US"/>
        </w:rPr>
        <w:t>2.12</w:t>
      </w:r>
      <w:r w:rsidRPr="00251592">
        <w:rPr>
          <w:rFonts w:ascii="宋体" w:eastAsia="宋体" w:hAnsi="宋体" w:cs="Times New Roman"/>
          <w:color w:val="000000"/>
          <w:kern w:val="0"/>
          <w:szCs w:val="21"/>
          <w:lang w:bidi="en-US"/>
        </w:rPr>
        <w:t>亿元，并仍拥有较大的提升空间</w:t>
      </w:r>
    </w:p>
    <w:p w14:paraId="1EB622A2"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2019年公司</w:t>
      </w:r>
      <w:proofErr w:type="gramStart"/>
      <w:r w:rsidRPr="00251592">
        <w:rPr>
          <w:rFonts w:ascii="宋体" w:eastAsia="宋体" w:hAnsi="宋体" w:cs="Times New Roman"/>
          <w:color w:val="000000"/>
          <w:kern w:val="0"/>
          <w:szCs w:val="21"/>
          <w:lang w:bidi="en-US"/>
        </w:rPr>
        <w:t>对保利</w:t>
      </w:r>
      <w:proofErr w:type="gramEnd"/>
      <w:r w:rsidRPr="00251592">
        <w:rPr>
          <w:rFonts w:ascii="宋体" w:eastAsia="宋体" w:hAnsi="宋体" w:cs="Times New Roman"/>
          <w:color w:val="000000"/>
          <w:kern w:val="0"/>
          <w:szCs w:val="21"/>
          <w:lang w:bidi="en-US"/>
        </w:rPr>
        <w:t>的交易金额为12,268.28万元，约占保利2019年度设计采购总额的2%，仍有较大的提升空间。</w:t>
      </w:r>
    </w:p>
    <w:p w14:paraId="4C5B669C"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截至2020年</w:t>
      </w:r>
      <w:r w:rsidRPr="00251592">
        <w:rPr>
          <w:rFonts w:ascii="宋体" w:eastAsia="宋体" w:hAnsi="宋体" w:cs="Times New Roman"/>
          <w:iCs/>
          <w:kern w:val="0"/>
          <w:szCs w:val="21"/>
          <w:lang w:bidi="en-US"/>
        </w:rPr>
        <w:t>12月31日</w:t>
      </w:r>
      <w:r w:rsidRPr="00251592">
        <w:rPr>
          <w:rFonts w:ascii="宋体" w:eastAsia="宋体" w:hAnsi="宋体" w:cs="Times New Roman"/>
          <w:color w:val="000000"/>
          <w:kern w:val="0"/>
          <w:szCs w:val="21"/>
          <w:lang w:bidi="en-US"/>
        </w:rPr>
        <w:t>，公司在手合同数量、金额、保利的占比如下：</w:t>
      </w:r>
    </w:p>
    <w:p w14:paraId="697C4CA1" w14:textId="77777777" w:rsidR="00C17BBD" w:rsidRPr="00251592" w:rsidRDefault="00C17BBD" w:rsidP="00C17BBD">
      <w:pPr>
        <w:ind w:left="7139" w:firstLine="1"/>
        <w:rPr>
          <w:rFonts w:ascii="宋体" w:eastAsia="宋体" w:hAnsi="宋体" w:cs="Times New Roman"/>
          <w:color w:val="000000"/>
          <w:kern w:val="0"/>
          <w:szCs w:val="21"/>
          <w:lang w:eastAsia="en-US" w:bidi="en-US"/>
        </w:rPr>
      </w:pPr>
      <w:proofErr w:type="spellStart"/>
      <w:r w:rsidRPr="00251592">
        <w:rPr>
          <w:rFonts w:ascii="宋体" w:eastAsia="宋体" w:hAnsi="宋体" w:cs="Times New Roman"/>
          <w:color w:val="000000"/>
          <w:kern w:val="0"/>
          <w:szCs w:val="21"/>
          <w:lang w:eastAsia="en-US" w:bidi="en-US"/>
        </w:rPr>
        <w:t>单位：万元</w:t>
      </w:r>
      <w:proofErr w:type="spellEnd"/>
    </w:p>
    <w:tbl>
      <w:tblPr>
        <w:tblW w:w="4732" w:type="pct"/>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688"/>
        <w:gridCol w:w="2688"/>
        <w:gridCol w:w="2689"/>
      </w:tblGrid>
      <w:tr w:rsidR="00C17BBD" w:rsidRPr="00251592" w14:paraId="46667BF1" w14:textId="77777777" w:rsidTr="00622023">
        <w:trPr>
          <w:trHeight w:val="397"/>
          <w:jc w:val="center"/>
        </w:trPr>
        <w:tc>
          <w:tcPr>
            <w:tcW w:w="1666" w:type="pct"/>
            <w:shd w:val="clear" w:color="auto" w:fill="auto"/>
            <w:noWrap/>
            <w:vAlign w:val="center"/>
          </w:tcPr>
          <w:p w14:paraId="6094B426" w14:textId="77777777" w:rsidR="00C17BBD" w:rsidRPr="00251592" w:rsidRDefault="00C17BBD" w:rsidP="008A2055">
            <w:pPr>
              <w:jc w:val="center"/>
              <w:rPr>
                <w:rFonts w:ascii="宋体" w:eastAsia="宋体" w:hAnsi="宋体" w:cs="Times New Roman"/>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客户类型</w:t>
            </w:r>
            <w:proofErr w:type="spellEnd"/>
          </w:p>
        </w:tc>
        <w:tc>
          <w:tcPr>
            <w:tcW w:w="1666" w:type="pct"/>
            <w:shd w:val="clear" w:color="auto" w:fill="auto"/>
            <w:noWrap/>
            <w:vAlign w:val="center"/>
          </w:tcPr>
          <w:p w14:paraId="43CFF2B7" w14:textId="77777777" w:rsidR="00C17BBD" w:rsidRPr="00251592" w:rsidRDefault="00C17BBD" w:rsidP="008A2055">
            <w:pPr>
              <w:jc w:val="center"/>
              <w:rPr>
                <w:rFonts w:ascii="宋体" w:eastAsia="宋体" w:hAnsi="宋体" w:cs="Times New Roman"/>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在手合同金额</w:t>
            </w:r>
            <w:proofErr w:type="spellEnd"/>
          </w:p>
        </w:tc>
        <w:tc>
          <w:tcPr>
            <w:tcW w:w="1667" w:type="pct"/>
            <w:shd w:val="clear" w:color="auto" w:fill="auto"/>
            <w:noWrap/>
            <w:vAlign w:val="center"/>
          </w:tcPr>
          <w:p w14:paraId="1B9F3950" w14:textId="77777777" w:rsidR="00C17BBD" w:rsidRPr="00251592" w:rsidRDefault="00C17BBD" w:rsidP="008A2055">
            <w:pPr>
              <w:jc w:val="center"/>
              <w:rPr>
                <w:rFonts w:ascii="宋体" w:eastAsia="宋体" w:hAnsi="宋体" w:cs="Times New Roman"/>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在手合同数量</w:t>
            </w:r>
            <w:proofErr w:type="spellEnd"/>
          </w:p>
        </w:tc>
      </w:tr>
      <w:tr w:rsidR="00C17BBD" w:rsidRPr="00251592" w14:paraId="70E345C4" w14:textId="77777777" w:rsidTr="00622023">
        <w:trPr>
          <w:trHeight w:val="397"/>
          <w:jc w:val="center"/>
        </w:trPr>
        <w:tc>
          <w:tcPr>
            <w:tcW w:w="1666" w:type="pct"/>
            <w:shd w:val="clear" w:color="auto" w:fill="auto"/>
            <w:noWrap/>
            <w:vAlign w:val="center"/>
          </w:tcPr>
          <w:p w14:paraId="64ADAA22" w14:textId="77777777" w:rsidR="00C17BBD" w:rsidRPr="00251592" w:rsidRDefault="00C17BBD" w:rsidP="008A2055">
            <w:pPr>
              <w:jc w:val="center"/>
              <w:rPr>
                <w:rFonts w:ascii="宋体" w:eastAsia="宋体" w:hAnsi="宋体" w:cs="Times New Roman"/>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保利</w:t>
            </w:r>
            <w:proofErr w:type="spellEnd"/>
          </w:p>
        </w:tc>
        <w:tc>
          <w:tcPr>
            <w:tcW w:w="1666" w:type="pct"/>
            <w:shd w:val="clear" w:color="auto" w:fill="auto"/>
            <w:noWrap/>
            <w:vAlign w:val="center"/>
          </w:tcPr>
          <w:p w14:paraId="7564D588"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21,206.60</w:t>
            </w:r>
          </w:p>
        </w:tc>
        <w:tc>
          <w:tcPr>
            <w:tcW w:w="1667" w:type="pct"/>
            <w:shd w:val="clear" w:color="auto" w:fill="auto"/>
            <w:noWrap/>
            <w:vAlign w:val="center"/>
          </w:tcPr>
          <w:p w14:paraId="3860B3EC"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428</w:t>
            </w:r>
          </w:p>
        </w:tc>
      </w:tr>
      <w:tr w:rsidR="00C17BBD" w:rsidRPr="00251592" w14:paraId="74C520E9" w14:textId="77777777" w:rsidTr="00622023">
        <w:trPr>
          <w:trHeight w:val="397"/>
          <w:jc w:val="center"/>
        </w:trPr>
        <w:tc>
          <w:tcPr>
            <w:tcW w:w="1666" w:type="pct"/>
            <w:shd w:val="clear" w:color="auto" w:fill="auto"/>
            <w:noWrap/>
            <w:vAlign w:val="center"/>
          </w:tcPr>
          <w:p w14:paraId="59F852A8" w14:textId="77777777" w:rsidR="00C17BBD" w:rsidRPr="00251592" w:rsidRDefault="00C17BBD" w:rsidP="008A2055">
            <w:pPr>
              <w:jc w:val="center"/>
              <w:rPr>
                <w:rFonts w:ascii="宋体" w:eastAsia="宋体" w:hAnsi="宋体" w:cs="Times New Roman"/>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非保利</w:t>
            </w:r>
            <w:proofErr w:type="spellEnd"/>
          </w:p>
        </w:tc>
        <w:tc>
          <w:tcPr>
            <w:tcW w:w="1666" w:type="pct"/>
            <w:shd w:val="clear" w:color="auto" w:fill="auto"/>
            <w:noWrap/>
            <w:vAlign w:val="center"/>
          </w:tcPr>
          <w:p w14:paraId="2687EAF2"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27,152.33</w:t>
            </w:r>
          </w:p>
        </w:tc>
        <w:tc>
          <w:tcPr>
            <w:tcW w:w="1667" w:type="pct"/>
            <w:shd w:val="clear" w:color="auto" w:fill="auto"/>
            <w:noWrap/>
            <w:vAlign w:val="center"/>
          </w:tcPr>
          <w:p w14:paraId="474D1FAE"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499</w:t>
            </w:r>
          </w:p>
        </w:tc>
      </w:tr>
      <w:tr w:rsidR="00C17BBD" w:rsidRPr="00251592" w14:paraId="50DBD3C6" w14:textId="77777777" w:rsidTr="00622023">
        <w:trPr>
          <w:trHeight w:val="397"/>
          <w:jc w:val="center"/>
        </w:trPr>
        <w:tc>
          <w:tcPr>
            <w:tcW w:w="1666" w:type="pct"/>
            <w:shd w:val="clear" w:color="auto" w:fill="auto"/>
            <w:noWrap/>
            <w:vAlign w:val="center"/>
          </w:tcPr>
          <w:p w14:paraId="498C8E85" w14:textId="77777777" w:rsidR="00C17BBD" w:rsidRPr="00251592" w:rsidRDefault="00C17BBD" w:rsidP="008A2055">
            <w:pPr>
              <w:jc w:val="center"/>
              <w:rPr>
                <w:rFonts w:ascii="宋体" w:eastAsia="宋体" w:hAnsi="宋体" w:cs="Times New Roman"/>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合计</w:t>
            </w:r>
            <w:proofErr w:type="spellEnd"/>
          </w:p>
        </w:tc>
        <w:tc>
          <w:tcPr>
            <w:tcW w:w="1666" w:type="pct"/>
            <w:shd w:val="clear" w:color="auto" w:fill="auto"/>
            <w:noWrap/>
            <w:vAlign w:val="center"/>
          </w:tcPr>
          <w:p w14:paraId="3044522B"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48,358.94</w:t>
            </w:r>
          </w:p>
        </w:tc>
        <w:tc>
          <w:tcPr>
            <w:tcW w:w="1667" w:type="pct"/>
            <w:shd w:val="clear" w:color="auto" w:fill="auto"/>
            <w:noWrap/>
            <w:vAlign w:val="center"/>
          </w:tcPr>
          <w:p w14:paraId="48110AE5"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927</w:t>
            </w:r>
          </w:p>
        </w:tc>
      </w:tr>
      <w:tr w:rsidR="00C17BBD" w:rsidRPr="00251592" w14:paraId="4CD0A197" w14:textId="77777777" w:rsidTr="00622023">
        <w:trPr>
          <w:trHeight w:val="397"/>
          <w:jc w:val="center"/>
        </w:trPr>
        <w:tc>
          <w:tcPr>
            <w:tcW w:w="1666" w:type="pct"/>
            <w:shd w:val="clear" w:color="auto" w:fill="auto"/>
            <w:noWrap/>
            <w:vAlign w:val="center"/>
          </w:tcPr>
          <w:p w14:paraId="1C5831F1" w14:textId="77777777" w:rsidR="00C17BBD" w:rsidRPr="00251592" w:rsidRDefault="00C17BBD" w:rsidP="008A2055">
            <w:pPr>
              <w:jc w:val="center"/>
              <w:rPr>
                <w:rFonts w:ascii="宋体" w:eastAsia="宋体" w:hAnsi="宋体" w:cs="Times New Roman"/>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保利比重</w:t>
            </w:r>
            <w:proofErr w:type="spellEnd"/>
          </w:p>
        </w:tc>
        <w:tc>
          <w:tcPr>
            <w:tcW w:w="1666" w:type="pct"/>
            <w:shd w:val="clear" w:color="auto" w:fill="auto"/>
            <w:noWrap/>
            <w:vAlign w:val="center"/>
          </w:tcPr>
          <w:p w14:paraId="7E80AA50"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43.85%</w:t>
            </w:r>
          </w:p>
        </w:tc>
        <w:tc>
          <w:tcPr>
            <w:tcW w:w="1667" w:type="pct"/>
            <w:shd w:val="clear" w:color="auto" w:fill="auto"/>
            <w:noWrap/>
            <w:vAlign w:val="center"/>
          </w:tcPr>
          <w:p w14:paraId="2912AF02" w14:textId="77777777" w:rsidR="00C17BBD" w:rsidRPr="00251592" w:rsidRDefault="00C17BBD" w:rsidP="008A2055">
            <w:pPr>
              <w:jc w:val="righ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46.17%</w:t>
            </w:r>
          </w:p>
        </w:tc>
      </w:tr>
    </w:tbl>
    <w:p w14:paraId="7AD3EABB"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由上表可见，保利已陆续开展与公司的合作并下达订单，公司与保利在手合同数量大、金额高，目前仍有</w:t>
      </w:r>
      <w:r w:rsidRPr="00251592">
        <w:rPr>
          <w:rFonts w:ascii="宋体" w:eastAsia="宋体" w:hAnsi="宋体" w:cs="Times New Roman"/>
          <w:iCs/>
          <w:kern w:val="0"/>
          <w:szCs w:val="21"/>
          <w:lang w:bidi="en-US"/>
        </w:rPr>
        <w:t>21,206.60</w:t>
      </w:r>
      <w:r w:rsidRPr="00251592">
        <w:rPr>
          <w:rFonts w:ascii="宋体" w:eastAsia="宋体" w:hAnsi="宋体" w:cs="Times New Roman"/>
          <w:color w:val="000000"/>
          <w:kern w:val="0"/>
          <w:szCs w:val="21"/>
          <w:lang w:bidi="en-US"/>
        </w:rPr>
        <w:t xml:space="preserve">万元的在手合同额尚待进行，为公司后续与保利保持良好、稳定的合作奠定了坚实的基础。 </w:t>
      </w:r>
    </w:p>
    <w:bookmarkEnd w:id="5"/>
    <w:p w14:paraId="2EE0EFB6"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lastRenderedPageBreak/>
        <w:t>目前保利的订单需求还在持续释放中，主要因素包括：（1）保利将坚定落实城市深耕战略，持续加大核心城市及重点城市群的渗透深耕。（2）截至2020年6月30日，保利拥有在建面积13,048万平方米、待开发面积6,727万平方米，项目资源丰富且优质，具有可持续发展性。</w:t>
      </w:r>
    </w:p>
    <w:p w14:paraId="0658E2A0"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因此公司已取得充沛的保利在手订单，根据目前合作情况以及在手订单情况，预计公司未来</w:t>
      </w:r>
      <w:proofErr w:type="gramStart"/>
      <w:r w:rsidRPr="00251592">
        <w:rPr>
          <w:rFonts w:ascii="宋体" w:eastAsia="宋体" w:hAnsi="宋体" w:cs="Times New Roman"/>
          <w:color w:val="000000"/>
          <w:kern w:val="0"/>
          <w:szCs w:val="21"/>
          <w:lang w:bidi="en-US"/>
        </w:rPr>
        <w:t>对保利</w:t>
      </w:r>
      <w:proofErr w:type="gramEnd"/>
      <w:r w:rsidRPr="00251592">
        <w:rPr>
          <w:rFonts w:ascii="宋体" w:eastAsia="宋体" w:hAnsi="宋体" w:cs="Times New Roman"/>
          <w:color w:val="000000"/>
          <w:kern w:val="0"/>
          <w:szCs w:val="21"/>
          <w:lang w:bidi="en-US"/>
        </w:rPr>
        <w:t>的设计业务收入能维持同期水平甚至有所增长，且可以合理预计未来有望获得新的订单，从订单角度双方的合作具有稳定性、可持续性。</w:t>
      </w:r>
    </w:p>
    <w:p w14:paraId="1AFACEDF"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综上，公司与保利有着良好的合作基础且保利对于公司有着较大的业务黏性，随着下游房地产开发商集中度提升的背景下，双方的合作进一步巩固；目前公司已获取较为充沛的保利在手订单，且保利的订单需求还在持续释放；未来公司与保利的合作具有较好的稳定性和</w:t>
      </w:r>
      <w:proofErr w:type="gramStart"/>
      <w:r w:rsidRPr="00251592">
        <w:rPr>
          <w:rFonts w:ascii="宋体" w:eastAsia="宋体" w:hAnsi="宋体" w:cs="Times New Roman"/>
          <w:color w:val="000000"/>
          <w:kern w:val="0"/>
          <w:szCs w:val="21"/>
          <w:lang w:bidi="en-US"/>
        </w:rPr>
        <w:t>可</w:t>
      </w:r>
      <w:proofErr w:type="gramEnd"/>
      <w:r w:rsidRPr="00251592">
        <w:rPr>
          <w:rFonts w:ascii="宋体" w:eastAsia="宋体" w:hAnsi="宋体" w:cs="Times New Roman"/>
          <w:color w:val="000000"/>
          <w:kern w:val="0"/>
          <w:szCs w:val="21"/>
          <w:lang w:bidi="en-US"/>
        </w:rPr>
        <w:t>持续性。</w:t>
      </w:r>
    </w:p>
    <w:p w14:paraId="22DF0413" w14:textId="77777777" w:rsidR="00C17BBD" w:rsidRPr="00251592" w:rsidRDefault="00C17BBD" w:rsidP="00C17BBD">
      <w:pPr>
        <w:spacing w:beforeLines="50" w:before="156" w:line="360" w:lineRule="auto"/>
        <w:ind w:firstLineChars="200" w:firstLine="420"/>
        <w:jc w:val="left"/>
        <w:rPr>
          <w:rFonts w:ascii="宋体" w:eastAsia="宋体" w:hAnsi="宋体" w:cs="Times New Roman"/>
          <w:color w:val="000000"/>
          <w:kern w:val="0"/>
          <w:szCs w:val="21"/>
          <w:lang w:bidi="en-US"/>
        </w:rPr>
      </w:pPr>
      <w:r w:rsidRPr="00251592">
        <w:rPr>
          <w:rFonts w:ascii="宋体" w:eastAsia="宋体" w:hAnsi="宋体" w:cs="Times New Roman" w:hint="eastAsia"/>
          <w:color w:val="000000"/>
          <w:kern w:val="0"/>
          <w:szCs w:val="21"/>
          <w:lang w:bidi="en-US"/>
        </w:rPr>
        <w:t>2、在招股说明书中充分揭示客户集中度较高可能带来的风险</w:t>
      </w:r>
    </w:p>
    <w:p w14:paraId="44DBD547"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报告期各期，公司前五名客户销售占比分别为</w:t>
      </w:r>
      <w:r w:rsidRPr="00251592">
        <w:rPr>
          <w:rFonts w:ascii="宋体" w:eastAsia="宋体" w:hAnsi="宋体" w:cs="Times New Roman"/>
          <w:color w:val="000000"/>
          <w:kern w:val="0"/>
          <w:szCs w:val="21"/>
          <w:u w:color="000000"/>
          <w:lang w:bidi="en-US"/>
        </w:rPr>
        <w:t>61.06%、65.58%、</w:t>
      </w:r>
      <w:r w:rsidRPr="00251592">
        <w:rPr>
          <w:rFonts w:ascii="宋体" w:eastAsia="宋体" w:hAnsi="宋体" w:cs="Times New Roman" w:hint="eastAsia"/>
          <w:color w:val="000000"/>
          <w:kern w:val="0"/>
          <w:szCs w:val="21"/>
          <w:u w:color="000000"/>
          <w:lang w:bidi="en-US"/>
        </w:rPr>
        <w:t>62.49%</w:t>
      </w:r>
      <w:r w:rsidRPr="00251592">
        <w:rPr>
          <w:rFonts w:ascii="宋体" w:eastAsia="宋体" w:hAnsi="宋体" w:cs="Times New Roman"/>
          <w:color w:val="000000"/>
          <w:kern w:val="0"/>
          <w:szCs w:val="21"/>
          <w:u w:color="000000"/>
          <w:lang w:bidi="en-US"/>
        </w:rPr>
        <w:t>，其中，</w:t>
      </w:r>
      <w:proofErr w:type="gramStart"/>
      <w:r w:rsidRPr="00251592">
        <w:rPr>
          <w:rFonts w:ascii="宋体" w:eastAsia="宋体" w:hAnsi="宋体" w:cs="Times New Roman"/>
          <w:color w:val="000000"/>
          <w:kern w:val="0"/>
          <w:szCs w:val="21"/>
          <w:u w:color="000000"/>
          <w:lang w:bidi="en-US"/>
        </w:rPr>
        <w:t>对保利</w:t>
      </w:r>
      <w:proofErr w:type="gramEnd"/>
      <w:r w:rsidRPr="00251592">
        <w:rPr>
          <w:rFonts w:ascii="宋体" w:eastAsia="宋体" w:hAnsi="宋体" w:cs="Times New Roman"/>
          <w:color w:val="000000"/>
          <w:kern w:val="0"/>
          <w:szCs w:val="21"/>
          <w:u w:color="000000"/>
          <w:lang w:bidi="en-US"/>
        </w:rPr>
        <w:t>的收入占比分别为42.20%、46.01%</w:t>
      </w:r>
      <w:r w:rsidRPr="00251592">
        <w:rPr>
          <w:rFonts w:ascii="宋体" w:eastAsia="宋体" w:hAnsi="宋体" w:cs="Times New Roman" w:hint="eastAsia"/>
          <w:color w:val="000000"/>
          <w:kern w:val="0"/>
          <w:szCs w:val="21"/>
          <w:u w:color="000000"/>
          <w:lang w:bidi="en-US"/>
        </w:rPr>
        <w:t>、</w:t>
      </w:r>
      <w:r w:rsidRPr="00251592">
        <w:rPr>
          <w:rFonts w:ascii="宋体" w:eastAsia="宋体" w:hAnsi="宋体" w:cs="Times New Roman"/>
          <w:color w:val="000000"/>
          <w:kern w:val="0"/>
          <w:szCs w:val="21"/>
          <w:u w:color="000000"/>
          <w:lang w:bidi="en-US"/>
        </w:rPr>
        <w:t>51.95%</w:t>
      </w:r>
      <w:r w:rsidRPr="00251592">
        <w:rPr>
          <w:rFonts w:ascii="宋体" w:eastAsia="宋体" w:hAnsi="宋体" w:cs="Times New Roman" w:hint="eastAsia"/>
          <w:iCs/>
          <w:szCs w:val="21"/>
          <w:lang w:bidi="en-US"/>
        </w:rPr>
        <w:t>，</w:t>
      </w:r>
      <w:proofErr w:type="gramStart"/>
      <w:r w:rsidRPr="00251592">
        <w:rPr>
          <w:rFonts w:ascii="宋体" w:eastAsia="宋体" w:hAnsi="宋体" w:cs="Times New Roman" w:hint="eastAsia"/>
          <w:iCs/>
          <w:szCs w:val="21"/>
          <w:lang w:bidi="en-US"/>
        </w:rPr>
        <w:t>占比较</w:t>
      </w:r>
      <w:proofErr w:type="gramEnd"/>
      <w:r w:rsidRPr="00251592">
        <w:rPr>
          <w:rFonts w:ascii="宋体" w:eastAsia="宋体" w:hAnsi="宋体" w:cs="Times New Roman" w:hint="eastAsia"/>
          <w:iCs/>
          <w:szCs w:val="21"/>
          <w:lang w:bidi="en-US"/>
        </w:rPr>
        <w:t>高。报告期各期，公司的业务收入呈现出前五名客户集中度高、特别是第一大客户占比高的情形，存在一定的</w:t>
      </w:r>
      <w:r w:rsidRPr="00251592">
        <w:rPr>
          <w:rFonts w:ascii="宋体" w:eastAsia="宋体" w:hAnsi="宋体" w:cs="Times New Roman"/>
          <w:iCs/>
          <w:szCs w:val="21"/>
          <w:lang w:bidi="en-US"/>
        </w:rPr>
        <w:t>客户集中风险。</w:t>
      </w:r>
      <w:r w:rsidRPr="00251592">
        <w:rPr>
          <w:rFonts w:ascii="宋体" w:eastAsia="宋体" w:hAnsi="宋体" w:cs="Times New Roman" w:hint="eastAsia"/>
          <w:iCs/>
          <w:szCs w:val="21"/>
          <w:lang w:bidi="en-US"/>
        </w:rPr>
        <w:t>报告期内，公司</w:t>
      </w:r>
      <w:proofErr w:type="gramStart"/>
      <w:r w:rsidRPr="00251592">
        <w:rPr>
          <w:rFonts w:ascii="宋体" w:eastAsia="宋体" w:hAnsi="宋体" w:cs="Times New Roman" w:hint="eastAsia"/>
          <w:iCs/>
          <w:szCs w:val="21"/>
          <w:lang w:bidi="en-US"/>
        </w:rPr>
        <w:t>对保利</w:t>
      </w:r>
      <w:proofErr w:type="gramEnd"/>
      <w:r w:rsidRPr="00251592">
        <w:rPr>
          <w:rFonts w:ascii="宋体" w:eastAsia="宋体" w:hAnsi="宋体" w:cs="Times New Roman" w:hint="eastAsia"/>
          <w:iCs/>
          <w:szCs w:val="21"/>
          <w:lang w:bidi="en-US"/>
        </w:rPr>
        <w:t>的业务主要集中在华东、华南区域，若未来公司未能持续保持与保利的业务合作关系，将对公司经营业绩构成不利影响。</w:t>
      </w:r>
    </w:p>
    <w:p w14:paraId="4091D438"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未来，如果公司的技术服务能力无法持续满足下游客户需求，并最终导致双方合作关系终止，或者</w:t>
      </w:r>
      <w:r w:rsidRPr="00251592">
        <w:rPr>
          <w:rFonts w:ascii="宋体" w:eastAsia="宋体" w:hAnsi="宋体" w:cs="Times New Roman"/>
          <w:iCs/>
          <w:szCs w:val="21"/>
          <w:lang w:bidi="en-US"/>
        </w:rPr>
        <w:t>下游主要客户的经营状况或业务结构发生重大</w:t>
      </w:r>
      <w:r w:rsidRPr="00251592">
        <w:rPr>
          <w:rFonts w:ascii="宋体" w:eastAsia="宋体" w:hAnsi="宋体" w:cs="Times New Roman" w:hint="eastAsia"/>
          <w:iCs/>
          <w:szCs w:val="21"/>
          <w:lang w:bidi="en-US"/>
        </w:rPr>
        <w:t>不利</w:t>
      </w:r>
      <w:r w:rsidRPr="00251592">
        <w:rPr>
          <w:rFonts w:ascii="宋体" w:eastAsia="宋体" w:hAnsi="宋体" w:cs="Times New Roman"/>
          <w:iCs/>
          <w:szCs w:val="21"/>
          <w:lang w:bidi="en-US"/>
        </w:rPr>
        <w:t>变化，</w:t>
      </w:r>
      <w:r w:rsidRPr="00251592">
        <w:rPr>
          <w:rFonts w:ascii="宋体" w:eastAsia="宋体" w:hAnsi="宋体" w:cs="Times New Roman" w:hint="eastAsia"/>
          <w:iCs/>
          <w:szCs w:val="21"/>
          <w:lang w:bidi="en-US"/>
        </w:rPr>
        <w:t>使得公司不能继续维持与下游客户的良好合作关系，短期内将影响公司合同订单情况，则将对公司的盈利水平产生一定的不利影响</w:t>
      </w:r>
      <w:r w:rsidRPr="00251592">
        <w:rPr>
          <w:rFonts w:ascii="宋体" w:eastAsia="宋体" w:hAnsi="宋体" w:cs="Times New Roman"/>
          <w:iCs/>
          <w:szCs w:val="21"/>
          <w:lang w:bidi="en-US"/>
        </w:rPr>
        <w:t>。</w:t>
      </w:r>
    </w:p>
    <w:p w14:paraId="35873080"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1E5C7545"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5C0B9894" w14:textId="26D35B7E"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eastAsia="zh-TW" w:bidi="en-US"/>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执行了如下核查程序：</w:t>
      </w:r>
    </w:p>
    <w:p w14:paraId="43E94EAA"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cs="Times New Roman"/>
          <w:color w:val="000000"/>
          <w:kern w:val="0"/>
          <w:szCs w:val="21"/>
          <w:u w:color="000000"/>
          <w:lang w:bidi="en-US"/>
        </w:rPr>
        <w:t>1</w:t>
      </w:r>
      <w:r w:rsidRPr="00251592">
        <w:rPr>
          <w:rFonts w:ascii="宋体" w:eastAsia="宋体" w:hAnsi="宋体" w:cs="宋体" w:hint="eastAsia"/>
          <w:color w:val="000000"/>
          <w:kern w:val="0"/>
          <w:szCs w:val="21"/>
          <w:u w:color="000000"/>
          <w:lang w:bidi="en-US"/>
        </w:rPr>
        <w:t>、</w:t>
      </w:r>
      <w:r w:rsidRPr="00251592">
        <w:rPr>
          <w:rFonts w:ascii="宋体" w:eastAsia="宋体" w:hAnsi="宋体"/>
          <w:szCs w:val="21"/>
        </w:rPr>
        <w:t>结合2020年8月出</w:t>
      </w:r>
      <w:proofErr w:type="gramStart"/>
      <w:r w:rsidRPr="00251592">
        <w:rPr>
          <w:rFonts w:ascii="宋体" w:eastAsia="宋体" w:hAnsi="宋体"/>
          <w:szCs w:val="21"/>
        </w:rPr>
        <w:t>台对房企有息</w:t>
      </w:r>
      <w:proofErr w:type="gramEnd"/>
      <w:r w:rsidRPr="00251592">
        <w:rPr>
          <w:rFonts w:ascii="宋体" w:eastAsia="宋体" w:hAnsi="宋体"/>
          <w:szCs w:val="21"/>
        </w:rPr>
        <w:t>负债规模设置的“三道红线”融资新</w:t>
      </w:r>
      <w:proofErr w:type="gramStart"/>
      <w:r w:rsidRPr="00251592">
        <w:rPr>
          <w:rFonts w:ascii="宋体" w:eastAsia="宋体" w:hAnsi="宋体"/>
          <w:szCs w:val="21"/>
        </w:rPr>
        <w:t>规</w:t>
      </w:r>
      <w:proofErr w:type="gramEnd"/>
      <w:r w:rsidRPr="00251592">
        <w:rPr>
          <w:rFonts w:ascii="宋体" w:eastAsia="宋体" w:hAnsi="宋体"/>
          <w:szCs w:val="21"/>
        </w:rPr>
        <w:t>，</w:t>
      </w:r>
      <w:r w:rsidRPr="00251592">
        <w:rPr>
          <w:rFonts w:ascii="宋体" w:eastAsia="宋体" w:hAnsi="宋体" w:hint="eastAsia"/>
          <w:szCs w:val="21"/>
        </w:rPr>
        <w:t>对</w:t>
      </w:r>
      <w:r w:rsidRPr="00251592">
        <w:rPr>
          <w:rFonts w:ascii="宋体" w:eastAsia="宋体" w:hAnsi="宋体"/>
          <w:szCs w:val="21"/>
        </w:rPr>
        <w:t>发行人主要客户</w:t>
      </w:r>
      <w:r w:rsidRPr="00251592">
        <w:rPr>
          <w:rFonts w:ascii="宋体" w:eastAsia="宋体" w:hAnsi="宋体" w:hint="eastAsia"/>
          <w:szCs w:val="21"/>
        </w:rPr>
        <w:t>进行了</w:t>
      </w:r>
      <w:r w:rsidRPr="00251592">
        <w:rPr>
          <w:rFonts w:ascii="宋体" w:eastAsia="宋体" w:hAnsi="宋体"/>
          <w:szCs w:val="21"/>
        </w:rPr>
        <w:t>分类</w:t>
      </w:r>
      <w:r w:rsidRPr="00251592">
        <w:rPr>
          <w:rFonts w:ascii="宋体" w:eastAsia="宋体" w:hAnsi="宋体" w:hint="eastAsia"/>
          <w:szCs w:val="21"/>
        </w:rPr>
        <w:t>分析</w:t>
      </w:r>
      <w:r w:rsidRPr="00251592">
        <w:rPr>
          <w:rFonts w:ascii="宋体" w:eastAsia="宋体" w:hAnsi="宋体"/>
          <w:szCs w:val="21"/>
        </w:rPr>
        <w:t>；</w:t>
      </w:r>
    </w:p>
    <w:p w14:paraId="687BB4FC"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lastRenderedPageBreak/>
        <w:t>2、</w:t>
      </w:r>
      <w:r w:rsidRPr="00251592">
        <w:rPr>
          <w:rFonts w:ascii="宋体" w:eastAsia="宋体" w:hAnsi="宋体"/>
          <w:szCs w:val="21"/>
        </w:rPr>
        <w:t>按照中国证监会《首发问答》关于客户集中</w:t>
      </w:r>
      <w:proofErr w:type="gramStart"/>
      <w:r w:rsidRPr="00251592">
        <w:rPr>
          <w:rFonts w:ascii="宋体" w:eastAsia="宋体" w:hAnsi="宋体"/>
          <w:szCs w:val="21"/>
        </w:rPr>
        <w:t>度有关</w:t>
      </w:r>
      <w:proofErr w:type="gramEnd"/>
      <w:r w:rsidRPr="00251592">
        <w:rPr>
          <w:rFonts w:ascii="宋体" w:eastAsia="宋体" w:hAnsi="宋体"/>
          <w:szCs w:val="21"/>
        </w:rPr>
        <w:t>内容进行</w:t>
      </w:r>
      <w:r w:rsidRPr="00251592">
        <w:rPr>
          <w:rFonts w:ascii="宋体" w:eastAsia="宋体" w:hAnsi="宋体" w:hint="eastAsia"/>
          <w:szCs w:val="21"/>
        </w:rPr>
        <w:t>了详细</w:t>
      </w:r>
      <w:r w:rsidRPr="00251592">
        <w:rPr>
          <w:rFonts w:ascii="宋体" w:eastAsia="宋体" w:hAnsi="宋体"/>
          <w:szCs w:val="21"/>
        </w:rPr>
        <w:t>核查</w:t>
      </w:r>
      <w:r w:rsidRPr="00251592">
        <w:rPr>
          <w:rFonts w:ascii="宋体" w:eastAsia="宋体" w:hAnsi="宋体" w:hint="eastAsia"/>
          <w:szCs w:val="21"/>
        </w:rPr>
        <w:t>，具体包括：</w:t>
      </w:r>
    </w:p>
    <w:p w14:paraId="6CDB1098"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rPr>
      </w:pPr>
      <w:r w:rsidRPr="00251592">
        <w:rPr>
          <w:rFonts w:ascii="宋体" w:eastAsia="宋体" w:hAnsi="宋体" w:hint="eastAsia"/>
          <w:szCs w:val="21"/>
        </w:rPr>
        <w:t>（1）</w:t>
      </w:r>
      <w:r w:rsidRPr="00251592">
        <w:rPr>
          <w:rFonts w:ascii="宋体" w:eastAsia="宋体" w:hAnsi="宋体" w:cs="Times New Roman" w:hint="eastAsia"/>
          <w:kern w:val="0"/>
          <w:szCs w:val="21"/>
          <w:lang w:val="zh-TW"/>
        </w:rPr>
        <w:t>查询了发行人的收入明细表，对报告期各期前五大客户的销售收入、占比情况进行了统计，查询了发行人报告期内与保利合作的主要项目；</w:t>
      </w:r>
    </w:p>
    <w:p w14:paraId="2B188A63"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eastAsia="zh-TW"/>
        </w:rPr>
      </w:pPr>
      <w:r w:rsidRPr="00251592">
        <w:rPr>
          <w:rFonts w:ascii="宋体" w:eastAsia="宋体" w:hAnsi="宋体" w:cs="Times New Roman" w:hint="eastAsia"/>
          <w:kern w:val="0"/>
          <w:szCs w:val="21"/>
          <w:lang w:val="zh-TW" w:eastAsia="zh-TW"/>
        </w:rPr>
        <w:t>（2）就发行人业务收入呈现出前五名客户集中度高、特别是第一大客户保利占比高的情形，访谈了发行人高管人员，查阅了保利的公开披露资料、与保利合作的历史数据资料、同行业公司的公开披露资料，对其合理性进行了分析；</w:t>
      </w:r>
    </w:p>
    <w:p w14:paraId="6781B27B"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eastAsia="zh-TW"/>
        </w:rPr>
      </w:pPr>
      <w:r w:rsidRPr="00251592">
        <w:rPr>
          <w:rFonts w:ascii="宋体" w:eastAsia="宋体" w:hAnsi="宋体" w:cs="Times New Roman" w:hint="eastAsia"/>
          <w:kern w:val="0"/>
          <w:szCs w:val="21"/>
          <w:lang w:val="zh-TW" w:eastAsia="zh-TW"/>
        </w:rPr>
        <w:t>（3）就发行人与保利的业务合作过程，访谈了发行人高管人员，查阅了查阅了保利的公开披露资料、与保利合作的历史数据资料、与保利各区域公司签署的战略集采协议、有关招投标文件、保利的供应商管理制度等，并结合对保利的访谈，对发行人是否具备独立面向市场获取业务的能力进行了分析；</w:t>
      </w:r>
    </w:p>
    <w:p w14:paraId="75A91390"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hint="eastAsia"/>
          <w:kern w:val="0"/>
          <w:szCs w:val="21"/>
          <w:lang w:val="zh-TW" w:eastAsia="zh-TW"/>
        </w:rPr>
        <w:t>（4）就发行人与保利的交易的稳定性和可持续性，访谈了发行人高管人员，查阅了保利的公开披露资料、与保利合作的历史数据资料、与保利各区域公司签署的战略集采协议、在手订单等，对发行人与保利的交易的稳定性和可持续性进行了分析。</w:t>
      </w:r>
    </w:p>
    <w:p w14:paraId="72607751"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79CE4FF0" w14:textId="145B540F"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7ADDB194"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cs="Times New Roman" w:hint="eastAsia"/>
          <w:szCs w:val="21"/>
        </w:rPr>
        <w:t>1、发行人</w:t>
      </w:r>
      <w:r w:rsidRPr="00251592">
        <w:rPr>
          <w:rFonts w:ascii="宋体" w:eastAsia="宋体" w:hAnsi="宋体"/>
          <w:szCs w:val="21"/>
        </w:rPr>
        <w:t>结合2020年8月出</w:t>
      </w:r>
      <w:proofErr w:type="gramStart"/>
      <w:r w:rsidRPr="00251592">
        <w:rPr>
          <w:rFonts w:ascii="宋体" w:eastAsia="宋体" w:hAnsi="宋体"/>
          <w:szCs w:val="21"/>
        </w:rPr>
        <w:t>台对房企有息</w:t>
      </w:r>
      <w:proofErr w:type="gramEnd"/>
      <w:r w:rsidRPr="00251592">
        <w:rPr>
          <w:rFonts w:ascii="宋体" w:eastAsia="宋体" w:hAnsi="宋体"/>
          <w:szCs w:val="21"/>
        </w:rPr>
        <w:t>负债规模设置的“三道红线”融资新</w:t>
      </w:r>
      <w:proofErr w:type="gramStart"/>
      <w:r w:rsidRPr="00251592">
        <w:rPr>
          <w:rFonts w:ascii="宋体" w:eastAsia="宋体" w:hAnsi="宋体"/>
          <w:szCs w:val="21"/>
        </w:rPr>
        <w:t>规</w:t>
      </w:r>
      <w:proofErr w:type="gramEnd"/>
      <w:r w:rsidRPr="00251592">
        <w:rPr>
          <w:rFonts w:ascii="宋体" w:eastAsia="宋体" w:hAnsi="宋体"/>
          <w:szCs w:val="21"/>
        </w:rPr>
        <w:t>，</w:t>
      </w:r>
      <w:r w:rsidRPr="00251592">
        <w:rPr>
          <w:rFonts w:ascii="宋体" w:eastAsia="宋体" w:hAnsi="宋体" w:hint="eastAsia"/>
          <w:szCs w:val="21"/>
        </w:rPr>
        <w:t>对</w:t>
      </w:r>
      <w:r w:rsidRPr="00251592">
        <w:rPr>
          <w:rFonts w:ascii="宋体" w:eastAsia="宋体" w:hAnsi="宋体"/>
          <w:szCs w:val="21"/>
        </w:rPr>
        <w:t>发行人主要客户</w:t>
      </w:r>
      <w:r w:rsidRPr="00251592">
        <w:rPr>
          <w:rFonts w:ascii="宋体" w:eastAsia="宋体" w:hAnsi="宋体" w:hint="eastAsia"/>
          <w:szCs w:val="21"/>
        </w:rPr>
        <w:t>进行了</w:t>
      </w:r>
      <w:r w:rsidRPr="00251592">
        <w:rPr>
          <w:rFonts w:ascii="宋体" w:eastAsia="宋体" w:hAnsi="宋体"/>
          <w:szCs w:val="21"/>
        </w:rPr>
        <w:t>分类</w:t>
      </w:r>
      <w:r w:rsidRPr="00251592">
        <w:rPr>
          <w:rFonts w:ascii="宋体" w:eastAsia="宋体" w:hAnsi="宋体" w:hint="eastAsia"/>
          <w:szCs w:val="21"/>
        </w:rPr>
        <w:t>分析，有关数据真实、准确；</w:t>
      </w:r>
    </w:p>
    <w:p w14:paraId="25F283A9"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2、报告期内，发行人客户集中度高、特别是第一大客户保利</w:t>
      </w:r>
      <w:proofErr w:type="gramStart"/>
      <w:r w:rsidRPr="00251592">
        <w:rPr>
          <w:rFonts w:ascii="宋体" w:eastAsia="宋体" w:hAnsi="宋体" w:hint="eastAsia"/>
          <w:szCs w:val="21"/>
        </w:rPr>
        <w:t>占比较</w:t>
      </w:r>
      <w:proofErr w:type="gramEnd"/>
      <w:r w:rsidRPr="00251592">
        <w:rPr>
          <w:rFonts w:ascii="宋体" w:eastAsia="宋体" w:hAnsi="宋体" w:hint="eastAsia"/>
          <w:szCs w:val="21"/>
        </w:rPr>
        <w:t>高，具有合理原因，发行人</w:t>
      </w:r>
      <w:proofErr w:type="gramStart"/>
      <w:r w:rsidRPr="00251592">
        <w:rPr>
          <w:rFonts w:ascii="宋体" w:eastAsia="宋体" w:hAnsi="宋体" w:hint="eastAsia"/>
          <w:szCs w:val="21"/>
        </w:rPr>
        <w:t>对保利存在</w:t>
      </w:r>
      <w:proofErr w:type="gramEnd"/>
      <w:r w:rsidRPr="00251592">
        <w:rPr>
          <w:rFonts w:ascii="宋体" w:eastAsia="宋体" w:hAnsi="宋体" w:hint="eastAsia"/>
          <w:szCs w:val="21"/>
        </w:rPr>
        <w:t>一定程度的依赖，但</w:t>
      </w:r>
      <w:r w:rsidRPr="00251592">
        <w:rPr>
          <w:rFonts w:ascii="宋体" w:eastAsia="宋体" w:hAnsi="宋体"/>
          <w:szCs w:val="21"/>
        </w:rPr>
        <w:t>对发行条件</w:t>
      </w:r>
      <w:r w:rsidRPr="00251592">
        <w:rPr>
          <w:rFonts w:ascii="宋体" w:eastAsia="宋体" w:hAnsi="宋体" w:hint="eastAsia"/>
          <w:szCs w:val="21"/>
        </w:rPr>
        <w:t>不构成重大不利影响</w:t>
      </w:r>
      <w:r w:rsidRPr="00251592">
        <w:rPr>
          <w:rFonts w:ascii="宋体" w:eastAsia="宋体" w:hAnsi="宋体"/>
          <w:szCs w:val="21"/>
        </w:rPr>
        <w:t>，不存在影响</w:t>
      </w:r>
      <w:r w:rsidRPr="00251592">
        <w:rPr>
          <w:rFonts w:ascii="宋体" w:eastAsia="宋体" w:hAnsi="宋体" w:hint="eastAsia"/>
          <w:szCs w:val="21"/>
        </w:rPr>
        <w:t>发行人</w:t>
      </w:r>
      <w:r w:rsidRPr="00251592">
        <w:rPr>
          <w:rFonts w:ascii="宋体" w:eastAsia="宋体" w:hAnsi="宋体"/>
          <w:szCs w:val="21"/>
        </w:rPr>
        <w:t>持续盈利能力的重大不利情形</w:t>
      </w:r>
      <w:r w:rsidRPr="00251592">
        <w:rPr>
          <w:rFonts w:ascii="宋体" w:eastAsia="宋体" w:hAnsi="宋体" w:hint="eastAsia"/>
          <w:szCs w:val="21"/>
        </w:rPr>
        <w:t>；</w:t>
      </w:r>
    </w:p>
    <w:p w14:paraId="63B1BED6"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3、发行人已按照</w:t>
      </w:r>
      <w:r w:rsidRPr="00251592">
        <w:rPr>
          <w:rFonts w:ascii="宋体" w:eastAsia="宋体" w:hAnsi="宋体"/>
          <w:szCs w:val="21"/>
        </w:rPr>
        <w:t>《首发问答》</w:t>
      </w:r>
      <w:r w:rsidRPr="00251592">
        <w:rPr>
          <w:rFonts w:ascii="宋体" w:eastAsia="宋体" w:hAnsi="宋体" w:hint="eastAsia"/>
          <w:szCs w:val="21"/>
        </w:rPr>
        <w:t>的要求进行了相关信息披露，</w:t>
      </w:r>
      <w:r w:rsidRPr="00251592">
        <w:rPr>
          <w:rFonts w:ascii="宋体" w:eastAsia="宋体" w:hAnsi="宋体"/>
          <w:szCs w:val="21"/>
        </w:rPr>
        <w:t>并在招股说明书中充分揭示客户集中度较高可能带来的风险</w:t>
      </w:r>
      <w:r w:rsidRPr="00251592">
        <w:rPr>
          <w:rFonts w:ascii="宋体" w:eastAsia="宋体" w:hAnsi="宋体" w:hint="eastAsia"/>
          <w:szCs w:val="21"/>
        </w:rPr>
        <w:t>，相关披露信息真实、准确；</w:t>
      </w:r>
    </w:p>
    <w:p w14:paraId="34F30CC8" w14:textId="4AA48519"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hint="eastAsia"/>
          <w:szCs w:val="21"/>
        </w:rPr>
        <w:t>4、</w:t>
      </w: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已</w:t>
      </w:r>
      <w:r w:rsidRPr="00251592">
        <w:rPr>
          <w:rFonts w:ascii="宋体" w:eastAsia="宋体" w:hAnsi="宋体"/>
          <w:szCs w:val="21"/>
        </w:rPr>
        <w:t>按照中国证监会《首发问答》关于客户集中</w:t>
      </w:r>
      <w:proofErr w:type="gramStart"/>
      <w:r w:rsidRPr="00251592">
        <w:rPr>
          <w:rFonts w:ascii="宋体" w:eastAsia="宋体" w:hAnsi="宋体"/>
          <w:szCs w:val="21"/>
        </w:rPr>
        <w:t>度有关</w:t>
      </w:r>
      <w:proofErr w:type="gramEnd"/>
      <w:r w:rsidRPr="00251592">
        <w:rPr>
          <w:rFonts w:ascii="宋体" w:eastAsia="宋体" w:hAnsi="宋体"/>
          <w:szCs w:val="21"/>
        </w:rPr>
        <w:t>内容进行核查，</w:t>
      </w:r>
      <w:r w:rsidRPr="00251592">
        <w:rPr>
          <w:rFonts w:ascii="宋体" w:eastAsia="宋体" w:hAnsi="宋体" w:hint="eastAsia"/>
          <w:szCs w:val="21"/>
        </w:rPr>
        <w:t>相关核查充分、有效。发行人</w:t>
      </w:r>
      <w:proofErr w:type="gramStart"/>
      <w:r w:rsidRPr="00251592">
        <w:rPr>
          <w:rFonts w:ascii="宋体" w:eastAsia="宋体" w:hAnsi="宋体" w:hint="eastAsia"/>
          <w:szCs w:val="21"/>
        </w:rPr>
        <w:t>对保利存在</w:t>
      </w:r>
      <w:proofErr w:type="gramEnd"/>
      <w:r w:rsidRPr="00251592">
        <w:rPr>
          <w:rFonts w:ascii="宋体" w:eastAsia="宋体" w:hAnsi="宋体" w:hint="eastAsia"/>
          <w:szCs w:val="21"/>
        </w:rPr>
        <w:t>一定程度的依赖，但</w:t>
      </w:r>
      <w:r w:rsidRPr="00251592">
        <w:rPr>
          <w:rFonts w:ascii="宋体" w:eastAsia="宋体" w:hAnsi="宋体"/>
          <w:szCs w:val="21"/>
        </w:rPr>
        <w:t>对发行条件</w:t>
      </w:r>
      <w:r w:rsidRPr="00251592">
        <w:rPr>
          <w:rFonts w:ascii="宋体" w:eastAsia="宋体" w:hAnsi="宋体" w:hint="eastAsia"/>
          <w:szCs w:val="21"/>
        </w:rPr>
        <w:t>不构成重大不利影响</w:t>
      </w:r>
      <w:r w:rsidRPr="00251592">
        <w:rPr>
          <w:rFonts w:ascii="宋体" w:eastAsia="宋体" w:hAnsi="宋体"/>
          <w:szCs w:val="21"/>
        </w:rPr>
        <w:t>。</w:t>
      </w:r>
    </w:p>
    <w:p w14:paraId="6B3E23DA" w14:textId="77777777" w:rsidR="00C17BBD" w:rsidRPr="00251592" w:rsidRDefault="00C17BBD" w:rsidP="00C17BBD">
      <w:pPr>
        <w:pStyle w:val="af7"/>
        <w:ind w:firstLine="420"/>
        <w:rPr>
          <w:rFonts w:ascii="宋体" w:eastAsia="宋体" w:hAnsi="宋体"/>
          <w:b w:val="0"/>
          <w:bCs w:val="0"/>
          <w:sz w:val="21"/>
          <w:szCs w:val="21"/>
        </w:rPr>
      </w:pPr>
    </w:p>
    <w:p w14:paraId="49F2622C" w14:textId="77777777" w:rsidR="00C17BBD" w:rsidRPr="00251592" w:rsidRDefault="00C17BBD" w:rsidP="00C17BBD">
      <w:pPr>
        <w:pStyle w:val="af6"/>
        <w:ind w:firstLine="422"/>
        <w:rPr>
          <w:rFonts w:ascii="宋体" w:hAnsi="宋体"/>
          <w:sz w:val="21"/>
          <w:szCs w:val="21"/>
        </w:rPr>
      </w:pPr>
      <w:bookmarkStart w:id="6" w:name="_Toc55861284"/>
      <w:r w:rsidRPr="00251592">
        <w:rPr>
          <w:rFonts w:ascii="宋体" w:hAnsi="宋体" w:hint="eastAsia"/>
          <w:sz w:val="21"/>
          <w:szCs w:val="21"/>
        </w:rPr>
        <w:lastRenderedPageBreak/>
        <w:t>问题</w:t>
      </w:r>
      <w:r w:rsidRPr="00251592">
        <w:rPr>
          <w:rFonts w:ascii="宋体" w:hAnsi="宋体"/>
          <w:sz w:val="21"/>
          <w:szCs w:val="21"/>
        </w:rPr>
        <w:t>7</w:t>
      </w:r>
      <w:bookmarkEnd w:id="6"/>
    </w:p>
    <w:p w14:paraId="72AD151D"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rPr>
      </w:pPr>
      <w:r w:rsidRPr="00251592">
        <w:rPr>
          <w:rFonts w:ascii="宋体" w:eastAsia="宋体" w:hAnsi="宋体"/>
          <w:b/>
          <w:bCs/>
          <w:szCs w:val="21"/>
        </w:rPr>
        <w:t>7</w:t>
      </w:r>
      <w:r w:rsidRPr="00251592">
        <w:rPr>
          <w:rFonts w:ascii="宋体" w:eastAsia="宋体" w:hAnsi="宋体" w:hint="eastAsia"/>
          <w:b/>
          <w:bCs/>
          <w:szCs w:val="21"/>
        </w:rPr>
        <w:t>.</w:t>
      </w:r>
      <w:r w:rsidRPr="00251592">
        <w:rPr>
          <w:rFonts w:ascii="宋体" w:eastAsia="宋体" w:hAnsi="宋体"/>
          <w:b/>
          <w:bCs/>
          <w:szCs w:val="21"/>
        </w:rPr>
        <w:t xml:space="preserve"> 根据申报材料及审核问询回复，2019年，公司人均薪酬为30.32万元，若剔除新招应届毕业生或助理人员的影响后，人均薪酬为34.54万元，与2018年的37.12万元相比，较为接近。同时，发行人认为2019年员工人数增加与当年薪</w:t>
      </w:r>
      <w:proofErr w:type="gramStart"/>
      <w:r w:rsidRPr="00251592">
        <w:rPr>
          <w:rFonts w:ascii="宋体" w:eastAsia="宋体" w:hAnsi="宋体"/>
          <w:b/>
          <w:bCs/>
          <w:szCs w:val="21"/>
        </w:rPr>
        <w:t>酬</w:t>
      </w:r>
      <w:proofErr w:type="gramEnd"/>
      <w:r w:rsidRPr="00251592">
        <w:rPr>
          <w:rFonts w:ascii="宋体" w:eastAsia="宋体" w:hAnsi="宋体"/>
          <w:b/>
          <w:bCs/>
          <w:szCs w:val="21"/>
        </w:rPr>
        <w:t>总额增加相匹配，符合公司薪酬政策。请发行人补充披露2019年新招应届毕业生或助理人员具体薪酬情况，包括人数、人均薪酬、薪酬总额等，并将新招人员薪酬情况与当地平均水平、同行业平均水平进行比较，分析合理性。</w:t>
      </w:r>
    </w:p>
    <w:p w14:paraId="750FDF49"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rPr>
      </w:pPr>
      <w:r w:rsidRPr="00251592">
        <w:rPr>
          <w:rFonts w:ascii="宋体" w:eastAsia="宋体" w:hAnsi="宋体"/>
          <w:b/>
          <w:bCs/>
          <w:szCs w:val="21"/>
        </w:rPr>
        <w:t>请保荐人、申报会计师结合对相关新招人员访谈情况发表明确意见，并说明访谈时间、形式、人数、对象。</w:t>
      </w:r>
    </w:p>
    <w:p w14:paraId="7CF5E721"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5552EEC0" w14:textId="77777777" w:rsidR="00C17BBD" w:rsidRPr="00251592" w:rsidRDefault="00C17BBD" w:rsidP="00C17BBD">
      <w:pPr>
        <w:pStyle w:val="14"/>
        <w:ind w:firstLine="420"/>
        <w:rPr>
          <w:rFonts w:ascii="宋体" w:hAnsi="宋体" w:cs="Times New Roman"/>
          <w:sz w:val="21"/>
          <w:szCs w:val="21"/>
        </w:rPr>
      </w:pPr>
      <w:bookmarkStart w:id="7" w:name="_Hlk55644612"/>
      <w:r w:rsidRPr="00251592">
        <w:rPr>
          <w:rFonts w:ascii="宋体" w:hAnsi="宋体" w:cs="Times New Roman"/>
          <w:sz w:val="21"/>
          <w:szCs w:val="21"/>
        </w:rPr>
        <w:t>2019年新招应届毕业生或助理人员共计98人，薪酬总额653.65万元，年均人数45人，</w:t>
      </w:r>
      <w:proofErr w:type="gramStart"/>
      <w:r w:rsidRPr="00251592">
        <w:rPr>
          <w:rFonts w:ascii="宋体" w:hAnsi="宋体" w:cs="Times New Roman"/>
          <w:sz w:val="21"/>
          <w:szCs w:val="21"/>
        </w:rPr>
        <w:t>人均年化薪酬</w:t>
      </w:r>
      <w:proofErr w:type="gramEnd"/>
      <w:r w:rsidRPr="00251592">
        <w:rPr>
          <w:rFonts w:ascii="宋体" w:hAnsi="宋体" w:cs="Times New Roman"/>
          <w:sz w:val="21"/>
          <w:szCs w:val="21"/>
        </w:rPr>
        <w:t>14.55万元/人。</w:t>
      </w:r>
    </w:p>
    <w:p w14:paraId="699E13CA"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经查询建筑英才网（</w:t>
      </w:r>
      <w:proofErr w:type="gramStart"/>
      <w:r w:rsidRPr="00251592">
        <w:rPr>
          <w:rFonts w:ascii="宋体" w:hAnsi="宋体" w:cs="Times New Roman"/>
          <w:sz w:val="21"/>
          <w:szCs w:val="21"/>
        </w:rPr>
        <w:t>英才网</w:t>
      </w:r>
      <w:proofErr w:type="gramEnd"/>
      <w:r w:rsidRPr="00251592">
        <w:rPr>
          <w:rFonts w:ascii="宋体" w:hAnsi="宋体" w:cs="Times New Roman"/>
          <w:sz w:val="21"/>
          <w:szCs w:val="21"/>
        </w:rPr>
        <w:t>联旗下专业为建筑设计、工程施工等领域企事业单位以及相关从业人员提供招聘、求职等服务的专业人才网站，https://www.buildhr.com）有关公开数据，在上海地区，助理建筑师人均薪酬8,115元/月,即9.74万元/年。2019年，公司新招应届毕业生或助理人员</w:t>
      </w:r>
      <w:proofErr w:type="gramStart"/>
      <w:r w:rsidRPr="00251592">
        <w:rPr>
          <w:rFonts w:ascii="宋体" w:hAnsi="宋体" w:cs="Times New Roman"/>
          <w:sz w:val="21"/>
          <w:szCs w:val="21"/>
        </w:rPr>
        <w:t>人均年化薪酬</w:t>
      </w:r>
      <w:proofErr w:type="gramEnd"/>
      <w:r w:rsidRPr="00251592">
        <w:rPr>
          <w:rFonts w:ascii="宋体" w:hAnsi="宋体" w:cs="Times New Roman"/>
          <w:sz w:val="21"/>
          <w:szCs w:val="21"/>
        </w:rPr>
        <w:t>14.55万元/人，高于当地同行业水平，与公司整体薪酬水平高于同行业公司的情况一致。</w:t>
      </w:r>
      <w:bookmarkEnd w:id="7"/>
    </w:p>
    <w:p w14:paraId="706A16A1"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30F30E0F"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776F1AC1" w14:textId="0EB47894"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eastAsia="zh-TW" w:bidi="en-US"/>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执行了如下核查程序：</w:t>
      </w:r>
    </w:p>
    <w:p w14:paraId="7C625EFD"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eastAsia="zh-TW"/>
        </w:rPr>
      </w:pPr>
      <w:r w:rsidRPr="00251592">
        <w:rPr>
          <w:rFonts w:ascii="宋体" w:eastAsia="宋体" w:hAnsi="宋体" w:cs="Times New Roman"/>
          <w:color w:val="000000"/>
          <w:kern w:val="0"/>
          <w:szCs w:val="21"/>
          <w:u w:color="000000"/>
          <w:lang w:bidi="en-US"/>
        </w:rPr>
        <w:t>1</w:t>
      </w:r>
      <w:r w:rsidRPr="00251592">
        <w:rPr>
          <w:rFonts w:ascii="宋体" w:eastAsia="宋体" w:hAnsi="宋体" w:cs="宋体" w:hint="eastAsia"/>
          <w:color w:val="000000"/>
          <w:kern w:val="0"/>
          <w:szCs w:val="21"/>
          <w:u w:color="000000"/>
          <w:lang w:bidi="en-US"/>
        </w:rPr>
        <w:t>、</w:t>
      </w:r>
      <w:r w:rsidRPr="00251592">
        <w:rPr>
          <w:rFonts w:ascii="宋体" w:eastAsia="宋体" w:hAnsi="宋体" w:cs="Times New Roman" w:hint="eastAsia"/>
          <w:kern w:val="0"/>
          <w:szCs w:val="21"/>
          <w:lang w:val="zh-TW"/>
        </w:rPr>
        <w:t>查阅了</w:t>
      </w:r>
      <w:r w:rsidRPr="00251592">
        <w:rPr>
          <w:rFonts w:ascii="宋体" w:eastAsia="宋体" w:hAnsi="宋体" w:cs="Times New Roman"/>
          <w:kern w:val="0"/>
          <w:szCs w:val="21"/>
          <w:lang w:val="zh-TW"/>
        </w:rPr>
        <w:t>2019年新招应届毕业生或助理人员具体薪酬情况，包括人数、人均薪酬、薪酬总额等，并将新招人员薪酬情况与当地平均水平、同行业平均水平进行比较，分析合理性</w:t>
      </w:r>
      <w:r w:rsidRPr="00251592">
        <w:rPr>
          <w:rFonts w:ascii="宋体" w:eastAsia="宋体" w:hAnsi="宋体" w:cs="Times New Roman" w:hint="eastAsia"/>
          <w:kern w:val="0"/>
          <w:szCs w:val="21"/>
          <w:lang w:val="zh-TW" w:eastAsia="zh-TW"/>
        </w:rPr>
        <w:t>；</w:t>
      </w:r>
    </w:p>
    <w:p w14:paraId="64E2F9EF" w14:textId="2492E37B"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rPr>
      </w:pPr>
      <w:r w:rsidRPr="00251592">
        <w:rPr>
          <w:rFonts w:ascii="宋体" w:eastAsia="宋体" w:hAnsi="宋体" w:cs="Times New Roman" w:hint="eastAsia"/>
          <w:color w:val="000000"/>
          <w:kern w:val="0"/>
          <w:szCs w:val="21"/>
          <w:u w:color="000000"/>
          <w:lang w:bidi="en-US"/>
        </w:rPr>
        <w:t>2</w:t>
      </w:r>
      <w:r w:rsidRPr="00251592">
        <w:rPr>
          <w:rFonts w:ascii="宋体" w:eastAsia="宋体" w:hAnsi="宋体" w:cs="宋体" w:hint="eastAsia"/>
          <w:color w:val="000000"/>
          <w:kern w:val="0"/>
          <w:szCs w:val="21"/>
          <w:u w:color="000000"/>
          <w:lang w:bidi="en-US"/>
        </w:rPr>
        <w:t>、</w:t>
      </w:r>
      <w:r w:rsidRPr="00251592">
        <w:rPr>
          <w:rFonts w:ascii="宋体" w:eastAsia="宋体" w:hAnsi="宋体" w:cs="Times New Roman"/>
          <w:color w:val="000000"/>
          <w:kern w:val="0"/>
          <w:szCs w:val="21"/>
          <w:u w:color="000000"/>
          <w:lang w:bidi="en-US"/>
        </w:rPr>
        <w:t>2019</w:t>
      </w:r>
      <w:r w:rsidRPr="00251592">
        <w:rPr>
          <w:rFonts w:ascii="宋体" w:eastAsia="宋体" w:hAnsi="宋体" w:cs="宋体" w:hint="eastAsia"/>
          <w:color w:val="000000"/>
          <w:kern w:val="0"/>
          <w:szCs w:val="21"/>
          <w:u w:color="000000"/>
          <w:lang w:bidi="en-US"/>
        </w:rPr>
        <w:t>年，发行人新招应届毕业生或助理人员共计</w:t>
      </w:r>
      <w:r w:rsidRPr="00251592">
        <w:rPr>
          <w:rFonts w:ascii="宋体" w:eastAsia="宋体" w:hAnsi="宋体" w:cs="Times New Roman"/>
          <w:color w:val="000000"/>
          <w:kern w:val="0"/>
          <w:szCs w:val="21"/>
          <w:u w:color="000000"/>
          <w:lang w:bidi="en-US"/>
        </w:rPr>
        <w:t>98</w:t>
      </w:r>
      <w:r w:rsidRPr="00251592">
        <w:rPr>
          <w:rFonts w:ascii="宋体" w:eastAsia="宋体" w:hAnsi="宋体" w:cs="宋体" w:hint="eastAsia"/>
          <w:color w:val="000000"/>
          <w:kern w:val="0"/>
          <w:szCs w:val="21"/>
          <w:u w:color="000000"/>
          <w:lang w:bidi="en-US"/>
        </w:rPr>
        <w:t>人，</w:t>
      </w: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于2020年11月3日至11月6日期间对其中25名进行了抽样访谈，访谈内容包括了解其入职时间、入职岗位、薪酬情况、与同地区同行业比较情况、是否存在第三方代为发放薪酬等内容。</w:t>
      </w:r>
    </w:p>
    <w:p w14:paraId="729B208F"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443D0CE1" w14:textId="3C8270ED"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lastRenderedPageBreak/>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7523E22F"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rPr>
      </w:pPr>
      <w:r w:rsidRPr="00251592">
        <w:rPr>
          <w:rFonts w:ascii="宋体" w:eastAsia="宋体" w:hAnsi="宋体" w:cs="Times New Roman" w:hint="eastAsia"/>
          <w:szCs w:val="21"/>
        </w:rPr>
        <w:t>1、</w:t>
      </w:r>
      <w:r w:rsidRPr="00251592">
        <w:rPr>
          <w:rFonts w:ascii="宋体" w:eastAsia="宋体" w:hAnsi="宋体" w:cs="Times New Roman"/>
          <w:kern w:val="0"/>
          <w:szCs w:val="21"/>
          <w:lang w:val="zh-TW"/>
        </w:rPr>
        <w:t>2019年新招应届毕业生或助理人员具体薪酬情况，包括人数、人均薪酬、薪酬总额等，</w:t>
      </w:r>
      <w:r w:rsidRPr="00251592">
        <w:rPr>
          <w:rFonts w:ascii="宋体" w:eastAsia="宋体" w:hAnsi="宋体" w:cs="Times New Roman" w:hint="eastAsia"/>
          <w:kern w:val="0"/>
          <w:szCs w:val="21"/>
          <w:lang w:val="zh-TW"/>
        </w:rPr>
        <w:t>有关数据真实、准确。</w:t>
      </w:r>
      <w:r w:rsidRPr="00251592">
        <w:rPr>
          <w:rFonts w:ascii="宋体" w:eastAsia="宋体" w:hAnsi="宋体" w:cs="Times New Roman"/>
          <w:kern w:val="0"/>
          <w:szCs w:val="21"/>
          <w:lang w:val="zh-TW"/>
        </w:rPr>
        <w:t>新招人员薪酬情况与当地平均水平、同行业平均水平</w:t>
      </w:r>
      <w:r w:rsidRPr="00251592">
        <w:rPr>
          <w:rFonts w:ascii="宋体" w:eastAsia="宋体" w:hAnsi="宋体" w:cs="Times New Roman" w:hint="eastAsia"/>
          <w:kern w:val="0"/>
          <w:szCs w:val="21"/>
          <w:lang w:val="zh-TW"/>
        </w:rPr>
        <w:t>相比具有</w:t>
      </w:r>
      <w:r w:rsidRPr="00251592">
        <w:rPr>
          <w:rFonts w:ascii="宋体" w:eastAsia="宋体" w:hAnsi="宋体" w:cs="Times New Roman"/>
          <w:kern w:val="0"/>
          <w:szCs w:val="21"/>
          <w:lang w:val="zh-TW"/>
        </w:rPr>
        <w:t>合理性</w:t>
      </w:r>
      <w:r w:rsidRPr="00251592">
        <w:rPr>
          <w:rFonts w:ascii="宋体" w:eastAsia="宋体" w:hAnsi="宋体" w:cs="Times New Roman" w:hint="eastAsia"/>
          <w:kern w:val="0"/>
          <w:szCs w:val="21"/>
          <w:lang w:val="zh-TW"/>
        </w:rPr>
        <w:t>；</w:t>
      </w:r>
    </w:p>
    <w:p w14:paraId="7CA92C17" w14:textId="322D9F88"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rPr>
      </w:pPr>
      <w:r w:rsidRPr="00251592">
        <w:rPr>
          <w:rFonts w:ascii="宋体" w:eastAsia="宋体" w:hAnsi="宋体" w:cs="Times New Roman" w:hint="eastAsia"/>
          <w:kern w:val="0"/>
          <w:szCs w:val="21"/>
          <w:lang w:val="zh-TW"/>
        </w:rPr>
        <w:t>2、申报会计师已对相关新招人员进行抽样访谈，经访谈，相关新招人员的有关信息真实、准确，符合发行人实际情况。</w:t>
      </w:r>
    </w:p>
    <w:p w14:paraId="010D7ADA" w14:textId="77777777" w:rsidR="00C17BBD" w:rsidRPr="00251592" w:rsidRDefault="00C17BBD" w:rsidP="00C17BBD">
      <w:pPr>
        <w:pStyle w:val="af7"/>
        <w:ind w:firstLine="420"/>
        <w:rPr>
          <w:rFonts w:ascii="宋体" w:eastAsia="宋体" w:hAnsi="宋体"/>
          <w:b w:val="0"/>
          <w:bCs w:val="0"/>
          <w:sz w:val="21"/>
          <w:szCs w:val="21"/>
        </w:rPr>
      </w:pPr>
    </w:p>
    <w:p w14:paraId="7D2EA07C" w14:textId="77777777" w:rsidR="00C17BBD" w:rsidRPr="00251592" w:rsidRDefault="00C17BBD" w:rsidP="00C17BBD">
      <w:pPr>
        <w:spacing w:beforeLines="50" w:before="156" w:afterLines="50" w:after="156" w:line="360" w:lineRule="auto"/>
        <w:ind w:firstLineChars="200" w:firstLine="422"/>
        <w:outlineLvl w:val="0"/>
        <w:rPr>
          <w:rFonts w:ascii="宋体" w:eastAsia="宋体" w:hAnsi="宋体" w:cs="Times New Roman"/>
          <w:b/>
          <w:bCs/>
          <w:szCs w:val="21"/>
        </w:rPr>
      </w:pPr>
      <w:bookmarkStart w:id="8" w:name="_Toc55861285"/>
      <w:r w:rsidRPr="00251592">
        <w:rPr>
          <w:rFonts w:ascii="宋体" w:eastAsia="宋体" w:hAnsi="宋体" w:cs="Times New Roman" w:hint="eastAsia"/>
          <w:b/>
          <w:bCs/>
          <w:szCs w:val="21"/>
        </w:rPr>
        <w:t>问题</w:t>
      </w:r>
      <w:r w:rsidRPr="00251592">
        <w:rPr>
          <w:rFonts w:ascii="宋体" w:eastAsia="宋体" w:hAnsi="宋体" w:cs="Times New Roman"/>
          <w:b/>
          <w:bCs/>
          <w:szCs w:val="21"/>
        </w:rPr>
        <w:t>8</w:t>
      </w:r>
      <w:bookmarkEnd w:id="8"/>
    </w:p>
    <w:p w14:paraId="00CFA419"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8. 根据申报材料及审核问询回复，2019年、2020年1-6月，公司向都市霍普采购方案深化、施工图设计等服务，交易金额分别为971.59万元、50.94万元，占当期营业成本的比例为7.57%、0.76%；向麦格霍普采购建筑室内设计等服务，交易金额分别为44.02万元、109.65万元，占当期营业成本的比例为0.34%、1.64%。结合目前在手合同，预计2020年全年，公司向都市霍普、麦格霍普采购金额分别为306.32万元、129.39万元。同时，保荐人、申报会计师在前次审核问询回复中，未按要求就发行人采购的主要项目合作服务的定价公允</w:t>
      </w:r>
      <w:proofErr w:type="gramStart"/>
      <w:r w:rsidRPr="00251592">
        <w:rPr>
          <w:rFonts w:ascii="宋体" w:eastAsia="宋体" w:hAnsi="宋体"/>
          <w:sz w:val="21"/>
          <w:szCs w:val="21"/>
        </w:rPr>
        <w:t>性发表</w:t>
      </w:r>
      <w:proofErr w:type="gramEnd"/>
      <w:r w:rsidRPr="00251592">
        <w:rPr>
          <w:rFonts w:ascii="宋体" w:eastAsia="宋体" w:hAnsi="宋体"/>
          <w:sz w:val="21"/>
          <w:szCs w:val="21"/>
        </w:rPr>
        <w:t>核查意见。请发行人补充披露2020年向都市霍普采购金额迅速下降、向麦格霍普采购金额上升较多的原因及合理性。</w:t>
      </w:r>
    </w:p>
    <w:p w14:paraId="38D6F314"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请保荐人、申报会计师发表明确意见，并就前次审核问询回复中应发表未发表核查意见的事项补充发表相关意见。</w:t>
      </w:r>
    </w:p>
    <w:p w14:paraId="29380F40"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399EBFC7"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报告期内，公司向关联方购买商品、接受劳务情况如下：</w:t>
      </w:r>
    </w:p>
    <w:p w14:paraId="1A3006BE" w14:textId="77777777" w:rsidR="00C17BBD" w:rsidRPr="00251592" w:rsidRDefault="00C17BBD" w:rsidP="00C17BBD">
      <w:pPr>
        <w:ind w:firstLineChars="200" w:firstLine="420"/>
        <w:jc w:val="right"/>
        <w:rPr>
          <w:rFonts w:ascii="宋体" w:eastAsia="宋体" w:hAnsi="宋体" w:cs="Times New Roman"/>
          <w:szCs w:val="21"/>
        </w:rPr>
      </w:pPr>
      <w:r w:rsidRPr="00251592">
        <w:rPr>
          <w:rFonts w:ascii="宋体" w:eastAsia="宋体" w:hAnsi="宋体" w:cs="Times New Roman" w:hint="eastAsia"/>
          <w:szCs w:val="21"/>
        </w:rPr>
        <w:t>单位：万元</w:t>
      </w:r>
    </w:p>
    <w:tbl>
      <w:tblPr>
        <w:tblW w:w="4893"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1532"/>
        <w:gridCol w:w="892"/>
        <w:gridCol w:w="1279"/>
        <w:gridCol w:w="991"/>
        <w:gridCol w:w="1278"/>
        <w:gridCol w:w="992"/>
        <w:gridCol w:w="1376"/>
      </w:tblGrid>
      <w:tr w:rsidR="00C17BBD" w:rsidRPr="00251592" w14:paraId="2555A9F6" w14:textId="77777777" w:rsidTr="00622023">
        <w:trPr>
          <w:trHeight w:val="397"/>
          <w:jc w:val="center"/>
        </w:trPr>
        <w:tc>
          <w:tcPr>
            <w:tcW w:w="918" w:type="pct"/>
            <w:vMerge w:val="restart"/>
            <w:vAlign w:val="center"/>
          </w:tcPr>
          <w:p w14:paraId="3F7F6B82"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关联方</w:t>
            </w:r>
          </w:p>
        </w:tc>
        <w:tc>
          <w:tcPr>
            <w:tcW w:w="1302" w:type="pct"/>
            <w:gridSpan w:val="2"/>
            <w:vAlign w:val="center"/>
          </w:tcPr>
          <w:p w14:paraId="164C34D1"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2</w:t>
            </w:r>
            <w:r w:rsidRPr="00251592">
              <w:rPr>
                <w:rFonts w:ascii="宋体" w:eastAsia="宋体" w:hAnsi="宋体" w:cs="Times New Roman"/>
                <w:iCs/>
                <w:sz w:val="18"/>
                <w:szCs w:val="18"/>
              </w:rPr>
              <w:t>020</w:t>
            </w:r>
            <w:r w:rsidRPr="00251592">
              <w:rPr>
                <w:rFonts w:ascii="宋体" w:eastAsia="宋体" w:hAnsi="宋体" w:cs="Times New Roman" w:hint="eastAsia"/>
                <w:iCs/>
                <w:sz w:val="18"/>
                <w:szCs w:val="18"/>
              </w:rPr>
              <w:t>年度</w:t>
            </w:r>
          </w:p>
        </w:tc>
        <w:tc>
          <w:tcPr>
            <w:tcW w:w="1360" w:type="pct"/>
            <w:gridSpan w:val="2"/>
            <w:vAlign w:val="center"/>
          </w:tcPr>
          <w:p w14:paraId="0493008F"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iCs/>
                <w:sz w:val="18"/>
                <w:szCs w:val="18"/>
              </w:rPr>
              <w:t>2019年度</w:t>
            </w:r>
          </w:p>
        </w:tc>
        <w:tc>
          <w:tcPr>
            <w:tcW w:w="1420" w:type="pct"/>
            <w:gridSpan w:val="2"/>
            <w:vAlign w:val="center"/>
          </w:tcPr>
          <w:p w14:paraId="16891E22"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iCs/>
                <w:sz w:val="18"/>
                <w:szCs w:val="18"/>
              </w:rPr>
              <w:t>201</w:t>
            </w:r>
            <w:r w:rsidRPr="00251592">
              <w:rPr>
                <w:rFonts w:ascii="宋体" w:eastAsia="宋体" w:hAnsi="宋体" w:cs="Times New Roman" w:hint="eastAsia"/>
                <w:iCs/>
                <w:sz w:val="18"/>
                <w:szCs w:val="18"/>
              </w:rPr>
              <w:t>8</w:t>
            </w:r>
            <w:r w:rsidRPr="00251592">
              <w:rPr>
                <w:rFonts w:ascii="宋体" w:eastAsia="宋体" w:hAnsi="宋体" w:cs="Times New Roman"/>
                <w:iCs/>
                <w:sz w:val="18"/>
                <w:szCs w:val="18"/>
              </w:rPr>
              <w:t>年</w:t>
            </w:r>
            <w:r w:rsidRPr="00251592">
              <w:rPr>
                <w:rFonts w:ascii="宋体" w:eastAsia="宋体" w:hAnsi="宋体" w:cs="Times New Roman" w:hint="eastAsia"/>
                <w:iCs/>
                <w:sz w:val="18"/>
                <w:szCs w:val="18"/>
              </w:rPr>
              <w:t>度</w:t>
            </w:r>
          </w:p>
        </w:tc>
      </w:tr>
      <w:tr w:rsidR="00C17BBD" w:rsidRPr="00251592" w14:paraId="28F9860D" w14:textId="77777777" w:rsidTr="00622023">
        <w:trPr>
          <w:trHeight w:val="397"/>
          <w:jc w:val="center"/>
        </w:trPr>
        <w:tc>
          <w:tcPr>
            <w:tcW w:w="918" w:type="pct"/>
            <w:vMerge/>
            <w:vAlign w:val="center"/>
          </w:tcPr>
          <w:p w14:paraId="62661144" w14:textId="77777777" w:rsidR="00C17BBD" w:rsidRPr="00251592" w:rsidRDefault="00C17BBD" w:rsidP="008A2055">
            <w:pPr>
              <w:jc w:val="center"/>
              <w:rPr>
                <w:rFonts w:ascii="宋体" w:eastAsia="宋体" w:hAnsi="宋体" w:cs="Times New Roman"/>
                <w:iCs/>
                <w:sz w:val="18"/>
                <w:szCs w:val="18"/>
              </w:rPr>
            </w:pPr>
          </w:p>
        </w:tc>
        <w:tc>
          <w:tcPr>
            <w:tcW w:w="535" w:type="pct"/>
            <w:vAlign w:val="center"/>
          </w:tcPr>
          <w:p w14:paraId="00B141D0"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金额</w:t>
            </w:r>
          </w:p>
        </w:tc>
        <w:tc>
          <w:tcPr>
            <w:tcW w:w="767" w:type="pct"/>
            <w:vAlign w:val="center"/>
          </w:tcPr>
          <w:p w14:paraId="2B366F74"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占营业成本比例</w:t>
            </w:r>
          </w:p>
        </w:tc>
        <w:tc>
          <w:tcPr>
            <w:tcW w:w="594" w:type="pct"/>
            <w:vAlign w:val="center"/>
          </w:tcPr>
          <w:p w14:paraId="625E7308"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金额</w:t>
            </w:r>
          </w:p>
        </w:tc>
        <w:tc>
          <w:tcPr>
            <w:tcW w:w="766" w:type="pct"/>
            <w:vAlign w:val="center"/>
          </w:tcPr>
          <w:p w14:paraId="5C6FE098"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占营业成本比例</w:t>
            </w:r>
          </w:p>
        </w:tc>
        <w:tc>
          <w:tcPr>
            <w:tcW w:w="595" w:type="pct"/>
            <w:vAlign w:val="center"/>
          </w:tcPr>
          <w:p w14:paraId="4B0811EB"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金额</w:t>
            </w:r>
          </w:p>
        </w:tc>
        <w:tc>
          <w:tcPr>
            <w:tcW w:w="825" w:type="pct"/>
            <w:vAlign w:val="center"/>
          </w:tcPr>
          <w:p w14:paraId="0FA43107"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iCs/>
                <w:sz w:val="18"/>
                <w:szCs w:val="18"/>
              </w:rPr>
              <w:t>占营业成本比例</w:t>
            </w:r>
          </w:p>
        </w:tc>
      </w:tr>
      <w:tr w:rsidR="00C17BBD" w:rsidRPr="00251592" w14:paraId="109708BE" w14:textId="77777777" w:rsidTr="00622023">
        <w:trPr>
          <w:trHeight w:val="397"/>
          <w:jc w:val="center"/>
        </w:trPr>
        <w:tc>
          <w:tcPr>
            <w:tcW w:w="918" w:type="pct"/>
            <w:vAlign w:val="center"/>
          </w:tcPr>
          <w:p w14:paraId="07987685" w14:textId="77777777" w:rsidR="00C17BBD" w:rsidRPr="00251592" w:rsidRDefault="00C17BBD" w:rsidP="008A2055">
            <w:pPr>
              <w:jc w:val="center"/>
              <w:rPr>
                <w:rFonts w:ascii="宋体" w:eastAsia="宋体" w:hAnsi="宋体" w:cs="Times New Roman"/>
                <w:iCs/>
                <w:sz w:val="18"/>
                <w:szCs w:val="18"/>
              </w:rPr>
            </w:pPr>
            <w:r w:rsidRPr="00251592">
              <w:rPr>
                <w:rFonts w:ascii="宋体" w:eastAsia="宋体" w:hAnsi="宋体" w:cs="Times New Roman" w:hint="eastAsia"/>
                <w:sz w:val="18"/>
                <w:szCs w:val="18"/>
              </w:rPr>
              <w:t>都市霍普</w:t>
            </w:r>
          </w:p>
        </w:tc>
        <w:tc>
          <w:tcPr>
            <w:tcW w:w="535" w:type="pct"/>
            <w:vAlign w:val="center"/>
          </w:tcPr>
          <w:p w14:paraId="7F077EF7" w14:textId="77777777" w:rsidR="00C17BBD" w:rsidRPr="00251592" w:rsidRDefault="00C17BBD" w:rsidP="008A2055">
            <w:pPr>
              <w:jc w:val="right"/>
              <w:rPr>
                <w:rFonts w:ascii="宋体" w:eastAsia="宋体" w:hAnsi="宋体" w:cs="Times New Roman"/>
                <w:iCs/>
                <w:sz w:val="18"/>
                <w:szCs w:val="18"/>
              </w:rPr>
            </w:pPr>
            <w:r w:rsidRPr="00251592">
              <w:rPr>
                <w:rFonts w:ascii="宋体" w:eastAsia="宋体" w:hAnsi="宋体" w:cs="Times New Roman"/>
                <w:iCs/>
                <w:sz w:val="18"/>
                <w:szCs w:val="18"/>
              </w:rPr>
              <w:t>305.64</w:t>
            </w:r>
          </w:p>
        </w:tc>
        <w:tc>
          <w:tcPr>
            <w:tcW w:w="767" w:type="pct"/>
            <w:vAlign w:val="center"/>
          </w:tcPr>
          <w:p w14:paraId="5D9EC1D7" w14:textId="77777777" w:rsidR="00C17BBD" w:rsidRPr="00251592" w:rsidRDefault="00C17BBD" w:rsidP="008A2055">
            <w:pPr>
              <w:jc w:val="right"/>
              <w:rPr>
                <w:rFonts w:ascii="宋体" w:eastAsia="宋体" w:hAnsi="宋体" w:cs="Times New Roman"/>
                <w:iCs/>
                <w:sz w:val="18"/>
                <w:szCs w:val="18"/>
              </w:rPr>
            </w:pPr>
            <w:r w:rsidRPr="00251592">
              <w:rPr>
                <w:rFonts w:ascii="宋体" w:eastAsia="宋体" w:hAnsi="宋体" w:cs="Times New Roman"/>
                <w:iCs/>
                <w:sz w:val="18"/>
                <w:szCs w:val="18"/>
              </w:rPr>
              <w:t>1.85%</w:t>
            </w:r>
          </w:p>
        </w:tc>
        <w:tc>
          <w:tcPr>
            <w:tcW w:w="594" w:type="pct"/>
            <w:vAlign w:val="center"/>
          </w:tcPr>
          <w:p w14:paraId="2E7F358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971.59</w:t>
            </w:r>
          </w:p>
        </w:tc>
        <w:tc>
          <w:tcPr>
            <w:tcW w:w="766" w:type="pct"/>
            <w:vAlign w:val="center"/>
          </w:tcPr>
          <w:p w14:paraId="6135C03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7.57%</w:t>
            </w:r>
          </w:p>
        </w:tc>
        <w:tc>
          <w:tcPr>
            <w:tcW w:w="595" w:type="pct"/>
            <w:vAlign w:val="center"/>
          </w:tcPr>
          <w:p w14:paraId="661B794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w:t>
            </w:r>
          </w:p>
        </w:tc>
        <w:tc>
          <w:tcPr>
            <w:tcW w:w="825" w:type="pct"/>
            <w:vAlign w:val="center"/>
          </w:tcPr>
          <w:p w14:paraId="4707C82C"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w:t>
            </w:r>
          </w:p>
        </w:tc>
      </w:tr>
      <w:tr w:rsidR="00C17BBD" w:rsidRPr="00251592" w14:paraId="210D1A77" w14:textId="77777777" w:rsidTr="00622023">
        <w:trPr>
          <w:trHeight w:val="397"/>
          <w:jc w:val="center"/>
        </w:trPr>
        <w:tc>
          <w:tcPr>
            <w:tcW w:w="918" w:type="pct"/>
            <w:vAlign w:val="center"/>
          </w:tcPr>
          <w:p w14:paraId="0D3722D0"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麦格霍普</w:t>
            </w:r>
          </w:p>
        </w:tc>
        <w:tc>
          <w:tcPr>
            <w:tcW w:w="535" w:type="pct"/>
            <w:vAlign w:val="center"/>
          </w:tcPr>
          <w:p w14:paraId="173F4B79" w14:textId="77777777" w:rsidR="00C17BBD" w:rsidRPr="00251592" w:rsidRDefault="00C17BBD" w:rsidP="008A2055">
            <w:pPr>
              <w:jc w:val="right"/>
              <w:rPr>
                <w:rFonts w:ascii="宋体" w:eastAsia="宋体" w:hAnsi="宋体" w:cs="Times New Roman"/>
                <w:iCs/>
                <w:sz w:val="18"/>
                <w:szCs w:val="18"/>
              </w:rPr>
            </w:pPr>
            <w:r w:rsidRPr="00251592">
              <w:rPr>
                <w:rFonts w:ascii="宋体" w:eastAsia="宋体" w:hAnsi="宋体" w:cs="Times New Roman"/>
                <w:sz w:val="18"/>
                <w:szCs w:val="18"/>
              </w:rPr>
              <w:t>224.49</w:t>
            </w:r>
          </w:p>
        </w:tc>
        <w:tc>
          <w:tcPr>
            <w:tcW w:w="767" w:type="pct"/>
            <w:vAlign w:val="center"/>
          </w:tcPr>
          <w:p w14:paraId="723F267D" w14:textId="77777777" w:rsidR="00C17BBD" w:rsidRPr="00251592" w:rsidRDefault="00C17BBD" w:rsidP="008A2055">
            <w:pPr>
              <w:jc w:val="right"/>
              <w:rPr>
                <w:rFonts w:ascii="宋体" w:eastAsia="宋体" w:hAnsi="宋体" w:cs="Times New Roman"/>
                <w:iCs/>
                <w:sz w:val="18"/>
                <w:szCs w:val="18"/>
              </w:rPr>
            </w:pPr>
            <w:r w:rsidRPr="00251592">
              <w:rPr>
                <w:rFonts w:ascii="宋体" w:eastAsia="宋体" w:hAnsi="宋体" w:cs="Times New Roman" w:hint="eastAsia"/>
                <w:iCs/>
                <w:sz w:val="18"/>
                <w:szCs w:val="18"/>
              </w:rPr>
              <w:t>1</w:t>
            </w:r>
            <w:r w:rsidRPr="00251592">
              <w:rPr>
                <w:rFonts w:ascii="宋体" w:eastAsia="宋体" w:hAnsi="宋体" w:cs="Times New Roman"/>
                <w:iCs/>
                <w:sz w:val="18"/>
                <w:szCs w:val="18"/>
              </w:rPr>
              <w:t>.36%</w:t>
            </w:r>
          </w:p>
        </w:tc>
        <w:tc>
          <w:tcPr>
            <w:tcW w:w="594" w:type="pct"/>
            <w:vAlign w:val="center"/>
          </w:tcPr>
          <w:p w14:paraId="7BB478D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44.02</w:t>
            </w:r>
          </w:p>
        </w:tc>
        <w:tc>
          <w:tcPr>
            <w:tcW w:w="766" w:type="pct"/>
            <w:vAlign w:val="center"/>
          </w:tcPr>
          <w:p w14:paraId="558C3AC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0.34%</w:t>
            </w:r>
          </w:p>
        </w:tc>
        <w:tc>
          <w:tcPr>
            <w:tcW w:w="595" w:type="pct"/>
            <w:vAlign w:val="center"/>
          </w:tcPr>
          <w:p w14:paraId="7FB6BA9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w:t>
            </w:r>
          </w:p>
        </w:tc>
        <w:tc>
          <w:tcPr>
            <w:tcW w:w="825" w:type="pct"/>
            <w:vAlign w:val="center"/>
          </w:tcPr>
          <w:p w14:paraId="2020B00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w:t>
            </w:r>
          </w:p>
        </w:tc>
      </w:tr>
      <w:tr w:rsidR="00C17BBD" w:rsidRPr="00251592" w14:paraId="7927AEC0" w14:textId="77777777" w:rsidTr="00622023">
        <w:trPr>
          <w:trHeight w:val="397"/>
          <w:jc w:val="center"/>
        </w:trPr>
        <w:tc>
          <w:tcPr>
            <w:tcW w:w="918" w:type="pct"/>
            <w:vAlign w:val="center"/>
          </w:tcPr>
          <w:p w14:paraId="0EBD03A0"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hint="eastAsia"/>
                <w:sz w:val="18"/>
                <w:szCs w:val="18"/>
              </w:rPr>
              <w:t>合计</w:t>
            </w:r>
          </w:p>
        </w:tc>
        <w:tc>
          <w:tcPr>
            <w:tcW w:w="535" w:type="pct"/>
            <w:vAlign w:val="center"/>
          </w:tcPr>
          <w:p w14:paraId="0440D40A" w14:textId="77777777" w:rsidR="00C17BBD" w:rsidRPr="00251592" w:rsidRDefault="00C17BBD" w:rsidP="008A2055">
            <w:pPr>
              <w:jc w:val="right"/>
              <w:rPr>
                <w:rFonts w:ascii="宋体" w:eastAsia="宋体" w:hAnsi="宋体" w:cs="Times New Roman"/>
                <w:iCs/>
                <w:sz w:val="18"/>
                <w:szCs w:val="18"/>
              </w:rPr>
            </w:pPr>
            <w:r w:rsidRPr="00251592">
              <w:rPr>
                <w:rFonts w:ascii="宋体" w:eastAsia="宋体" w:hAnsi="宋体" w:cs="Times New Roman"/>
                <w:iCs/>
                <w:sz w:val="18"/>
                <w:szCs w:val="18"/>
              </w:rPr>
              <w:t>530.13</w:t>
            </w:r>
          </w:p>
        </w:tc>
        <w:tc>
          <w:tcPr>
            <w:tcW w:w="767" w:type="pct"/>
            <w:vAlign w:val="center"/>
          </w:tcPr>
          <w:p w14:paraId="46133EFA" w14:textId="77777777" w:rsidR="00C17BBD" w:rsidRPr="00251592" w:rsidRDefault="00C17BBD" w:rsidP="008A2055">
            <w:pPr>
              <w:jc w:val="right"/>
              <w:rPr>
                <w:rFonts w:ascii="宋体" w:eastAsia="宋体" w:hAnsi="宋体" w:cs="Times New Roman"/>
                <w:iCs/>
                <w:sz w:val="18"/>
                <w:szCs w:val="18"/>
              </w:rPr>
            </w:pPr>
            <w:r w:rsidRPr="00251592">
              <w:rPr>
                <w:rFonts w:ascii="宋体" w:eastAsia="宋体" w:hAnsi="宋体" w:cs="Times New Roman"/>
                <w:iCs/>
                <w:sz w:val="18"/>
                <w:szCs w:val="18"/>
              </w:rPr>
              <w:t>3.21%</w:t>
            </w:r>
          </w:p>
        </w:tc>
        <w:tc>
          <w:tcPr>
            <w:tcW w:w="594" w:type="pct"/>
            <w:vAlign w:val="center"/>
          </w:tcPr>
          <w:p w14:paraId="6B63D14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1,015.61</w:t>
            </w:r>
          </w:p>
        </w:tc>
        <w:tc>
          <w:tcPr>
            <w:tcW w:w="766" w:type="pct"/>
            <w:vAlign w:val="center"/>
          </w:tcPr>
          <w:p w14:paraId="6F5FEC6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7.91%</w:t>
            </w:r>
          </w:p>
        </w:tc>
        <w:tc>
          <w:tcPr>
            <w:tcW w:w="595" w:type="pct"/>
            <w:vAlign w:val="center"/>
          </w:tcPr>
          <w:p w14:paraId="4DFC149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w:t>
            </w:r>
          </w:p>
        </w:tc>
        <w:tc>
          <w:tcPr>
            <w:tcW w:w="825" w:type="pct"/>
            <w:vAlign w:val="center"/>
          </w:tcPr>
          <w:p w14:paraId="5AAEA61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w:t>
            </w:r>
          </w:p>
        </w:tc>
      </w:tr>
    </w:tbl>
    <w:p w14:paraId="02680480"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szCs w:val="21"/>
        </w:rPr>
        <w:lastRenderedPageBreak/>
        <w:t>2019年、2020年，公司出于设计项目执行需要，同时结合都市霍普、麦格霍普的业务专长领域，向都市霍普采购方案深化、施工图设计等服务，交易金额971.59万元、</w:t>
      </w:r>
      <w:r w:rsidRPr="00251592">
        <w:rPr>
          <w:rFonts w:ascii="宋体" w:eastAsia="宋体" w:hAnsi="宋体" w:cs="Times New Roman"/>
          <w:iCs/>
          <w:szCs w:val="21"/>
        </w:rPr>
        <w:t>305.64</w:t>
      </w:r>
      <w:r w:rsidRPr="00251592">
        <w:rPr>
          <w:rFonts w:ascii="宋体" w:eastAsia="宋体" w:hAnsi="宋体" w:cs="Times New Roman"/>
          <w:szCs w:val="21"/>
        </w:rPr>
        <w:t>万元，占当期营业成本的比例为7.57%、</w:t>
      </w:r>
      <w:r w:rsidRPr="00251592">
        <w:rPr>
          <w:rFonts w:ascii="宋体" w:eastAsia="宋体" w:hAnsi="宋体" w:cs="Times New Roman"/>
          <w:iCs/>
          <w:szCs w:val="21"/>
        </w:rPr>
        <w:t>1.85%</w:t>
      </w:r>
      <w:r w:rsidRPr="00251592">
        <w:rPr>
          <w:rFonts w:ascii="宋体" w:eastAsia="宋体" w:hAnsi="宋体" w:cs="Times New Roman"/>
          <w:szCs w:val="21"/>
        </w:rPr>
        <w:t>；向麦格霍普采购建筑室内设计等服务，交易金额</w:t>
      </w:r>
      <w:r w:rsidRPr="00251592">
        <w:rPr>
          <w:rFonts w:ascii="宋体" w:eastAsia="宋体" w:hAnsi="宋体" w:cs="Times New Roman"/>
          <w:iCs/>
          <w:szCs w:val="21"/>
          <w:lang w:bidi="en-US"/>
        </w:rPr>
        <w:t>44.02万元、</w:t>
      </w:r>
      <w:r w:rsidRPr="00251592">
        <w:rPr>
          <w:rFonts w:ascii="宋体" w:eastAsia="宋体" w:hAnsi="宋体" w:cs="Times New Roman"/>
          <w:iCs/>
          <w:szCs w:val="21"/>
        </w:rPr>
        <w:t>224.49</w:t>
      </w:r>
      <w:r w:rsidRPr="00251592">
        <w:rPr>
          <w:rFonts w:ascii="宋体" w:eastAsia="宋体" w:hAnsi="宋体" w:cs="Times New Roman"/>
          <w:szCs w:val="21"/>
        </w:rPr>
        <w:t>万元</w:t>
      </w:r>
      <w:r w:rsidRPr="00251592">
        <w:rPr>
          <w:rFonts w:ascii="宋体" w:eastAsia="宋体" w:hAnsi="宋体" w:cs="Times New Roman"/>
          <w:iCs/>
          <w:szCs w:val="21"/>
          <w:lang w:bidi="en-US"/>
        </w:rPr>
        <w:t>，占当期营业成本的比例为0.34%、</w:t>
      </w:r>
      <w:r w:rsidRPr="00251592">
        <w:rPr>
          <w:rFonts w:ascii="宋体" w:eastAsia="宋体" w:hAnsi="宋体" w:cs="Times New Roman"/>
          <w:iCs/>
          <w:szCs w:val="21"/>
        </w:rPr>
        <w:t>1.36%</w:t>
      </w:r>
      <w:r w:rsidRPr="00251592">
        <w:rPr>
          <w:rFonts w:ascii="宋体" w:eastAsia="宋体" w:hAnsi="宋体" w:cs="Times New Roman"/>
          <w:iCs/>
          <w:szCs w:val="21"/>
          <w:lang w:bidi="en-US"/>
        </w:rPr>
        <w:t>。</w:t>
      </w:r>
    </w:p>
    <w:p w14:paraId="6B8142A4"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2020年，公司向都市霍普采购金额为</w:t>
      </w:r>
      <w:r w:rsidRPr="00251592">
        <w:rPr>
          <w:rFonts w:ascii="宋体" w:eastAsia="宋体" w:hAnsi="宋体" w:cs="Times New Roman"/>
          <w:iCs/>
          <w:szCs w:val="21"/>
        </w:rPr>
        <w:t>305.64</w:t>
      </w:r>
      <w:r w:rsidRPr="00251592">
        <w:rPr>
          <w:rFonts w:ascii="宋体" w:eastAsia="宋体" w:hAnsi="宋体" w:cs="Times New Roman"/>
          <w:szCs w:val="21"/>
        </w:rPr>
        <w:t>万元</w:t>
      </w:r>
      <w:r w:rsidRPr="00251592">
        <w:rPr>
          <w:rFonts w:ascii="宋体" w:eastAsia="宋体" w:hAnsi="宋体" w:cs="Times New Roman" w:hint="eastAsia"/>
          <w:iCs/>
          <w:szCs w:val="21"/>
          <w:lang w:bidi="en-US"/>
        </w:rPr>
        <w:t>，</w:t>
      </w:r>
      <w:r w:rsidRPr="00251592">
        <w:rPr>
          <w:rFonts w:ascii="宋体" w:eastAsia="宋体" w:hAnsi="宋体" w:cs="Times New Roman"/>
          <w:iCs/>
          <w:szCs w:val="21"/>
          <w:lang w:bidi="en-US"/>
        </w:rPr>
        <w:t>相比于2019年的</w:t>
      </w:r>
      <w:r w:rsidRPr="00251592">
        <w:rPr>
          <w:rFonts w:ascii="宋体" w:eastAsia="宋体" w:hAnsi="宋体" w:cs="Times New Roman"/>
          <w:szCs w:val="21"/>
        </w:rPr>
        <w:t>971.59万元，下降幅度较大，主要原因为：一方面，2020年，都市霍普的主要经营分部武汉分公司受疫情冲击较大，项目执行及业务承接均受较大影响，使得与公司的交易金额迅速下降，另一方面，2019年，公司承接的碧</w:t>
      </w:r>
      <w:proofErr w:type="gramStart"/>
      <w:r w:rsidRPr="00251592">
        <w:rPr>
          <w:rFonts w:ascii="宋体" w:eastAsia="宋体" w:hAnsi="宋体" w:cs="Times New Roman"/>
          <w:szCs w:val="21"/>
        </w:rPr>
        <w:t>桂园</w:t>
      </w:r>
      <w:proofErr w:type="gramEnd"/>
      <w:r w:rsidRPr="00251592">
        <w:rPr>
          <w:rFonts w:ascii="宋体" w:eastAsia="宋体" w:hAnsi="宋体" w:cs="Times New Roman"/>
          <w:szCs w:val="21"/>
        </w:rPr>
        <w:t>武汉市</w:t>
      </w:r>
      <w:proofErr w:type="gramStart"/>
      <w:r w:rsidRPr="00251592">
        <w:rPr>
          <w:rFonts w:ascii="宋体" w:eastAsia="宋体" w:hAnsi="宋体" w:cs="Times New Roman"/>
          <w:szCs w:val="21"/>
        </w:rPr>
        <w:t>光谷中心</w:t>
      </w:r>
      <w:proofErr w:type="gramEnd"/>
      <w:r w:rsidRPr="00251592">
        <w:rPr>
          <w:rFonts w:ascii="宋体" w:eastAsia="宋体" w:hAnsi="宋体" w:cs="Times New Roman"/>
          <w:szCs w:val="21"/>
        </w:rPr>
        <w:t>十里春风项目，因客户对属地化服务要求较高，因而公司将部分业务环节委托都市霍普完成，当年采购金额211.76万元，使得2019年与都市霍普交易金额较高</w:t>
      </w:r>
      <w:r w:rsidRPr="00251592">
        <w:rPr>
          <w:rFonts w:ascii="宋体" w:eastAsia="宋体" w:hAnsi="宋体" w:cs="Times New Roman"/>
          <w:iCs/>
          <w:szCs w:val="21"/>
          <w:lang w:bidi="en-US"/>
        </w:rPr>
        <w:t>。</w:t>
      </w:r>
    </w:p>
    <w:p w14:paraId="58E68ADC" w14:textId="77777777" w:rsidR="00C17BBD" w:rsidRPr="00251592" w:rsidRDefault="00C17BBD" w:rsidP="00C17BBD">
      <w:pPr>
        <w:spacing w:before="50" w:line="360" w:lineRule="auto"/>
        <w:ind w:firstLineChars="200" w:firstLine="420"/>
        <w:rPr>
          <w:rFonts w:ascii="宋体" w:eastAsia="宋体" w:hAnsi="宋体" w:cs="Times New Roman"/>
          <w:szCs w:val="21"/>
        </w:rPr>
      </w:pPr>
      <w:r w:rsidRPr="00251592">
        <w:rPr>
          <w:rFonts w:ascii="宋体" w:eastAsia="宋体" w:hAnsi="宋体" w:cs="Times New Roman"/>
          <w:iCs/>
          <w:szCs w:val="21"/>
          <w:lang w:bidi="en-US"/>
        </w:rPr>
        <w:t>2020年，公司向麦格霍普采购金额为</w:t>
      </w:r>
      <w:r w:rsidRPr="00251592">
        <w:rPr>
          <w:rFonts w:ascii="宋体" w:eastAsia="宋体" w:hAnsi="宋体" w:cs="Times New Roman"/>
          <w:iCs/>
          <w:szCs w:val="21"/>
        </w:rPr>
        <w:t>224.49</w:t>
      </w:r>
      <w:r w:rsidRPr="00251592">
        <w:rPr>
          <w:rFonts w:ascii="宋体" w:eastAsia="宋体" w:hAnsi="宋体" w:cs="Times New Roman"/>
          <w:szCs w:val="21"/>
        </w:rPr>
        <w:t>万元</w:t>
      </w:r>
      <w:r w:rsidRPr="00251592">
        <w:rPr>
          <w:rFonts w:ascii="宋体" w:eastAsia="宋体" w:hAnsi="宋体" w:cs="Times New Roman"/>
          <w:iCs/>
          <w:szCs w:val="21"/>
          <w:lang w:bidi="en-US"/>
        </w:rPr>
        <w:t>，相比于2019年的</w:t>
      </w:r>
      <w:r w:rsidRPr="00251592">
        <w:rPr>
          <w:rFonts w:ascii="宋体" w:eastAsia="宋体" w:hAnsi="宋体" w:cs="Times New Roman"/>
          <w:szCs w:val="21"/>
        </w:rPr>
        <w:t>44.02万元，上升幅度较大，主要原因为：</w:t>
      </w:r>
      <w:r w:rsidRPr="00251592">
        <w:rPr>
          <w:rFonts w:ascii="宋体" w:eastAsia="宋体" w:hAnsi="宋体" w:cs="Times New Roman"/>
          <w:iCs/>
          <w:szCs w:val="21"/>
          <w:lang w:bidi="en-US"/>
        </w:rPr>
        <w:t>麦格霍普设立于2019年9月末，设立时间较晚，公司当年仅与其合作一个项目，因而2019年公司向其采购金额较小。2020年，随着公司业务的持续扩大发展，当年向麦格霍普采购西安民信大寨路项目、无锡金茂江阴项目、佛山万科广场项目</w:t>
      </w:r>
      <w:r w:rsidRPr="00251592">
        <w:rPr>
          <w:rFonts w:ascii="宋体" w:eastAsia="宋体" w:hAnsi="宋体" w:cs="Times New Roman" w:hint="eastAsia"/>
          <w:iCs/>
          <w:szCs w:val="21"/>
          <w:lang w:bidi="en-US"/>
        </w:rPr>
        <w:t>、万科广州市自用办公室项目四</w:t>
      </w:r>
      <w:r w:rsidRPr="00251592">
        <w:rPr>
          <w:rFonts w:ascii="宋体" w:eastAsia="宋体" w:hAnsi="宋体" w:cs="Times New Roman"/>
          <w:iCs/>
          <w:szCs w:val="21"/>
          <w:lang w:bidi="en-US"/>
        </w:rPr>
        <w:t>个项目的室内设计服务，因而相应采购金额增幅较大。</w:t>
      </w:r>
    </w:p>
    <w:p w14:paraId="1F69FF74"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szCs w:val="21"/>
          <w:lang w:bidi="en-US"/>
        </w:rPr>
      </w:pPr>
      <w:r w:rsidRPr="00251592">
        <w:rPr>
          <w:rFonts w:ascii="宋体" w:eastAsia="宋体" w:hAnsi="宋体" w:cs="Times New Roman" w:hint="eastAsia"/>
          <w:color w:val="000000"/>
          <w:szCs w:val="21"/>
          <w:lang w:bidi="en-US"/>
        </w:rPr>
        <w:t>上述交易以市场价格为基础，经双方协商确定，公允、合理，未对公司的经营业绩与财务状况产生重大影响。</w:t>
      </w:r>
    </w:p>
    <w:p w14:paraId="4079BD56"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19616EED"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49E9360A" w14:textId="7332FF8C"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eastAsia="zh-TW" w:bidi="en-US"/>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执行了如下核查程序：</w:t>
      </w:r>
    </w:p>
    <w:p w14:paraId="12CB0377" w14:textId="77777777" w:rsidR="00C17BBD" w:rsidRPr="00251592" w:rsidRDefault="00C17BBD" w:rsidP="00C17BBD">
      <w:pPr>
        <w:snapToGrid w:val="0"/>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szCs w:val="21"/>
        </w:rPr>
        <w:t>1、</w:t>
      </w:r>
      <w:r w:rsidRPr="00251592">
        <w:rPr>
          <w:rFonts w:ascii="宋体" w:eastAsia="宋体" w:hAnsi="宋体" w:cs="Times New Roman" w:hint="eastAsia"/>
          <w:szCs w:val="21"/>
        </w:rPr>
        <w:t>取得了</w:t>
      </w:r>
      <w:r w:rsidRPr="00251592">
        <w:rPr>
          <w:rFonts w:ascii="宋体" w:eastAsia="宋体" w:hAnsi="宋体" w:cs="Times New Roman"/>
          <w:szCs w:val="21"/>
        </w:rPr>
        <w:t>发行人2020年与都市霍普、麦格霍普的采购合同</w:t>
      </w:r>
      <w:r w:rsidRPr="00251592">
        <w:rPr>
          <w:rFonts w:ascii="宋体" w:eastAsia="宋体" w:hAnsi="宋体" w:cs="Times New Roman" w:hint="eastAsia"/>
          <w:szCs w:val="21"/>
        </w:rPr>
        <w:t>，并结合在手合同，查验了2</w:t>
      </w:r>
      <w:r w:rsidRPr="00251592">
        <w:rPr>
          <w:rFonts w:ascii="宋体" w:eastAsia="宋体" w:hAnsi="宋体" w:cs="Times New Roman"/>
          <w:szCs w:val="21"/>
        </w:rPr>
        <w:t>020</w:t>
      </w:r>
      <w:r w:rsidRPr="00251592">
        <w:rPr>
          <w:rFonts w:ascii="宋体" w:eastAsia="宋体" w:hAnsi="宋体" w:cs="Times New Roman" w:hint="eastAsia"/>
          <w:szCs w:val="21"/>
        </w:rPr>
        <w:t>年全年与</w:t>
      </w:r>
      <w:r w:rsidRPr="00251592">
        <w:rPr>
          <w:rFonts w:ascii="宋体" w:eastAsia="宋体" w:hAnsi="宋体" w:cs="Times New Roman"/>
          <w:szCs w:val="21"/>
        </w:rPr>
        <w:t>都市霍普、麦格霍普的</w:t>
      </w:r>
      <w:r w:rsidRPr="00251592">
        <w:rPr>
          <w:rFonts w:ascii="宋体" w:eastAsia="宋体" w:hAnsi="宋体" w:cs="Times New Roman" w:hint="eastAsia"/>
          <w:szCs w:val="21"/>
        </w:rPr>
        <w:t>采购情况，并对其与2019年采购情况的变动原因进行了分析；</w:t>
      </w:r>
    </w:p>
    <w:p w14:paraId="115099F1" w14:textId="77777777" w:rsidR="00C17BBD" w:rsidRPr="00251592" w:rsidRDefault="00C17BBD" w:rsidP="00C17BBD">
      <w:pPr>
        <w:snapToGrid w:val="0"/>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2、对发行人报告期内采购的主要项目合作服务情况进行了梳理和排查，获取了报告期各期前五大项目合作服务的交易合同，了解了发行人主要项目合作服务业务的供应商、项目金额、服务内容、定价原则、工作量等情况，并对采购公允性进行了分析。</w:t>
      </w:r>
    </w:p>
    <w:p w14:paraId="5C2E5E62"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79E7B967" w14:textId="06829AB2"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lastRenderedPageBreak/>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49C0A286" w14:textId="77777777" w:rsidR="00C17BBD" w:rsidRPr="00251592" w:rsidRDefault="00C17BBD" w:rsidP="00C17BBD">
      <w:pPr>
        <w:snapToGrid w:val="0"/>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szCs w:val="21"/>
        </w:rPr>
        <w:t>1、2020年向都市霍普采购金额迅速下降、向麦格霍普采购金额上升较多</w:t>
      </w:r>
      <w:r w:rsidRPr="00251592">
        <w:rPr>
          <w:rFonts w:ascii="宋体" w:eastAsia="宋体" w:hAnsi="宋体" w:cs="Times New Roman" w:hint="eastAsia"/>
          <w:szCs w:val="21"/>
        </w:rPr>
        <w:t>，具有合理原因；</w:t>
      </w:r>
    </w:p>
    <w:p w14:paraId="7E27BD20" w14:textId="77777777" w:rsidR="00C17BBD" w:rsidRPr="00251592" w:rsidRDefault="00C17BBD" w:rsidP="00C17BBD">
      <w:pPr>
        <w:snapToGrid w:val="0"/>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hint="eastAsia"/>
          <w:szCs w:val="21"/>
        </w:rPr>
        <w:t>2、报告期内，发行人采购的主要项目合作服务的定价公允、合理。</w:t>
      </w:r>
    </w:p>
    <w:p w14:paraId="558F7BA5" w14:textId="77777777" w:rsidR="00C17BBD" w:rsidRPr="00251592" w:rsidRDefault="00C17BBD" w:rsidP="00C17BBD">
      <w:pPr>
        <w:pStyle w:val="af7"/>
        <w:ind w:firstLine="420"/>
        <w:rPr>
          <w:rFonts w:ascii="宋体" w:eastAsia="宋体" w:hAnsi="宋体"/>
          <w:b w:val="0"/>
          <w:bCs w:val="0"/>
          <w:sz w:val="21"/>
          <w:szCs w:val="21"/>
        </w:rPr>
      </w:pPr>
    </w:p>
    <w:p w14:paraId="7C874F11" w14:textId="77777777" w:rsidR="00C17BBD" w:rsidRPr="00251592" w:rsidRDefault="00C17BBD" w:rsidP="00C17BBD">
      <w:pPr>
        <w:spacing w:beforeLines="50" w:before="156" w:afterLines="50" w:after="156" w:line="360" w:lineRule="auto"/>
        <w:ind w:firstLineChars="200" w:firstLine="422"/>
        <w:outlineLvl w:val="0"/>
        <w:rPr>
          <w:rFonts w:ascii="宋体" w:eastAsia="宋体" w:hAnsi="宋体" w:cs="Times New Roman"/>
          <w:b/>
          <w:bCs/>
          <w:szCs w:val="21"/>
        </w:rPr>
      </w:pPr>
      <w:bookmarkStart w:id="9" w:name="_Toc55861286"/>
      <w:r w:rsidRPr="00251592">
        <w:rPr>
          <w:rFonts w:ascii="宋体" w:eastAsia="宋体" w:hAnsi="宋体" w:cs="Times New Roman" w:hint="eastAsia"/>
          <w:b/>
          <w:bCs/>
          <w:szCs w:val="21"/>
        </w:rPr>
        <w:t>问题9</w:t>
      </w:r>
      <w:bookmarkEnd w:id="9"/>
    </w:p>
    <w:p w14:paraId="6DF12F1E"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9. 请发行人用平实易懂语言补充披露对居住建筑设计、公共建筑设计的员工薪</w:t>
      </w:r>
      <w:proofErr w:type="gramStart"/>
      <w:r w:rsidRPr="00251592">
        <w:rPr>
          <w:rFonts w:ascii="宋体" w:eastAsia="宋体" w:hAnsi="宋体"/>
          <w:sz w:val="21"/>
          <w:szCs w:val="21"/>
        </w:rPr>
        <w:t>酬</w:t>
      </w:r>
      <w:proofErr w:type="gramEnd"/>
      <w:r w:rsidRPr="00251592">
        <w:rPr>
          <w:rFonts w:ascii="宋体" w:eastAsia="宋体" w:hAnsi="宋体"/>
          <w:sz w:val="21"/>
          <w:szCs w:val="21"/>
        </w:rPr>
        <w:t>激励政策，并结合主要项目逐一量化分析居住建筑设计、公共建筑设计项目的收入、成本、薪酬激励金额、毛利、毛利率，分析薪酬激励金额对毛利和毛利率的影响程度，而不是只列示一个项目。</w:t>
      </w:r>
    </w:p>
    <w:p w14:paraId="58A97A1F"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请保荐人、申报会计师发表明确意见。</w:t>
      </w:r>
    </w:p>
    <w:p w14:paraId="78BEEA93"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3711E5CA" w14:textId="77777777" w:rsidR="00C17BBD" w:rsidRPr="00251592" w:rsidRDefault="00C17BBD" w:rsidP="00C17BBD">
      <w:pPr>
        <w:spacing w:beforeLines="50" w:before="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报告期内，公司居住建筑设计、公共建筑设计的毛利率如下：</w:t>
      </w:r>
    </w:p>
    <w:p w14:paraId="44A95850" w14:textId="77777777" w:rsidR="00C17BBD" w:rsidRPr="00251592" w:rsidRDefault="00C17BBD" w:rsidP="00C17BBD">
      <w:pPr>
        <w:jc w:val="right"/>
        <w:rPr>
          <w:rFonts w:ascii="宋体" w:eastAsia="宋体" w:hAnsi="宋体" w:cs="Times New Roman"/>
          <w:iCs/>
          <w:color w:val="000000"/>
          <w:kern w:val="0"/>
          <w:szCs w:val="21"/>
          <w:lang w:eastAsia="en-US" w:bidi="en-US"/>
        </w:rPr>
      </w:pPr>
      <w:proofErr w:type="spellStart"/>
      <w:r w:rsidRPr="00251592">
        <w:rPr>
          <w:rFonts w:ascii="宋体" w:eastAsia="宋体" w:hAnsi="宋体" w:cs="Times New Roman"/>
          <w:iCs/>
          <w:color w:val="000000"/>
          <w:kern w:val="0"/>
          <w:szCs w:val="21"/>
          <w:lang w:eastAsia="en-US" w:bidi="en-US"/>
        </w:rPr>
        <w:t>单位：万元</w:t>
      </w:r>
      <w:proofErr w:type="spellEnd"/>
    </w:p>
    <w:tbl>
      <w:tblPr>
        <w:tblW w:w="4987"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1154"/>
        <w:gridCol w:w="1222"/>
        <w:gridCol w:w="1227"/>
        <w:gridCol w:w="1222"/>
        <w:gridCol w:w="1227"/>
        <w:gridCol w:w="1222"/>
        <w:gridCol w:w="1226"/>
      </w:tblGrid>
      <w:tr w:rsidR="00C17BBD" w:rsidRPr="00251592" w14:paraId="4FE74FAB" w14:textId="77777777" w:rsidTr="00622023">
        <w:trPr>
          <w:trHeight w:val="381"/>
          <w:jc w:val="center"/>
        </w:trPr>
        <w:tc>
          <w:tcPr>
            <w:tcW w:w="678" w:type="pct"/>
            <w:vMerge w:val="restart"/>
            <w:vAlign w:val="center"/>
          </w:tcPr>
          <w:p w14:paraId="2FADDE6A" w14:textId="77777777" w:rsidR="00C17BBD" w:rsidRPr="00251592" w:rsidRDefault="00C17BBD" w:rsidP="008A2055">
            <w:pPr>
              <w:spacing w:beforeLines="50" w:before="156" w:afterLines="50" w:after="156" w:line="360" w:lineRule="auto"/>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业务板块</w:t>
            </w:r>
            <w:proofErr w:type="spellEnd"/>
          </w:p>
        </w:tc>
        <w:tc>
          <w:tcPr>
            <w:tcW w:w="1441" w:type="pct"/>
            <w:gridSpan w:val="2"/>
            <w:vAlign w:val="center"/>
          </w:tcPr>
          <w:p w14:paraId="3C3A4AD2" w14:textId="77777777" w:rsidR="00C17BBD" w:rsidRPr="00251592" w:rsidRDefault="00C17BBD" w:rsidP="008A2055">
            <w:pPr>
              <w:jc w:val="center"/>
              <w:rPr>
                <w:rFonts w:ascii="宋体" w:eastAsia="宋体" w:hAnsi="宋体" w:cs="Times New Roman"/>
                <w:color w:val="000000"/>
                <w:sz w:val="18"/>
                <w:szCs w:val="18"/>
              </w:rPr>
            </w:pPr>
            <w:r w:rsidRPr="00251592">
              <w:rPr>
                <w:rFonts w:ascii="宋体" w:eastAsia="宋体" w:hAnsi="宋体" w:cs="Times New Roman"/>
                <w:color w:val="000000"/>
                <w:sz w:val="18"/>
                <w:szCs w:val="18"/>
              </w:rPr>
              <w:t>2020年</w:t>
            </w:r>
            <w:r w:rsidRPr="00251592">
              <w:rPr>
                <w:rFonts w:ascii="宋体" w:eastAsia="宋体" w:hAnsi="宋体" w:cs="Times New Roman" w:hint="eastAsia"/>
                <w:color w:val="000000"/>
                <w:sz w:val="18"/>
                <w:szCs w:val="18"/>
              </w:rPr>
              <w:t>度</w:t>
            </w:r>
          </w:p>
        </w:tc>
        <w:tc>
          <w:tcPr>
            <w:tcW w:w="1441" w:type="pct"/>
            <w:gridSpan w:val="2"/>
            <w:vAlign w:val="center"/>
          </w:tcPr>
          <w:p w14:paraId="23552A9D" w14:textId="77777777" w:rsidR="00C17BBD" w:rsidRPr="00251592" w:rsidRDefault="00C17BBD" w:rsidP="008A2055">
            <w:pPr>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color w:val="000000"/>
                <w:kern w:val="0"/>
                <w:sz w:val="18"/>
                <w:szCs w:val="18"/>
                <w:lang w:eastAsia="en-US" w:bidi="en-US"/>
              </w:rPr>
              <w:t>2019年度</w:t>
            </w:r>
          </w:p>
        </w:tc>
        <w:tc>
          <w:tcPr>
            <w:tcW w:w="1441" w:type="pct"/>
            <w:gridSpan w:val="2"/>
            <w:vAlign w:val="center"/>
          </w:tcPr>
          <w:p w14:paraId="15509816" w14:textId="77777777" w:rsidR="00C17BBD" w:rsidRPr="00251592" w:rsidRDefault="00C17BBD" w:rsidP="008A2055">
            <w:pPr>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color w:val="000000"/>
                <w:kern w:val="0"/>
                <w:sz w:val="18"/>
                <w:szCs w:val="18"/>
                <w:lang w:eastAsia="en-US" w:bidi="en-US"/>
              </w:rPr>
              <w:t>2018年度</w:t>
            </w:r>
          </w:p>
        </w:tc>
      </w:tr>
      <w:tr w:rsidR="00C17BBD" w:rsidRPr="00251592" w14:paraId="532FD797" w14:textId="77777777" w:rsidTr="00622023">
        <w:trPr>
          <w:trHeight w:val="381"/>
          <w:jc w:val="center"/>
        </w:trPr>
        <w:tc>
          <w:tcPr>
            <w:tcW w:w="678" w:type="pct"/>
            <w:vMerge/>
            <w:vAlign w:val="center"/>
          </w:tcPr>
          <w:p w14:paraId="77E83E7E" w14:textId="77777777" w:rsidR="00C17BBD" w:rsidRPr="00251592" w:rsidRDefault="00C17BBD" w:rsidP="008A2055">
            <w:pPr>
              <w:spacing w:beforeLines="50" w:before="156" w:afterLines="50" w:after="156" w:line="360" w:lineRule="auto"/>
              <w:jc w:val="center"/>
              <w:rPr>
                <w:rFonts w:ascii="宋体" w:eastAsia="宋体" w:hAnsi="宋体" w:cs="Times New Roman"/>
                <w:iCs/>
                <w:color w:val="000000"/>
                <w:kern w:val="0"/>
                <w:sz w:val="18"/>
                <w:szCs w:val="18"/>
                <w:lang w:eastAsia="en-US" w:bidi="en-US"/>
              </w:rPr>
            </w:pPr>
          </w:p>
        </w:tc>
        <w:tc>
          <w:tcPr>
            <w:tcW w:w="719" w:type="pct"/>
            <w:vAlign w:val="center"/>
          </w:tcPr>
          <w:p w14:paraId="23B24CC7" w14:textId="77777777" w:rsidR="00C17BBD" w:rsidRPr="00251592" w:rsidRDefault="00C17BBD" w:rsidP="008A2055">
            <w:pPr>
              <w:widowControl/>
              <w:jc w:val="center"/>
              <w:rPr>
                <w:rFonts w:ascii="宋体" w:eastAsia="宋体" w:hAnsi="宋体" w:cs="Times New Roman"/>
                <w:color w:val="000000"/>
                <w:sz w:val="18"/>
                <w:szCs w:val="18"/>
              </w:rPr>
            </w:pPr>
            <w:r w:rsidRPr="00251592">
              <w:rPr>
                <w:rFonts w:ascii="宋体" w:eastAsia="宋体" w:hAnsi="宋体" w:cs="Times New Roman"/>
                <w:color w:val="000000"/>
                <w:sz w:val="18"/>
                <w:szCs w:val="18"/>
              </w:rPr>
              <w:t>金额</w:t>
            </w:r>
          </w:p>
        </w:tc>
        <w:tc>
          <w:tcPr>
            <w:tcW w:w="719" w:type="pct"/>
            <w:vAlign w:val="center"/>
          </w:tcPr>
          <w:p w14:paraId="0A384271" w14:textId="77777777" w:rsidR="00C17BBD" w:rsidRPr="00251592" w:rsidRDefault="00C17BBD" w:rsidP="008A2055">
            <w:pPr>
              <w:widowControl/>
              <w:jc w:val="center"/>
              <w:rPr>
                <w:rFonts w:ascii="宋体" w:eastAsia="宋体" w:hAnsi="宋体" w:cs="Times New Roman"/>
                <w:color w:val="000000"/>
                <w:sz w:val="18"/>
                <w:szCs w:val="18"/>
              </w:rPr>
            </w:pPr>
            <w:r w:rsidRPr="00251592">
              <w:rPr>
                <w:rFonts w:ascii="宋体" w:eastAsia="宋体" w:hAnsi="宋体" w:cs="Times New Roman"/>
                <w:color w:val="000000"/>
                <w:sz w:val="18"/>
                <w:szCs w:val="18"/>
              </w:rPr>
              <w:t>毛利率</w:t>
            </w:r>
          </w:p>
        </w:tc>
        <w:tc>
          <w:tcPr>
            <w:tcW w:w="719" w:type="pct"/>
            <w:vAlign w:val="center"/>
          </w:tcPr>
          <w:p w14:paraId="2B599BDB"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金额</w:t>
            </w:r>
            <w:proofErr w:type="spellEnd"/>
          </w:p>
        </w:tc>
        <w:tc>
          <w:tcPr>
            <w:tcW w:w="719" w:type="pct"/>
            <w:vAlign w:val="center"/>
          </w:tcPr>
          <w:p w14:paraId="27BCD9E1"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color w:val="000000"/>
                <w:kern w:val="0"/>
                <w:sz w:val="18"/>
                <w:szCs w:val="18"/>
                <w:lang w:bidi="en-US"/>
              </w:rPr>
              <w:t>毛利率</w:t>
            </w:r>
          </w:p>
        </w:tc>
        <w:tc>
          <w:tcPr>
            <w:tcW w:w="719" w:type="pct"/>
            <w:vAlign w:val="center"/>
          </w:tcPr>
          <w:p w14:paraId="12FF64DB"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金额</w:t>
            </w:r>
            <w:proofErr w:type="spellEnd"/>
          </w:p>
        </w:tc>
        <w:tc>
          <w:tcPr>
            <w:tcW w:w="721" w:type="pct"/>
            <w:vAlign w:val="center"/>
          </w:tcPr>
          <w:p w14:paraId="6ACCF069"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color w:val="000000"/>
                <w:kern w:val="0"/>
                <w:sz w:val="18"/>
                <w:szCs w:val="18"/>
                <w:lang w:bidi="en-US"/>
              </w:rPr>
              <w:t>毛利率</w:t>
            </w:r>
          </w:p>
        </w:tc>
      </w:tr>
      <w:tr w:rsidR="00C17BBD" w:rsidRPr="00251592" w14:paraId="6AF1BA0E" w14:textId="77777777" w:rsidTr="00622023">
        <w:trPr>
          <w:trHeight w:val="381"/>
          <w:jc w:val="center"/>
        </w:trPr>
        <w:tc>
          <w:tcPr>
            <w:tcW w:w="678" w:type="pct"/>
            <w:vAlign w:val="center"/>
          </w:tcPr>
          <w:p w14:paraId="6D6EA7F9"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居住建筑</w:t>
            </w:r>
            <w:proofErr w:type="spellEnd"/>
          </w:p>
        </w:tc>
        <w:tc>
          <w:tcPr>
            <w:tcW w:w="719" w:type="pct"/>
            <w:vAlign w:val="center"/>
          </w:tcPr>
          <w:p w14:paraId="492EFFC8"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27,503.77</w:t>
            </w:r>
          </w:p>
        </w:tc>
        <w:tc>
          <w:tcPr>
            <w:tcW w:w="719" w:type="pct"/>
            <w:vAlign w:val="center"/>
          </w:tcPr>
          <w:p w14:paraId="2B176D1B"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52.24%</w:t>
            </w:r>
          </w:p>
        </w:tc>
        <w:tc>
          <w:tcPr>
            <w:tcW w:w="719" w:type="pct"/>
            <w:vAlign w:val="center"/>
          </w:tcPr>
          <w:p w14:paraId="3CC1694B"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23,224.12</w:t>
            </w:r>
          </w:p>
        </w:tc>
        <w:tc>
          <w:tcPr>
            <w:tcW w:w="719" w:type="pct"/>
            <w:vAlign w:val="center"/>
          </w:tcPr>
          <w:p w14:paraId="62F13CD5"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kern w:val="0"/>
                <w:sz w:val="18"/>
                <w:szCs w:val="18"/>
              </w:rPr>
              <w:t>54.97%</w:t>
            </w:r>
          </w:p>
        </w:tc>
        <w:tc>
          <w:tcPr>
            <w:tcW w:w="719" w:type="pct"/>
            <w:vAlign w:val="center"/>
          </w:tcPr>
          <w:p w14:paraId="5BB7A85F"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22,523.59</w:t>
            </w:r>
          </w:p>
        </w:tc>
        <w:tc>
          <w:tcPr>
            <w:tcW w:w="721" w:type="pct"/>
            <w:vAlign w:val="center"/>
          </w:tcPr>
          <w:p w14:paraId="2FC31B0E"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kern w:val="0"/>
                <w:sz w:val="18"/>
                <w:szCs w:val="18"/>
              </w:rPr>
              <w:t>54.03%</w:t>
            </w:r>
          </w:p>
        </w:tc>
      </w:tr>
      <w:tr w:rsidR="00C17BBD" w:rsidRPr="00251592" w14:paraId="471531DB" w14:textId="77777777" w:rsidTr="00622023">
        <w:trPr>
          <w:trHeight w:val="381"/>
          <w:jc w:val="center"/>
        </w:trPr>
        <w:tc>
          <w:tcPr>
            <w:tcW w:w="678" w:type="pct"/>
            <w:vAlign w:val="center"/>
          </w:tcPr>
          <w:p w14:paraId="567BA059"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color w:val="000000"/>
                <w:kern w:val="0"/>
                <w:sz w:val="18"/>
                <w:szCs w:val="18"/>
                <w:lang w:eastAsia="en-US" w:bidi="en-US"/>
              </w:rPr>
              <w:t>公共建筑</w:t>
            </w:r>
            <w:proofErr w:type="spellEnd"/>
          </w:p>
        </w:tc>
        <w:tc>
          <w:tcPr>
            <w:tcW w:w="719" w:type="pct"/>
            <w:vAlign w:val="center"/>
          </w:tcPr>
          <w:p w14:paraId="5FC35A82"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4,313.81</w:t>
            </w:r>
          </w:p>
        </w:tc>
        <w:tc>
          <w:tcPr>
            <w:tcW w:w="719" w:type="pct"/>
            <w:vAlign w:val="center"/>
          </w:tcPr>
          <w:p w14:paraId="647427CF"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21.78%</w:t>
            </w:r>
          </w:p>
        </w:tc>
        <w:tc>
          <w:tcPr>
            <w:tcW w:w="719" w:type="pct"/>
            <w:vAlign w:val="center"/>
          </w:tcPr>
          <w:p w14:paraId="57281055"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3,440.02</w:t>
            </w:r>
          </w:p>
        </w:tc>
        <w:tc>
          <w:tcPr>
            <w:tcW w:w="719" w:type="pct"/>
            <w:vAlign w:val="center"/>
          </w:tcPr>
          <w:p w14:paraId="37076871"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kern w:val="0"/>
                <w:sz w:val="18"/>
                <w:szCs w:val="18"/>
              </w:rPr>
              <w:t>30.94%</w:t>
            </w:r>
          </w:p>
        </w:tc>
        <w:tc>
          <w:tcPr>
            <w:tcW w:w="719" w:type="pct"/>
            <w:vAlign w:val="center"/>
          </w:tcPr>
          <w:p w14:paraId="323E8F8B"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1,621.56</w:t>
            </w:r>
          </w:p>
        </w:tc>
        <w:tc>
          <w:tcPr>
            <w:tcW w:w="721" w:type="pct"/>
            <w:vAlign w:val="center"/>
          </w:tcPr>
          <w:p w14:paraId="25158ED4" w14:textId="77777777" w:rsidR="00C17BBD" w:rsidRPr="00251592" w:rsidRDefault="00C17BBD" w:rsidP="008A2055">
            <w:pPr>
              <w:jc w:val="right"/>
              <w:rPr>
                <w:rFonts w:ascii="宋体" w:eastAsia="宋体" w:hAnsi="宋体" w:cs="Times New Roman"/>
                <w:color w:val="000000"/>
                <w:kern w:val="0"/>
                <w:sz w:val="18"/>
                <w:szCs w:val="18"/>
                <w:lang w:eastAsia="en-US" w:bidi="en-US"/>
              </w:rPr>
            </w:pPr>
            <w:r w:rsidRPr="00251592">
              <w:rPr>
                <w:rFonts w:ascii="宋体" w:eastAsia="宋体" w:hAnsi="宋体" w:cs="Times New Roman"/>
                <w:kern w:val="0"/>
                <w:sz w:val="18"/>
                <w:szCs w:val="18"/>
              </w:rPr>
              <w:t>28.43%</w:t>
            </w:r>
          </w:p>
        </w:tc>
      </w:tr>
    </w:tbl>
    <w:p w14:paraId="13268C68" w14:textId="77777777" w:rsidR="00C17BBD" w:rsidRPr="00251592" w:rsidRDefault="00C17BBD" w:rsidP="00C17BBD">
      <w:pPr>
        <w:spacing w:beforeLines="50" w:before="156" w:line="360" w:lineRule="auto"/>
        <w:ind w:firstLineChars="200" w:firstLine="420"/>
        <w:rPr>
          <w:rFonts w:ascii="宋体" w:eastAsia="宋体" w:hAnsi="宋体" w:cs="Times New Roman"/>
          <w:kern w:val="0"/>
          <w:szCs w:val="21"/>
        </w:rPr>
      </w:pPr>
      <w:r w:rsidRPr="00251592">
        <w:rPr>
          <w:rFonts w:ascii="宋体" w:eastAsia="宋体" w:hAnsi="宋体" w:cs="Times New Roman"/>
          <w:kern w:val="0"/>
          <w:szCs w:val="21"/>
        </w:rPr>
        <w:t>报告期各期，公司居住建筑设计业务的毛利率显著高于公共建筑设计业务，主要与公司的薪酬激励政策有关，具体分析如下：</w:t>
      </w:r>
    </w:p>
    <w:p w14:paraId="48E53032" w14:textId="77777777" w:rsidR="00C17BBD" w:rsidRPr="00251592" w:rsidRDefault="00C17BBD" w:rsidP="00C17BBD">
      <w:pPr>
        <w:spacing w:beforeLines="50" w:before="156" w:line="360" w:lineRule="auto"/>
        <w:ind w:firstLineChars="200" w:firstLine="420"/>
        <w:rPr>
          <w:rFonts w:ascii="宋体" w:eastAsia="宋体" w:hAnsi="宋体" w:cs="Times New Roman"/>
          <w:kern w:val="0"/>
          <w:szCs w:val="21"/>
        </w:rPr>
      </w:pPr>
      <w:r w:rsidRPr="00251592">
        <w:rPr>
          <w:rFonts w:ascii="宋体" w:eastAsia="宋体" w:hAnsi="宋体" w:cs="Times New Roman"/>
          <w:color w:val="000000"/>
          <w:kern w:val="0"/>
          <w:szCs w:val="21"/>
          <w:lang w:bidi="en-US"/>
        </w:rPr>
        <w:t>报告期内，公司设计人员（包括居住建筑设计、公共建筑设计的员工）的员工薪</w:t>
      </w:r>
      <w:proofErr w:type="gramStart"/>
      <w:r w:rsidRPr="00251592">
        <w:rPr>
          <w:rFonts w:ascii="宋体" w:eastAsia="宋体" w:hAnsi="宋体" w:cs="Times New Roman"/>
          <w:color w:val="000000"/>
          <w:kern w:val="0"/>
          <w:szCs w:val="21"/>
          <w:lang w:bidi="en-US"/>
        </w:rPr>
        <w:t>酬</w:t>
      </w:r>
      <w:proofErr w:type="gramEnd"/>
      <w:r w:rsidRPr="00251592">
        <w:rPr>
          <w:rFonts w:ascii="宋体" w:eastAsia="宋体" w:hAnsi="宋体" w:cs="Times New Roman"/>
          <w:color w:val="000000"/>
          <w:kern w:val="0"/>
          <w:szCs w:val="21"/>
          <w:lang w:bidi="en-US"/>
        </w:rPr>
        <w:t>激励政策如下：设计人员薪酬总额由固定薪酬与绩效奖金两部分构成。其中，固定薪酬包含工资、社保、公积金等，按月发放，绩效奖金是根据公司的绩效考核政策计算并于期末计提的浮动薪酬。公司对设计部门实行“预算制考核”</w:t>
      </w:r>
      <w:r w:rsidRPr="00251592">
        <w:rPr>
          <w:rFonts w:ascii="宋体" w:eastAsia="宋体" w:hAnsi="宋体" w:cs="Times New Roman"/>
          <w:kern w:val="0"/>
          <w:szCs w:val="21"/>
        </w:rPr>
        <w:t>，根据设计项目实现的收入乘以一定的比例（成本系数）作为总成本包，用于人工薪酬、差旅交通费、图文制作费等项目支出，其中，职工薪</w:t>
      </w:r>
      <w:proofErr w:type="gramStart"/>
      <w:r w:rsidRPr="00251592">
        <w:rPr>
          <w:rFonts w:ascii="宋体" w:eastAsia="宋体" w:hAnsi="宋体" w:cs="Times New Roman"/>
          <w:kern w:val="0"/>
          <w:szCs w:val="21"/>
        </w:rPr>
        <w:t>酬</w:t>
      </w:r>
      <w:proofErr w:type="gramEnd"/>
      <w:r w:rsidRPr="00251592">
        <w:rPr>
          <w:rFonts w:ascii="宋体" w:eastAsia="宋体" w:hAnsi="宋体" w:cs="Times New Roman"/>
          <w:kern w:val="0"/>
          <w:szCs w:val="21"/>
        </w:rPr>
        <w:t>中年末绩效奖金薪酬由总成本包扣除当年已发生的支出（包括日常发放的固定薪酬、差旅交通费、图文制作费等）后得到。</w:t>
      </w:r>
    </w:p>
    <w:p w14:paraId="1B76D3C5"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rPr>
      </w:pPr>
      <w:r w:rsidRPr="00251592">
        <w:rPr>
          <w:rFonts w:ascii="宋体" w:eastAsia="宋体" w:hAnsi="宋体" w:cs="Times New Roman"/>
          <w:kern w:val="0"/>
          <w:szCs w:val="21"/>
        </w:rPr>
        <w:lastRenderedPageBreak/>
        <w:t>报告期各期，公司居住建筑设计业务的毛利率显著高于公共建筑设计业务，主要原因分析如下：</w:t>
      </w:r>
    </w:p>
    <w:p w14:paraId="38A6EBBB"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rPr>
      </w:pPr>
      <w:r w:rsidRPr="00251592">
        <w:rPr>
          <w:rFonts w:ascii="宋体" w:eastAsia="宋体" w:hAnsi="宋体" w:cs="Times New Roman"/>
          <w:kern w:val="0"/>
          <w:szCs w:val="21"/>
        </w:rPr>
        <w:t>如前所述，公司设计项目管理实行“项目预算制考核”，即根据设计项目的收入乘以一定的比例（成本系数）作为项目成本包，覆盖包括人工薪酬、差旅交通费、图文制作费等项目支出，因此，项目成本包所对应收入的切分比例（成本系数）成为影响项目毛利率的核心因素，即，切分比例（成本系数）越高、项目毛利率越低。</w:t>
      </w:r>
    </w:p>
    <w:p w14:paraId="76AE437D"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rPr>
      </w:pPr>
      <w:r w:rsidRPr="00251592">
        <w:rPr>
          <w:rFonts w:ascii="宋体" w:eastAsia="宋体" w:hAnsi="宋体" w:cs="Times New Roman"/>
          <w:kern w:val="0"/>
          <w:szCs w:val="21"/>
        </w:rPr>
        <w:t>公司制定了《设计部门成本核算管理办法》，结合业务策略导向，对不同类别的设计项目，制定了差异化的绩效薪酬导向政策：居住建筑项目是公司的优势业务、且相当部分业务来自于保利体系，标准化程度高、业务承做难度小，因此住宅业</w:t>
      </w:r>
      <w:proofErr w:type="gramStart"/>
      <w:r w:rsidRPr="00251592">
        <w:rPr>
          <w:rFonts w:ascii="宋体" w:eastAsia="宋体" w:hAnsi="宋体" w:cs="Times New Roman"/>
          <w:kern w:val="0"/>
          <w:szCs w:val="21"/>
        </w:rPr>
        <w:t>态项目</w:t>
      </w:r>
      <w:proofErr w:type="gramEnd"/>
      <w:r w:rsidRPr="00251592">
        <w:rPr>
          <w:rFonts w:ascii="宋体" w:eastAsia="宋体" w:hAnsi="宋体" w:cs="Times New Roman"/>
          <w:kern w:val="0"/>
          <w:szCs w:val="21"/>
        </w:rPr>
        <w:t>的成本切分比例相对较低，通常为41%-47%，因而该类项目毛利率较高；非住宅类项目（包括公共建筑项目）是公司的相对弱势领域，也是公司大力拓展、鼓励支持的业务领域，为了强化绩效导向、鼓励业务发展，公司对非住宅业</w:t>
      </w:r>
      <w:proofErr w:type="gramStart"/>
      <w:r w:rsidRPr="00251592">
        <w:rPr>
          <w:rFonts w:ascii="宋体" w:eastAsia="宋体" w:hAnsi="宋体" w:cs="Times New Roman"/>
          <w:kern w:val="0"/>
          <w:szCs w:val="21"/>
        </w:rPr>
        <w:t>态项目</w:t>
      </w:r>
      <w:proofErr w:type="gramEnd"/>
      <w:r w:rsidRPr="00251592">
        <w:rPr>
          <w:rFonts w:ascii="宋体" w:eastAsia="宋体" w:hAnsi="宋体" w:cs="Times New Roman"/>
          <w:kern w:val="0"/>
          <w:szCs w:val="21"/>
        </w:rPr>
        <w:t>设置了较高的成本系数，通常为70%，因而该类项目毛利率较低。</w:t>
      </w:r>
    </w:p>
    <w:p w14:paraId="16601B75"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报告期内,公司同一类别项目的激励政策保持一致，未发生重大变化。</w:t>
      </w:r>
    </w:p>
    <w:p w14:paraId="000A1387"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以报告期各期居住建筑、公共建筑前五大项目为例，其成本构成明细情况如下：</w:t>
      </w:r>
    </w:p>
    <w:p w14:paraId="1D9BC21D" w14:textId="77777777" w:rsidR="00C17BBD" w:rsidRPr="00251592" w:rsidRDefault="00C17BBD" w:rsidP="00C17BBD">
      <w:pPr>
        <w:jc w:val="right"/>
        <w:rPr>
          <w:rFonts w:ascii="宋体" w:eastAsia="宋体" w:hAnsi="宋体" w:cs="Times New Roman"/>
          <w:iCs/>
          <w:color w:val="000000"/>
          <w:kern w:val="0"/>
          <w:szCs w:val="21"/>
          <w:lang w:eastAsia="en-US" w:bidi="en-US"/>
        </w:rPr>
      </w:pPr>
      <w:proofErr w:type="spellStart"/>
      <w:r w:rsidRPr="00251592">
        <w:rPr>
          <w:rFonts w:ascii="宋体" w:eastAsia="宋体" w:hAnsi="宋体" w:cs="Times New Roman"/>
          <w:iCs/>
          <w:color w:val="000000"/>
          <w:kern w:val="0"/>
          <w:szCs w:val="21"/>
          <w:lang w:eastAsia="en-US" w:bidi="en-US"/>
        </w:rPr>
        <w:t>单位：万元</w:t>
      </w:r>
      <w:proofErr w:type="spellEnd"/>
    </w:p>
    <w:tbl>
      <w:tblPr>
        <w:tblW w:w="9776" w:type="dxa"/>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912"/>
        <w:gridCol w:w="758"/>
        <w:gridCol w:w="3338"/>
        <w:gridCol w:w="905"/>
        <w:gridCol w:w="876"/>
        <w:gridCol w:w="1142"/>
        <w:gridCol w:w="995"/>
        <w:gridCol w:w="850"/>
      </w:tblGrid>
      <w:tr w:rsidR="00C17BBD" w:rsidRPr="00251592" w14:paraId="759EE278" w14:textId="77777777" w:rsidTr="00622023">
        <w:trPr>
          <w:trHeight w:val="300"/>
          <w:jc w:val="center"/>
        </w:trPr>
        <w:tc>
          <w:tcPr>
            <w:tcW w:w="912" w:type="dxa"/>
            <w:shd w:val="clear" w:color="auto" w:fill="auto"/>
            <w:noWrap/>
            <w:vAlign w:val="center"/>
          </w:tcPr>
          <w:p w14:paraId="7B72A27B"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期间</w:t>
            </w:r>
          </w:p>
        </w:tc>
        <w:tc>
          <w:tcPr>
            <w:tcW w:w="758" w:type="dxa"/>
            <w:shd w:val="clear" w:color="auto" w:fill="auto"/>
            <w:vAlign w:val="center"/>
          </w:tcPr>
          <w:p w14:paraId="77D04F40"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类别</w:t>
            </w:r>
          </w:p>
        </w:tc>
        <w:tc>
          <w:tcPr>
            <w:tcW w:w="3338" w:type="dxa"/>
            <w:shd w:val="clear" w:color="auto" w:fill="auto"/>
            <w:noWrap/>
            <w:vAlign w:val="center"/>
          </w:tcPr>
          <w:p w14:paraId="0D7D5326"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项目名称</w:t>
            </w:r>
          </w:p>
        </w:tc>
        <w:tc>
          <w:tcPr>
            <w:tcW w:w="905" w:type="dxa"/>
            <w:shd w:val="clear" w:color="auto" w:fill="auto"/>
            <w:noWrap/>
            <w:vAlign w:val="center"/>
          </w:tcPr>
          <w:p w14:paraId="1BEB86E3"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收入</w:t>
            </w:r>
          </w:p>
        </w:tc>
        <w:tc>
          <w:tcPr>
            <w:tcW w:w="876" w:type="dxa"/>
            <w:shd w:val="clear" w:color="auto" w:fill="auto"/>
            <w:noWrap/>
            <w:vAlign w:val="center"/>
          </w:tcPr>
          <w:p w14:paraId="35A28124"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成本</w:t>
            </w:r>
          </w:p>
        </w:tc>
        <w:tc>
          <w:tcPr>
            <w:tcW w:w="1142" w:type="dxa"/>
            <w:shd w:val="clear" w:color="auto" w:fill="auto"/>
            <w:noWrap/>
            <w:vAlign w:val="center"/>
          </w:tcPr>
          <w:p w14:paraId="36411147"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其中：人工薪酬</w:t>
            </w:r>
          </w:p>
        </w:tc>
        <w:tc>
          <w:tcPr>
            <w:tcW w:w="995" w:type="dxa"/>
            <w:shd w:val="clear" w:color="auto" w:fill="auto"/>
            <w:noWrap/>
            <w:vAlign w:val="center"/>
          </w:tcPr>
          <w:p w14:paraId="7940AA67"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毛利</w:t>
            </w:r>
          </w:p>
        </w:tc>
        <w:tc>
          <w:tcPr>
            <w:tcW w:w="850" w:type="dxa"/>
            <w:shd w:val="clear" w:color="auto" w:fill="auto"/>
            <w:noWrap/>
            <w:vAlign w:val="center"/>
          </w:tcPr>
          <w:p w14:paraId="40D63AE9"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毛利率</w:t>
            </w:r>
          </w:p>
        </w:tc>
      </w:tr>
      <w:tr w:rsidR="00C17BBD" w:rsidRPr="00251592" w14:paraId="16F1752A" w14:textId="77777777" w:rsidTr="00622023">
        <w:trPr>
          <w:trHeight w:val="290"/>
          <w:jc w:val="center"/>
        </w:trPr>
        <w:tc>
          <w:tcPr>
            <w:tcW w:w="912" w:type="dxa"/>
            <w:vMerge w:val="restart"/>
            <w:shd w:val="clear" w:color="auto" w:fill="auto"/>
            <w:vAlign w:val="center"/>
          </w:tcPr>
          <w:p w14:paraId="6B631006"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2020年</w:t>
            </w:r>
          </w:p>
        </w:tc>
        <w:tc>
          <w:tcPr>
            <w:tcW w:w="758" w:type="dxa"/>
            <w:shd w:val="clear" w:color="auto" w:fill="auto"/>
            <w:vAlign w:val="center"/>
          </w:tcPr>
          <w:p w14:paraId="526AAEE3"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vAlign w:val="center"/>
          </w:tcPr>
          <w:p w14:paraId="61C42C47"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东莞保利虎门高铁站项目</w:t>
            </w:r>
          </w:p>
        </w:tc>
        <w:tc>
          <w:tcPr>
            <w:tcW w:w="905" w:type="dxa"/>
            <w:shd w:val="clear" w:color="auto" w:fill="auto"/>
            <w:noWrap/>
            <w:vAlign w:val="center"/>
          </w:tcPr>
          <w:p w14:paraId="3DE39CA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726.25 </w:t>
            </w:r>
          </w:p>
        </w:tc>
        <w:tc>
          <w:tcPr>
            <w:tcW w:w="876" w:type="dxa"/>
            <w:shd w:val="clear" w:color="auto" w:fill="auto"/>
            <w:noWrap/>
            <w:vAlign w:val="center"/>
          </w:tcPr>
          <w:p w14:paraId="5FFC712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312.68 </w:t>
            </w:r>
          </w:p>
        </w:tc>
        <w:tc>
          <w:tcPr>
            <w:tcW w:w="1142" w:type="dxa"/>
            <w:shd w:val="clear" w:color="auto" w:fill="auto"/>
            <w:noWrap/>
            <w:vAlign w:val="center"/>
          </w:tcPr>
          <w:p w14:paraId="728CD20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206.34 </w:t>
            </w:r>
          </w:p>
        </w:tc>
        <w:tc>
          <w:tcPr>
            <w:tcW w:w="995" w:type="dxa"/>
            <w:shd w:val="clear" w:color="auto" w:fill="auto"/>
            <w:noWrap/>
            <w:vAlign w:val="center"/>
          </w:tcPr>
          <w:p w14:paraId="1F617A7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413.57 </w:t>
            </w:r>
          </w:p>
        </w:tc>
        <w:tc>
          <w:tcPr>
            <w:tcW w:w="850" w:type="dxa"/>
            <w:shd w:val="clear" w:color="auto" w:fill="auto"/>
            <w:noWrap/>
            <w:vAlign w:val="center"/>
          </w:tcPr>
          <w:p w14:paraId="79A3AB5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56.95%</w:t>
            </w:r>
          </w:p>
        </w:tc>
      </w:tr>
      <w:tr w:rsidR="00C17BBD" w:rsidRPr="00251592" w14:paraId="71E2BDBB" w14:textId="77777777" w:rsidTr="00622023">
        <w:trPr>
          <w:trHeight w:val="280"/>
          <w:jc w:val="center"/>
        </w:trPr>
        <w:tc>
          <w:tcPr>
            <w:tcW w:w="912" w:type="dxa"/>
            <w:vMerge/>
            <w:shd w:val="clear" w:color="auto" w:fill="auto"/>
          </w:tcPr>
          <w:p w14:paraId="48287B3D"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540CA8BA"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vAlign w:val="center"/>
          </w:tcPr>
          <w:p w14:paraId="04B1D20C"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福建保利泉州市S2019-37号地块项目</w:t>
            </w:r>
          </w:p>
        </w:tc>
        <w:tc>
          <w:tcPr>
            <w:tcW w:w="905" w:type="dxa"/>
            <w:shd w:val="clear" w:color="auto" w:fill="auto"/>
            <w:noWrap/>
            <w:vAlign w:val="center"/>
          </w:tcPr>
          <w:p w14:paraId="34D3CE1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666.88 </w:t>
            </w:r>
          </w:p>
        </w:tc>
        <w:tc>
          <w:tcPr>
            <w:tcW w:w="876" w:type="dxa"/>
            <w:shd w:val="clear" w:color="auto" w:fill="auto"/>
            <w:noWrap/>
            <w:vAlign w:val="center"/>
          </w:tcPr>
          <w:p w14:paraId="3C96C10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284.49 </w:t>
            </w:r>
          </w:p>
        </w:tc>
        <w:tc>
          <w:tcPr>
            <w:tcW w:w="1142" w:type="dxa"/>
            <w:shd w:val="clear" w:color="auto" w:fill="auto"/>
            <w:noWrap/>
            <w:vAlign w:val="center"/>
          </w:tcPr>
          <w:p w14:paraId="7E7897A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196.09 </w:t>
            </w:r>
          </w:p>
        </w:tc>
        <w:tc>
          <w:tcPr>
            <w:tcW w:w="995" w:type="dxa"/>
            <w:shd w:val="clear" w:color="auto" w:fill="auto"/>
            <w:noWrap/>
            <w:vAlign w:val="center"/>
          </w:tcPr>
          <w:p w14:paraId="735F385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382.39 </w:t>
            </w:r>
          </w:p>
        </w:tc>
        <w:tc>
          <w:tcPr>
            <w:tcW w:w="850" w:type="dxa"/>
            <w:shd w:val="clear" w:color="auto" w:fill="auto"/>
            <w:noWrap/>
            <w:vAlign w:val="center"/>
          </w:tcPr>
          <w:p w14:paraId="2701248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57.34%</w:t>
            </w:r>
          </w:p>
        </w:tc>
      </w:tr>
      <w:tr w:rsidR="00C17BBD" w:rsidRPr="00251592" w14:paraId="19BD4B31" w14:textId="77777777" w:rsidTr="00622023">
        <w:trPr>
          <w:trHeight w:val="280"/>
          <w:jc w:val="center"/>
        </w:trPr>
        <w:tc>
          <w:tcPr>
            <w:tcW w:w="912" w:type="dxa"/>
            <w:vMerge/>
            <w:shd w:val="clear" w:color="auto" w:fill="auto"/>
          </w:tcPr>
          <w:p w14:paraId="2295B0B6"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63A900AB"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vAlign w:val="center"/>
          </w:tcPr>
          <w:p w14:paraId="658B960E"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长春保利长春市绿园区西部新城富民</w:t>
            </w:r>
            <w:proofErr w:type="gramStart"/>
            <w:r w:rsidRPr="00251592">
              <w:rPr>
                <w:rFonts w:ascii="宋体" w:eastAsia="宋体" w:hAnsi="宋体" w:cs="Times New Roman" w:hint="eastAsia"/>
                <w:sz w:val="18"/>
                <w:szCs w:val="18"/>
              </w:rPr>
              <w:t>大街双</w:t>
            </w:r>
            <w:proofErr w:type="gramEnd"/>
            <w:r w:rsidRPr="00251592">
              <w:rPr>
                <w:rFonts w:ascii="宋体" w:eastAsia="宋体" w:hAnsi="宋体" w:cs="Times New Roman" w:hint="eastAsia"/>
                <w:sz w:val="18"/>
                <w:szCs w:val="18"/>
              </w:rPr>
              <w:t>丰西街以西自立西街以北地块项目</w:t>
            </w:r>
          </w:p>
        </w:tc>
        <w:tc>
          <w:tcPr>
            <w:tcW w:w="905" w:type="dxa"/>
            <w:shd w:val="clear" w:color="auto" w:fill="auto"/>
            <w:noWrap/>
            <w:vAlign w:val="center"/>
          </w:tcPr>
          <w:p w14:paraId="3708938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590.08 </w:t>
            </w:r>
          </w:p>
        </w:tc>
        <w:tc>
          <w:tcPr>
            <w:tcW w:w="876" w:type="dxa"/>
            <w:shd w:val="clear" w:color="auto" w:fill="auto"/>
            <w:noWrap/>
            <w:vAlign w:val="center"/>
          </w:tcPr>
          <w:p w14:paraId="5F110A0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273.35 </w:t>
            </w:r>
          </w:p>
        </w:tc>
        <w:tc>
          <w:tcPr>
            <w:tcW w:w="1142" w:type="dxa"/>
            <w:shd w:val="clear" w:color="auto" w:fill="auto"/>
            <w:noWrap/>
            <w:vAlign w:val="center"/>
          </w:tcPr>
          <w:p w14:paraId="2BBA497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198.36 </w:t>
            </w:r>
          </w:p>
        </w:tc>
        <w:tc>
          <w:tcPr>
            <w:tcW w:w="995" w:type="dxa"/>
            <w:shd w:val="clear" w:color="auto" w:fill="auto"/>
            <w:noWrap/>
            <w:vAlign w:val="center"/>
          </w:tcPr>
          <w:p w14:paraId="24A055E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316.73 </w:t>
            </w:r>
          </w:p>
        </w:tc>
        <w:tc>
          <w:tcPr>
            <w:tcW w:w="850" w:type="dxa"/>
            <w:shd w:val="clear" w:color="auto" w:fill="auto"/>
            <w:noWrap/>
            <w:vAlign w:val="center"/>
          </w:tcPr>
          <w:p w14:paraId="360C87A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53.68%</w:t>
            </w:r>
          </w:p>
        </w:tc>
      </w:tr>
      <w:tr w:rsidR="00C17BBD" w:rsidRPr="00251592" w14:paraId="7CB37E40" w14:textId="77777777" w:rsidTr="00622023">
        <w:trPr>
          <w:trHeight w:val="280"/>
          <w:jc w:val="center"/>
        </w:trPr>
        <w:tc>
          <w:tcPr>
            <w:tcW w:w="912" w:type="dxa"/>
            <w:vMerge/>
            <w:shd w:val="clear" w:color="auto" w:fill="auto"/>
          </w:tcPr>
          <w:p w14:paraId="0DFA66C1"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5A44A652"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vAlign w:val="center"/>
          </w:tcPr>
          <w:p w14:paraId="16AD7813"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武汉保利洪山区P（2019）159号地块项目</w:t>
            </w:r>
          </w:p>
        </w:tc>
        <w:tc>
          <w:tcPr>
            <w:tcW w:w="905" w:type="dxa"/>
            <w:shd w:val="clear" w:color="auto" w:fill="auto"/>
            <w:noWrap/>
            <w:vAlign w:val="center"/>
          </w:tcPr>
          <w:p w14:paraId="17E4340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473.03 </w:t>
            </w:r>
          </w:p>
        </w:tc>
        <w:tc>
          <w:tcPr>
            <w:tcW w:w="876" w:type="dxa"/>
            <w:shd w:val="clear" w:color="auto" w:fill="auto"/>
            <w:noWrap/>
            <w:vAlign w:val="center"/>
          </w:tcPr>
          <w:p w14:paraId="28AD33E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232.97 </w:t>
            </w:r>
          </w:p>
        </w:tc>
        <w:tc>
          <w:tcPr>
            <w:tcW w:w="1142" w:type="dxa"/>
            <w:shd w:val="clear" w:color="auto" w:fill="auto"/>
            <w:noWrap/>
            <w:vAlign w:val="center"/>
          </w:tcPr>
          <w:p w14:paraId="17AC2D2F"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120.30 </w:t>
            </w:r>
          </w:p>
        </w:tc>
        <w:tc>
          <w:tcPr>
            <w:tcW w:w="995" w:type="dxa"/>
            <w:shd w:val="clear" w:color="auto" w:fill="auto"/>
            <w:noWrap/>
            <w:vAlign w:val="center"/>
          </w:tcPr>
          <w:p w14:paraId="434E33DF"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240.06 </w:t>
            </w:r>
          </w:p>
        </w:tc>
        <w:tc>
          <w:tcPr>
            <w:tcW w:w="850" w:type="dxa"/>
            <w:shd w:val="clear" w:color="auto" w:fill="auto"/>
            <w:noWrap/>
            <w:vAlign w:val="center"/>
          </w:tcPr>
          <w:p w14:paraId="2A28DD0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50.75%</w:t>
            </w:r>
          </w:p>
        </w:tc>
      </w:tr>
      <w:tr w:rsidR="00C17BBD" w:rsidRPr="00251592" w14:paraId="67628D51" w14:textId="77777777" w:rsidTr="00622023">
        <w:trPr>
          <w:trHeight w:val="280"/>
          <w:jc w:val="center"/>
        </w:trPr>
        <w:tc>
          <w:tcPr>
            <w:tcW w:w="912" w:type="dxa"/>
            <w:vMerge/>
            <w:shd w:val="clear" w:color="auto" w:fill="auto"/>
          </w:tcPr>
          <w:p w14:paraId="0CFF4601"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382D4571"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vAlign w:val="center"/>
          </w:tcPr>
          <w:p w14:paraId="3BCDD8EB"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广东保利广州市</w:t>
            </w:r>
            <w:proofErr w:type="gramStart"/>
            <w:r w:rsidRPr="00251592">
              <w:rPr>
                <w:rFonts w:ascii="宋体" w:eastAsia="宋体" w:hAnsi="宋体" w:cs="Times New Roman" w:hint="eastAsia"/>
                <w:sz w:val="18"/>
                <w:szCs w:val="18"/>
              </w:rPr>
              <w:t>番禺区易兴</w:t>
            </w:r>
            <w:proofErr w:type="gramEnd"/>
            <w:r w:rsidRPr="00251592">
              <w:rPr>
                <w:rFonts w:ascii="宋体" w:eastAsia="宋体" w:hAnsi="宋体" w:cs="Times New Roman"/>
                <w:sz w:val="18"/>
                <w:szCs w:val="18"/>
              </w:rPr>
              <w:t>DHJ15-01</w:t>
            </w:r>
            <w:r w:rsidRPr="00251592">
              <w:rPr>
                <w:rFonts w:ascii="宋体" w:eastAsia="宋体" w:hAnsi="宋体" w:cs="Times New Roman" w:hint="eastAsia"/>
                <w:sz w:val="18"/>
                <w:szCs w:val="18"/>
              </w:rPr>
              <w:t>地块项目</w:t>
            </w:r>
          </w:p>
        </w:tc>
        <w:tc>
          <w:tcPr>
            <w:tcW w:w="905" w:type="dxa"/>
            <w:shd w:val="clear" w:color="auto" w:fill="auto"/>
            <w:noWrap/>
            <w:vAlign w:val="center"/>
          </w:tcPr>
          <w:p w14:paraId="6307732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467.30 </w:t>
            </w:r>
          </w:p>
        </w:tc>
        <w:tc>
          <w:tcPr>
            <w:tcW w:w="876" w:type="dxa"/>
            <w:shd w:val="clear" w:color="auto" w:fill="auto"/>
            <w:noWrap/>
            <w:vAlign w:val="center"/>
          </w:tcPr>
          <w:p w14:paraId="2FDA945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230.12 </w:t>
            </w:r>
          </w:p>
        </w:tc>
        <w:tc>
          <w:tcPr>
            <w:tcW w:w="1142" w:type="dxa"/>
            <w:shd w:val="clear" w:color="auto" w:fill="auto"/>
            <w:noWrap/>
            <w:vAlign w:val="center"/>
          </w:tcPr>
          <w:p w14:paraId="6F788A6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154.20 </w:t>
            </w:r>
          </w:p>
        </w:tc>
        <w:tc>
          <w:tcPr>
            <w:tcW w:w="995" w:type="dxa"/>
            <w:shd w:val="clear" w:color="auto" w:fill="auto"/>
            <w:noWrap/>
            <w:vAlign w:val="center"/>
          </w:tcPr>
          <w:p w14:paraId="7E62FE0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237.18 </w:t>
            </w:r>
          </w:p>
        </w:tc>
        <w:tc>
          <w:tcPr>
            <w:tcW w:w="850" w:type="dxa"/>
            <w:shd w:val="clear" w:color="auto" w:fill="auto"/>
            <w:noWrap/>
            <w:vAlign w:val="center"/>
          </w:tcPr>
          <w:p w14:paraId="36B8B77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50.76%</w:t>
            </w:r>
          </w:p>
        </w:tc>
      </w:tr>
      <w:tr w:rsidR="00C17BBD" w:rsidRPr="00251592" w14:paraId="4EE606CC" w14:textId="77777777" w:rsidTr="00622023">
        <w:trPr>
          <w:trHeight w:val="280"/>
          <w:jc w:val="center"/>
        </w:trPr>
        <w:tc>
          <w:tcPr>
            <w:tcW w:w="912" w:type="dxa"/>
            <w:vMerge/>
            <w:shd w:val="clear" w:color="auto" w:fill="auto"/>
          </w:tcPr>
          <w:p w14:paraId="4AD454C3"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4EC48BBD"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vAlign w:val="center"/>
          </w:tcPr>
          <w:p w14:paraId="6531B5C3"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广州明珞汽车装备有限公司新总部项目</w:t>
            </w:r>
          </w:p>
        </w:tc>
        <w:tc>
          <w:tcPr>
            <w:tcW w:w="905" w:type="dxa"/>
            <w:shd w:val="clear" w:color="auto" w:fill="auto"/>
            <w:noWrap/>
            <w:vAlign w:val="center"/>
          </w:tcPr>
          <w:p w14:paraId="3F16ED7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484.21 </w:t>
            </w:r>
          </w:p>
        </w:tc>
        <w:tc>
          <w:tcPr>
            <w:tcW w:w="876" w:type="dxa"/>
            <w:shd w:val="clear" w:color="auto" w:fill="auto"/>
            <w:noWrap/>
            <w:vAlign w:val="center"/>
          </w:tcPr>
          <w:p w14:paraId="6DA05F6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359.42 </w:t>
            </w:r>
          </w:p>
        </w:tc>
        <w:tc>
          <w:tcPr>
            <w:tcW w:w="1142" w:type="dxa"/>
            <w:shd w:val="clear" w:color="auto" w:fill="auto"/>
            <w:noWrap/>
            <w:vAlign w:val="center"/>
          </w:tcPr>
          <w:p w14:paraId="3C7880E1"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106.52 </w:t>
            </w:r>
          </w:p>
        </w:tc>
        <w:tc>
          <w:tcPr>
            <w:tcW w:w="995" w:type="dxa"/>
            <w:shd w:val="clear" w:color="auto" w:fill="auto"/>
            <w:noWrap/>
            <w:vAlign w:val="center"/>
          </w:tcPr>
          <w:p w14:paraId="75F513D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124.79 </w:t>
            </w:r>
          </w:p>
        </w:tc>
        <w:tc>
          <w:tcPr>
            <w:tcW w:w="850" w:type="dxa"/>
            <w:shd w:val="clear" w:color="auto" w:fill="auto"/>
            <w:noWrap/>
            <w:vAlign w:val="center"/>
          </w:tcPr>
          <w:p w14:paraId="5606688F"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25.77%</w:t>
            </w:r>
          </w:p>
        </w:tc>
      </w:tr>
      <w:tr w:rsidR="00C17BBD" w:rsidRPr="00251592" w14:paraId="6C408B26" w14:textId="77777777" w:rsidTr="00622023">
        <w:trPr>
          <w:trHeight w:val="280"/>
          <w:jc w:val="center"/>
        </w:trPr>
        <w:tc>
          <w:tcPr>
            <w:tcW w:w="912" w:type="dxa"/>
            <w:vMerge/>
            <w:shd w:val="clear" w:color="auto" w:fill="auto"/>
          </w:tcPr>
          <w:p w14:paraId="699F9992"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2AD37199"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vAlign w:val="center"/>
          </w:tcPr>
          <w:p w14:paraId="0CB9C238"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昆明市北部山水新区A1、A2地块项目</w:t>
            </w:r>
          </w:p>
        </w:tc>
        <w:tc>
          <w:tcPr>
            <w:tcW w:w="905" w:type="dxa"/>
            <w:shd w:val="clear" w:color="auto" w:fill="auto"/>
            <w:noWrap/>
            <w:vAlign w:val="center"/>
          </w:tcPr>
          <w:p w14:paraId="4D5C845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266.78 </w:t>
            </w:r>
          </w:p>
        </w:tc>
        <w:tc>
          <w:tcPr>
            <w:tcW w:w="876" w:type="dxa"/>
            <w:shd w:val="clear" w:color="auto" w:fill="auto"/>
            <w:noWrap/>
            <w:vAlign w:val="center"/>
          </w:tcPr>
          <w:p w14:paraId="714D8E3D"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193.67 </w:t>
            </w:r>
          </w:p>
        </w:tc>
        <w:tc>
          <w:tcPr>
            <w:tcW w:w="1142" w:type="dxa"/>
            <w:shd w:val="clear" w:color="auto" w:fill="auto"/>
            <w:noWrap/>
            <w:vAlign w:val="center"/>
          </w:tcPr>
          <w:p w14:paraId="4756A07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79.40 </w:t>
            </w:r>
          </w:p>
        </w:tc>
        <w:tc>
          <w:tcPr>
            <w:tcW w:w="995" w:type="dxa"/>
            <w:shd w:val="clear" w:color="auto" w:fill="auto"/>
            <w:noWrap/>
            <w:vAlign w:val="center"/>
          </w:tcPr>
          <w:p w14:paraId="6155C04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73.10 </w:t>
            </w:r>
          </w:p>
        </w:tc>
        <w:tc>
          <w:tcPr>
            <w:tcW w:w="850" w:type="dxa"/>
            <w:shd w:val="clear" w:color="auto" w:fill="auto"/>
            <w:noWrap/>
            <w:vAlign w:val="center"/>
          </w:tcPr>
          <w:p w14:paraId="31BE4A9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27.40%</w:t>
            </w:r>
          </w:p>
        </w:tc>
      </w:tr>
      <w:tr w:rsidR="00C17BBD" w:rsidRPr="00251592" w14:paraId="1665AE6F" w14:textId="77777777" w:rsidTr="00622023">
        <w:trPr>
          <w:trHeight w:val="280"/>
          <w:jc w:val="center"/>
        </w:trPr>
        <w:tc>
          <w:tcPr>
            <w:tcW w:w="912" w:type="dxa"/>
            <w:vMerge/>
            <w:shd w:val="clear" w:color="auto" w:fill="auto"/>
          </w:tcPr>
          <w:p w14:paraId="03271A28"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0E2332FF"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vAlign w:val="center"/>
          </w:tcPr>
          <w:p w14:paraId="77681888"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昆明市北部山水新区23地块项目</w:t>
            </w:r>
          </w:p>
        </w:tc>
        <w:tc>
          <w:tcPr>
            <w:tcW w:w="905" w:type="dxa"/>
            <w:shd w:val="clear" w:color="auto" w:fill="auto"/>
            <w:noWrap/>
            <w:vAlign w:val="center"/>
          </w:tcPr>
          <w:p w14:paraId="6F821D9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242.68 </w:t>
            </w:r>
          </w:p>
        </w:tc>
        <w:tc>
          <w:tcPr>
            <w:tcW w:w="876" w:type="dxa"/>
            <w:shd w:val="clear" w:color="auto" w:fill="auto"/>
            <w:noWrap/>
            <w:vAlign w:val="center"/>
          </w:tcPr>
          <w:p w14:paraId="6DB5A07D"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180.69 </w:t>
            </w:r>
          </w:p>
        </w:tc>
        <w:tc>
          <w:tcPr>
            <w:tcW w:w="1142" w:type="dxa"/>
            <w:shd w:val="clear" w:color="auto" w:fill="auto"/>
            <w:noWrap/>
            <w:vAlign w:val="center"/>
          </w:tcPr>
          <w:p w14:paraId="6BDAC0A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72.23 </w:t>
            </w:r>
          </w:p>
        </w:tc>
        <w:tc>
          <w:tcPr>
            <w:tcW w:w="995" w:type="dxa"/>
            <w:shd w:val="clear" w:color="auto" w:fill="auto"/>
            <w:noWrap/>
            <w:vAlign w:val="center"/>
          </w:tcPr>
          <w:p w14:paraId="421D165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61.99 </w:t>
            </w:r>
          </w:p>
        </w:tc>
        <w:tc>
          <w:tcPr>
            <w:tcW w:w="850" w:type="dxa"/>
            <w:shd w:val="clear" w:color="auto" w:fill="auto"/>
            <w:noWrap/>
            <w:vAlign w:val="center"/>
          </w:tcPr>
          <w:p w14:paraId="70EEDB7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25.54%</w:t>
            </w:r>
          </w:p>
        </w:tc>
      </w:tr>
      <w:tr w:rsidR="00C17BBD" w:rsidRPr="00251592" w14:paraId="3C4D03A5" w14:textId="77777777" w:rsidTr="00622023">
        <w:trPr>
          <w:trHeight w:val="280"/>
          <w:jc w:val="center"/>
        </w:trPr>
        <w:tc>
          <w:tcPr>
            <w:tcW w:w="912" w:type="dxa"/>
            <w:vMerge/>
            <w:shd w:val="clear" w:color="auto" w:fill="auto"/>
          </w:tcPr>
          <w:p w14:paraId="55E1A247"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4C1B6259"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vAlign w:val="center"/>
          </w:tcPr>
          <w:p w14:paraId="5198C107"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海南琼中</w:t>
            </w:r>
            <w:proofErr w:type="gramStart"/>
            <w:r w:rsidRPr="00251592">
              <w:rPr>
                <w:rFonts w:ascii="宋体" w:eastAsia="宋体" w:hAnsi="宋体" w:cs="Times New Roman" w:hint="eastAsia"/>
                <w:sz w:val="18"/>
                <w:szCs w:val="18"/>
              </w:rPr>
              <w:t>中交云</w:t>
            </w:r>
            <w:proofErr w:type="gramEnd"/>
            <w:r w:rsidRPr="00251592">
              <w:rPr>
                <w:rFonts w:ascii="宋体" w:eastAsia="宋体" w:hAnsi="宋体" w:cs="Times New Roman" w:hint="eastAsia"/>
                <w:sz w:val="18"/>
                <w:szCs w:val="18"/>
              </w:rPr>
              <w:t>尚荟建筑方案设计项目</w:t>
            </w:r>
          </w:p>
        </w:tc>
        <w:tc>
          <w:tcPr>
            <w:tcW w:w="905" w:type="dxa"/>
            <w:shd w:val="clear" w:color="auto" w:fill="auto"/>
            <w:noWrap/>
            <w:vAlign w:val="center"/>
          </w:tcPr>
          <w:p w14:paraId="6C321B6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209.73 </w:t>
            </w:r>
          </w:p>
        </w:tc>
        <w:tc>
          <w:tcPr>
            <w:tcW w:w="876" w:type="dxa"/>
            <w:shd w:val="clear" w:color="auto" w:fill="auto"/>
            <w:noWrap/>
            <w:vAlign w:val="center"/>
          </w:tcPr>
          <w:p w14:paraId="59534EC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152.51 </w:t>
            </w:r>
          </w:p>
        </w:tc>
        <w:tc>
          <w:tcPr>
            <w:tcW w:w="1142" w:type="dxa"/>
            <w:shd w:val="clear" w:color="auto" w:fill="auto"/>
            <w:noWrap/>
            <w:vAlign w:val="center"/>
          </w:tcPr>
          <w:p w14:paraId="6C0155C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76.86 </w:t>
            </w:r>
          </w:p>
        </w:tc>
        <w:tc>
          <w:tcPr>
            <w:tcW w:w="995" w:type="dxa"/>
            <w:shd w:val="clear" w:color="auto" w:fill="auto"/>
            <w:noWrap/>
            <w:vAlign w:val="center"/>
          </w:tcPr>
          <w:p w14:paraId="0A454D7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57.22 </w:t>
            </w:r>
          </w:p>
        </w:tc>
        <w:tc>
          <w:tcPr>
            <w:tcW w:w="850" w:type="dxa"/>
            <w:shd w:val="clear" w:color="auto" w:fill="auto"/>
            <w:noWrap/>
            <w:vAlign w:val="center"/>
          </w:tcPr>
          <w:p w14:paraId="1FB9F73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27.28%</w:t>
            </w:r>
          </w:p>
        </w:tc>
      </w:tr>
      <w:tr w:rsidR="00C17BBD" w:rsidRPr="00251592" w14:paraId="2D7E2381" w14:textId="77777777" w:rsidTr="00622023">
        <w:trPr>
          <w:trHeight w:val="280"/>
          <w:jc w:val="center"/>
        </w:trPr>
        <w:tc>
          <w:tcPr>
            <w:tcW w:w="912" w:type="dxa"/>
            <w:vMerge/>
            <w:shd w:val="clear" w:color="auto" w:fill="auto"/>
          </w:tcPr>
          <w:p w14:paraId="7191998B"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79BC6A12"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vAlign w:val="center"/>
          </w:tcPr>
          <w:p w14:paraId="4C3E290D"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hint="eastAsia"/>
                <w:sz w:val="18"/>
                <w:szCs w:val="18"/>
              </w:rPr>
              <w:t>锦什坊35号建行大学项目</w:t>
            </w:r>
          </w:p>
        </w:tc>
        <w:tc>
          <w:tcPr>
            <w:tcW w:w="905" w:type="dxa"/>
            <w:shd w:val="clear" w:color="auto" w:fill="auto"/>
            <w:noWrap/>
            <w:vAlign w:val="center"/>
          </w:tcPr>
          <w:p w14:paraId="07B9C2F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181.57 </w:t>
            </w:r>
          </w:p>
        </w:tc>
        <w:tc>
          <w:tcPr>
            <w:tcW w:w="876" w:type="dxa"/>
            <w:shd w:val="clear" w:color="auto" w:fill="auto"/>
            <w:noWrap/>
            <w:vAlign w:val="center"/>
          </w:tcPr>
          <w:p w14:paraId="7C7894F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159.46 </w:t>
            </w:r>
          </w:p>
        </w:tc>
        <w:tc>
          <w:tcPr>
            <w:tcW w:w="1142" w:type="dxa"/>
            <w:shd w:val="clear" w:color="auto" w:fill="auto"/>
            <w:noWrap/>
            <w:vAlign w:val="center"/>
          </w:tcPr>
          <w:p w14:paraId="38F83D9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101.29 </w:t>
            </w:r>
          </w:p>
        </w:tc>
        <w:tc>
          <w:tcPr>
            <w:tcW w:w="995" w:type="dxa"/>
            <w:shd w:val="clear" w:color="auto" w:fill="auto"/>
            <w:noWrap/>
            <w:vAlign w:val="center"/>
          </w:tcPr>
          <w:p w14:paraId="265EE28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 xml:space="preserve">  22.12 </w:t>
            </w:r>
          </w:p>
        </w:tc>
        <w:tc>
          <w:tcPr>
            <w:tcW w:w="850" w:type="dxa"/>
            <w:shd w:val="clear" w:color="auto" w:fill="auto"/>
            <w:noWrap/>
            <w:vAlign w:val="center"/>
          </w:tcPr>
          <w:p w14:paraId="212542BD"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hint="eastAsia"/>
                <w:sz w:val="18"/>
                <w:szCs w:val="18"/>
              </w:rPr>
              <w:t>12.18%</w:t>
            </w:r>
          </w:p>
        </w:tc>
      </w:tr>
      <w:tr w:rsidR="00C17BBD" w:rsidRPr="00251592" w14:paraId="1BE8D976" w14:textId="77777777" w:rsidTr="00622023">
        <w:trPr>
          <w:trHeight w:val="280"/>
          <w:jc w:val="center"/>
        </w:trPr>
        <w:tc>
          <w:tcPr>
            <w:tcW w:w="912" w:type="dxa"/>
            <w:vMerge w:val="restart"/>
            <w:shd w:val="clear" w:color="auto" w:fill="auto"/>
            <w:noWrap/>
            <w:vAlign w:val="center"/>
          </w:tcPr>
          <w:p w14:paraId="5B24D358"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2019年</w:t>
            </w:r>
          </w:p>
        </w:tc>
        <w:tc>
          <w:tcPr>
            <w:tcW w:w="758" w:type="dxa"/>
            <w:shd w:val="clear" w:color="auto" w:fill="auto"/>
            <w:vAlign w:val="center"/>
          </w:tcPr>
          <w:p w14:paraId="2ECCBBC0"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7F4B73FC"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张家界</w:t>
            </w:r>
            <w:proofErr w:type="gramStart"/>
            <w:r w:rsidRPr="00251592">
              <w:rPr>
                <w:rFonts w:ascii="宋体" w:eastAsia="宋体" w:hAnsi="宋体" w:cs="Times New Roman"/>
                <w:sz w:val="18"/>
                <w:szCs w:val="18"/>
              </w:rPr>
              <w:t>世茂云著项目</w:t>
            </w:r>
            <w:proofErr w:type="gramEnd"/>
            <w:r w:rsidRPr="00251592">
              <w:rPr>
                <w:rFonts w:ascii="宋体" w:eastAsia="宋体" w:hAnsi="宋体" w:cs="Times New Roman"/>
                <w:sz w:val="18"/>
                <w:szCs w:val="18"/>
              </w:rPr>
              <w:t>建筑设计（方案）</w:t>
            </w:r>
          </w:p>
        </w:tc>
        <w:tc>
          <w:tcPr>
            <w:tcW w:w="905" w:type="dxa"/>
            <w:shd w:val="clear" w:color="auto" w:fill="auto"/>
            <w:noWrap/>
            <w:vAlign w:val="center"/>
          </w:tcPr>
          <w:p w14:paraId="0CAD9671"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609.47</w:t>
            </w:r>
          </w:p>
        </w:tc>
        <w:tc>
          <w:tcPr>
            <w:tcW w:w="876" w:type="dxa"/>
            <w:shd w:val="clear" w:color="auto" w:fill="auto"/>
            <w:noWrap/>
            <w:vAlign w:val="center"/>
          </w:tcPr>
          <w:p w14:paraId="7A71255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263.00</w:t>
            </w:r>
          </w:p>
        </w:tc>
        <w:tc>
          <w:tcPr>
            <w:tcW w:w="1142" w:type="dxa"/>
            <w:shd w:val="clear" w:color="auto" w:fill="auto"/>
            <w:noWrap/>
            <w:vAlign w:val="center"/>
          </w:tcPr>
          <w:p w14:paraId="61B1A47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180.03</w:t>
            </w:r>
          </w:p>
        </w:tc>
        <w:tc>
          <w:tcPr>
            <w:tcW w:w="995" w:type="dxa"/>
            <w:shd w:val="clear" w:color="auto" w:fill="auto"/>
            <w:noWrap/>
            <w:vAlign w:val="center"/>
          </w:tcPr>
          <w:p w14:paraId="76FE3B0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346.47</w:t>
            </w:r>
          </w:p>
        </w:tc>
        <w:tc>
          <w:tcPr>
            <w:tcW w:w="850" w:type="dxa"/>
            <w:shd w:val="clear" w:color="auto" w:fill="auto"/>
            <w:noWrap/>
            <w:vAlign w:val="center"/>
          </w:tcPr>
          <w:p w14:paraId="122B22F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56.85%</w:t>
            </w:r>
          </w:p>
        </w:tc>
      </w:tr>
      <w:tr w:rsidR="00C17BBD" w:rsidRPr="00251592" w14:paraId="6C5FF1D9" w14:textId="77777777" w:rsidTr="00622023">
        <w:trPr>
          <w:trHeight w:val="280"/>
          <w:jc w:val="center"/>
        </w:trPr>
        <w:tc>
          <w:tcPr>
            <w:tcW w:w="912" w:type="dxa"/>
            <w:vMerge/>
            <w:shd w:val="clear" w:color="auto" w:fill="auto"/>
          </w:tcPr>
          <w:p w14:paraId="4EEB5025"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346E71D6"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0C11E2C8"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汕尾市海丰县保利海德公馆项目建设工</w:t>
            </w:r>
            <w:r w:rsidRPr="00251592">
              <w:rPr>
                <w:rFonts w:ascii="宋体" w:eastAsia="宋体" w:hAnsi="宋体" w:cs="Times New Roman"/>
                <w:sz w:val="18"/>
                <w:szCs w:val="18"/>
              </w:rPr>
              <w:lastRenderedPageBreak/>
              <w:t>程设计咨询</w:t>
            </w:r>
          </w:p>
        </w:tc>
        <w:tc>
          <w:tcPr>
            <w:tcW w:w="905" w:type="dxa"/>
            <w:shd w:val="clear" w:color="auto" w:fill="auto"/>
            <w:noWrap/>
            <w:vAlign w:val="center"/>
          </w:tcPr>
          <w:p w14:paraId="2535C37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lastRenderedPageBreak/>
              <w:t>577.80</w:t>
            </w:r>
          </w:p>
        </w:tc>
        <w:tc>
          <w:tcPr>
            <w:tcW w:w="876" w:type="dxa"/>
            <w:shd w:val="clear" w:color="auto" w:fill="auto"/>
            <w:noWrap/>
            <w:vAlign w:val="center"/>
          </w:tcPr>
          <w:p w14:paraId="1A975CAF"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280.33</w:t>
            </w:r>
          </w:p>
        </w:tc>
        <w:tc>
          <w:tcPr>
            <w:tcW w:w="1142" w:type="dxa"/>
            <w:shd w:val="clear" w:color="auto" w:fill="auto"/>
            <w:noWrap/>
            <w:vAlign w:val="center"/>
          </w:tcPr>
          <w:p w14:paraId="3BCB5381"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141.87</w:t>
            </w:r>
          </w:p>
        </w:tc>
        <w:tc>
          <w:tcPr>
            <w:tcW w:w="995" w:type="dxa"/>
            <w:shd w:val="clear" w:color="auto" w:fill="auto"/>
            <w:noWrap/>
            <w:vAlign w:val="center"/>
          </w:tcPr>
          <w:p w14:paraId="024F62F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297.47</w:t>
            </w:r>
          </w:p>
        </w:tc>
        <w:tc>
          <w:tcPr>
            <w:tcW w:w="850" w:type="dxa"/>
            <w:shd w:val="clear" w:color="auto" w:fill="auto"/>
            <w:noWrap/>
            <w:vAlign w:val="center"/>
          </w:tcPr>
          <w:p w14:paraId="3A94752C"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51.48%</w:t>
            </w:r>
          </w:p>
        </w:tc>
      </w:tr>
      <w:tr w:rsidR="00C17BBD" w:rsidRPr="00251592" w14:paraId="0F80E546" w14:textId="77777777" w:rsidTr="00622023">
        <w:trPr>
          <w:trHeight w:val="280"/>
          <w:jc w:val="center"/>
        </w:trPr>
        <w:tc>
          <w:tcPr>
            <w:tcW w:w="912" w:type="dxa"/>
            <w:vMerge/>
            <w:shd w:val="clear" w:color="auto" w:fill="auto"/>
          </w:tcPr>
          <w:p w14:paraId="37CE1302"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77BC1342"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053BBB86"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长春市保利临河街延长线项目（和光尘</w:t>
            </w:r>
            <w:proofErr w:type="gramStart"/>
            <w:r w:rsidRPr="00251592">
              <w:rPr>
                <w:rFonts w:ascii="宋体" w:eastAsia="宋体" w:hAnsi="宋体" w:cs="Times New Roman"/>
                <w:sz w:val="18"/>
                <w:szCs w:val="18"/>
              </w:rPr>
              <w:t>樾</w:t>
            </w:r>
            <w:proofErr w:type="gramEnd"/>
            <w:r w:rsidRPr="00251592">
              <w:rPr>
                <w:rFonts w:ascii="宋体" w:eastAsia="宋体" w:hAnsi="宋体" w:cs="Times New Roman"/>
                <w:sz w:val="18"/>
                <w:szCs w:val="18"/>
              </w:rPr>
              <w:t>）建设工程方案设计咨询</w:t>
            </w:r>
          </w:p>
        </w:tc>
        <w:tc>
          <w:tcPr>
            <w:tcW w:w="905" w:type="dxa"/>
            <w:shd w:val="clear" w:color="auto" w:fill="auto"/>
            <w:noWrap/>
            <w:vAlign w:val="center"/>
          </w:tcPr>
          <w:p w14:paraId="5F95B08F"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519.28</w:t>
            </w:r>
          </w:p>
        </w:tc>
        <w:tc>
          <w:tcPr>
            <w:tcW w:w="876" w:type="dxa"/>
            <w:shd w:val="clear" w:color="auto" w:fill="auto"/>
            <w:noWrap/>
            <w:vAlign w:val="center"/>
          </w:tcPr>
          <w:p w14:paraId="0CA3569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219.66</w:t>
            </w:r>
          </w:p>
        </w:tc>
        <w:tc>
          <w:tcPr>
            <w:tcW w:w="1142" w:type="dxa"/>
            <w:shd w:val="clear" w:color="auto" w:fill="auto"/>
            <w:noWrap/>
            <w:vAlign w:val="center"/>
          </w:tcPr>
          <w:p w14:paraId="713D7CE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153.39</w:t>
            </w:r>
          </w:p>
        </w:tc>
        <w:tc>
          <w:tcPr>
            <w:tcW w:w="995" w:type="dxa"/>
            <w:shd w:val="clear" w:color="auto" w:fill="auto"/>
            <w:noWrap/>
            <w:vAlign w:val="center"/>
          </w:tcPr>
          <w:p w14:paraId="5EED7D8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299.63</w:t>
            </w:r>
          </w:p>
        </w:tc>
        <w:tc>
          <w:tcPr>
            <w:tcW w:w="850" w:type="dxa"/>
            <w:shd w:val="clear" w:color="auto" w:fill="auto"/>
            <w:noWrap/>
            <w:vAlign w:val="center"/>
          </w:tcPr>
          <w:p w14:paraId="57F5E5E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57.70%</w:t>
            </w:r>
          </w:p>
        </w:tc>
      </w:tr>
      <w:tr w:rsidR="00C17BBD" w:rsidRPr="00251592" w14:paraId="41F1F50C" w14:textId="77777777" w:rsidTr="00622023">
        <w:trPr>
          <w:trHeight w:val="280"/>
          <w:jc w:val="center"/>
        </w:trPr>
        <w:tc>
          <w:tcPr>
            <w:tcW w:w="912" w:type="dxa"/>
            <w:vMerge/>
            <w:shd w:val="clear" w:color="auto" w:fill="auto"/>
          </w:tcPr>
          <w:p w14:paraId="5EE85D8F"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135A1A75"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02B5B660"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安徽保利合肥市</w:t>
            </w:r>
            <w:proofErr w:type="gramStart"/>
            <w:r w:rsidRPr="00251592">
              <w:rPr>
                <w:rFonts w:ascii="宋体" w:eastAsia="宋体" w:hAnsi="宋体" w:cs="Times New Roman"/>
                <w:sz w:val="18"/>
                <w:szCs w:val="18"/>
              </w:rPr>
              <w:t>蜀</w:t>
            </w:r>
            <w:proofErr w:type="gramEnd"/>
            <w:r w:rsidRPr="00251592">
              <w:rPr>
                <w:rFonts w:ascii="宋体" w:eastAsia="宋体" w:hAnsi="宋体" w:cs="Times New Roman"/>
                <w:sz w:val="18"/>
                <w:szCs w:val="18"/>
              </w:rPr>
              <w:t>山区W1903地块项目建设工程设计总包</w:t>
            </w:r>
          </w:p>
        </w:tc>
        <w:tc>
          <w:tcPr>
            <w:tcW w:w="905" w:type="dxa"/>
            <w:shd w:val="clear" w:color="auto" w:fill="auto"/>
            <w:noWrap/>
            <w:vAlign w:val="center"/>
          </w:tcPr>
          <w:p w14:paraId="1022396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497.97</w:t>
            </w:r>
          </w:p>
        </w:tc>
        <w:tc>
          <w:tcPr>
            <w:tcW w:w="876" w:type="dxa"/>
            <w:shd w:val="clear" w:color="auto" w:fill="auto"/>
            <w:noWrap/>
            <w:vAlign w:val="center"/>
          </w:tcPr>
          <w:p w14:paraId="0BFFC9B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242.61</w:t>
            </w:r>
          </w:p>
        </w:tc>
        <w:tc>
          <w:tcPr>
            <w:tcW w:w="1142" w:type="dxa"/>
            <w:shd w:val="clear" w:color="auto" w:fill="auto"/>
            <w:noWrap/>
            <w:vAlign w:val="center"/>
          </w:tcPr>
          <w:p w14:paraId="6EE9E73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119.54</w:t>
            </w:r>
          </w:p>
        </w:tc>
        <w:tc>
          <w:tcPr>
            <w:tcW w:w="995" w:type="dxa"/>
            <w:shd w:val="clear" w:color="auto" w:fill="auto"/>
            <w:noWrap/>
            <w:vAlign w:val="center"/>
          </w:tcPr>
          <w:p w14:paraId="1E58073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255.36</w:t>
            </w:r>
          </w:p>
        </w:tc>
        <w:tc>
          <w:tcPr>
            <w:tcW w:w="850" w:type="dxa"/>
            <w:shd w:val="clear" w:color="auto" w:fill="auto"/>
            <w:noWrap/>
            <w:vAlign w:val="center"/>
          </w:tcPr>
          <w:p w14:paraId="321A9C7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51.28%</w:t>
            </w:r>
          </w:p>
        </w:tc>
      </w:tr>
      <w:tr w:rsidR="00C17BBD" w:rsidRPr="00251592" w14:paraId="41B6E16F" w14:textId="77777777" w:rsidTr="00622023">
        <w:trPr>
          <w:trHeight w:val="280"/>
          <w:jc w:val="center"/>
        </w:trPr>
        <w:tc>
          <w:tcPr>
            <w:tcW w:w="912" w:type="dxa"/>
            <w:vMerge/>
            <w:shd w:val="clear" w:color="auto" w:fill="auto"/>
          </w:tcPr>
          <w:p w14:paraId="7A52A971"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503B5D52"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1077E3A4"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光谷·十里春风建筑方案设计</w:t>
            </w:r>
          </w:p>
        </w:tc>
        <w:tc>
          <w:tcPr>
            <w:tcW w:w="905" w:type="dxa"/>
            <w:shd w:val="clear" w:color="auto" w:fill="auto"/>
            <w:noWrap/>
            <w:vAlign w:val="center"/>
          </w:tcPr>
          <w:p w14:paraId="6264BDAD"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448.22</w:t>
            </w:r>
          </w:p>
        </w:tc>
        <w:tc>
          <w:tcPr>
            <w:tcW w:w="876" w:type="dxa"/>
            <w:shd w:val="clear" w:color="auto" w:fill="auto"/>
            <w:noWrap/>
            <w:vAlign w:val="center"/>
          </w:tcPr>
          <w:p w14:paraId="4DCD916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308.93</w:t>
            </w:r>
          </w:p>
        </w:tc>
        <w:tc>
          <w:tcPr>
            <w:tcW w:w="1142" w:type="dxa"/>
            <w:shd w:val="clear" w:color="auto" w:fill="auto"/>
            <w:noWrap/>
            <w:vAlign w:val="center"/>
          </w:tcPr>
          <w:p w14:paraId="62500A6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69.85</w:t>
            </w:r>
          </w:p>
        </w:tc>
        <w:tc>
          <w:tcPr>
            <w:tcW w:w="995" w:type="dxa"/>
            <w:shd w:val="clear" w:color="auto" w:fill="auto"/>
            <w:noWrap/>
            <w:vAlign w:val="center"/>
          </w:tcPr>
          <w:p w14:paraId="33AC50DC"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139.30</w:t>
            </w:r>
          </w:p>
        </w:tc>
        <w:tc>
          <w:tcPr>
            <w:tcW w:w="850" w:type="dxa"/>
            <w:shd w:val="clear" w:color="auto" w:fill="auto"/>
            <w:noWrap/>
            <w:vAlign w:val="center"/>
          </w:tcPr>
          <w:p w14:paraId="74A6E54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31.08%</w:t>
            </w:r>
          </w:p>
        </w:tc>
      </w:tr>
      <w:tr w:rsidR="00C17BBD" w:rsidRPr="00251592" w14:paraId="58F439E7" w14:textId="77777777" w:rsidTr="00622023">
        <w:trPr>
          <w:trHeight w:val="280"/>
          <w:jc w:val="center"/>
        </w:trPr>
        <w:tc>
          <w:tcPr>
            <w:tcW w:w="912" w:type="dxa"/>
            <w:vMerge/>
            <w:shd w:val="clear" w:color="auto" w:fill="auto"/>
          </w:tcPr>
          <w:p w14:paraId="1FF336EB"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508E95CF"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09160822"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宝能西安西咸新区汽车配套商</w:t>
            </w:r>
            <w:proofErr w:type="gramStart"/>
            <w:r w:rsidRPr="00251592">
              <w:rPr>
                <w:rFonts w:ascii="宋体" w:eastAsia="宋体" w:hAnsi="宋体" w:cs="Times New Roman"/>
                <w:sz w:val="18"/>
                <w:szCs w:val="18"/>
              </w:rPr>
              <w:t>服项目</w:t>
            </w:r>
            <w:proofErr w:type="gramEnd"/>
          </w:p>
        </w:tc>
        <w:tc>
          <w:tcPr>
            <w:tcW w:w="905" w:type="dxa"/>
            <w:shd w:val="clear" w:color="auto" w:fill="auto"/>
            <w:noWrap/>
            <w:vAlign w:val="center"/>
          </w:tcPr>
          <w:p w14:paraId="2D42C35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253.62</w:t>
            </w:r>
          </w:p>
        </w:tc>
        <w:tc>
          <w:tcPr>
            <w:tcW w:w="876" w:type="dxa"/>
            <w:shd w:val="clear" w:color="auto" w:fill="auto"/>
            <w:noWrap/>
            <w:vAlign w:val="center"/>
          </w:tcPr>
          <w:p w14:paraId="754CA2E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168.40</w:t>
            </w:r>
          </w:p>
        </w:tc>
        <w:tc>
          <w:tcPr>
            <w:tcW w:w="1142" w:type="dxa"/>
            <w:shd w:val="clear" w:color="auto" w:fill="auto"/>
            <w:noWrap/>
            <w:vAlign w:val="center"/>
          </w:tcPr>
          <w:p w14:paraId="1812E1B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93.65</w:t>
            </w:r>
          </w:p>
        </w:tc>
        <w:tc>
          <w:tcPr>
            <w:tcW w:w="995" w:type="dxa"/>
            <w:shd w:val="clear" w:color="auto" w:fill="auto"/>
            <w:noWrap/>
            <w:vAlign w:val="center"/>
          </w:tcPr>
          <w:p w14:paraId="276938B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85.22</w:t>
            </w:r>
          </w:p>
        </w:tc>
        <w:tc>
          <w:tcPr>
            <w:tcW w:w="850" w:type="dxa"/>
            <w:shd w:val="clear" w:color="auto" w:fill="auto"/>
            <w:noWrap/>
            <w:vAlign w:val="center"/>
          </w:tcPr>
          <w:p w14:paraId="0AB1902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33.60%</w:t>
            </w:r>
          </w:p>
        </w:tc>
      </w:tr>
      <w:tr w:rsidR="00C17BBD" w:rsidRPr="00251592" w14:paraId="06921A0E" w14:textId="77777777" w:rsidTr="00622023">
        <w:trPr>
          <w:trHeight w:val="280"/>
          <w:jc w:val="center"/>
        </w:trPr>
        <w:tc>
          <w:tcPr>
            <w:tcW w:w="912" w:type="dxa"/>
            <w:vMerge/>
            <w:shd w:val="clear" w:color="auto" w:fill="auto"/>
          </w:tcPr>
          <w:p w14:paraId="2C5E37EC"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35942CE1"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108A8CE8"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华南保利芙蓉新城商业项目</w:t>
            </w:r>
          </w:p>
        </w:tc>
        <w:tc>
          <w:tcPr>
            <w:tcW w:w="905" w:type="dxa"/>
            <w:shd w:val="clear" w:color="auto" w:fill="auto"/>
            <w:noWrap/>
            <w:vAlign w:val="center"/>
          </w:tcPr>
          <w:p w14:paraId="2E4C599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253.43</w:t>
            </w:r>
          </w:p>
        </w:tc>
        <w:tc>
          <w:tcPr>
            <w:tcW w:w="876" w:type="dxa"/>
            <w:shd w:val="clear" w:color="auto" w:fill="auto"/>
            <w:noWrap/>
            <w:vAlign w:val="center"/>
          </w:tcPr>
          <w:p w14:paraId="4216411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172.22</w:t>
            </w:r>
          </w:p>
        </w:tc>
        <w:tc>
          <w:tcPr>
            <w:tcW w:w="1142" w:type="dxa"/>
            <w:shd w:val="clear" w:color="auto" w:fill="auto"/>
            <w:noWrap/>
            <w:vAlign w:val="center"/>
          </w:tcPr>
          <w:p w14:paraId="6ACACDA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84.76</w:t>
            </w:r>
          </w:p>
        </w:tc>
        <w:tc>
          <w:tcPr>
            <w:tcW w:w="995" w:type="dxa"/>
            <w:shd w:val="clear" w:color="auto" w:fill="auto"/>
            <w:noWrap/>
            <w:vAlign w:val="center"/>
          </w:tcPr>
          <w:p w14:paraId="0140DE3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81.21</w:t>
            </w:r>
          </w:p>
        </w:tc>
        <w:tc>
          <w:tcPr>
            <w:tcW w:w="850" w:type="dxa"/>
            <w:shd w:val="clear" w:color="auto" w:fill="auto"/>
            <w:noWrap/>
            <w:vAlign w:val="center"/>
          </w:tcPr>
          <w:p w14:paraId="30995D0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32.04%</w:t>
            </w:r>
          </w:p>
        </w:tc>
      </w:tr>
      <w:tr w:rsidR="00C17BBD" w:rsidRPr="00251592" w14:paraId="17118A62" w14:textId="77777777" w:rsidTr="00622023">
        <w:trPr>
          <w:trHeight w:val="280"/>
          <w:jc w:val="center"/>
        </w:trPr>
        <w:tc>
          <w:tcPr>
            <w:tcW w:w="912" w:type="dxa"/>
            <w:vMerge/>
            <w:shd w:val="clear" w:color="auto" w:fill="auto"/>
          </w:tcPr>
          <w:p w14:paraId="2DFE4186"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0E2476E1"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27F1529F"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大华昆明西山区春雨路1号城市设计项目</w:t>
            </w:r>
          </w:p>
        </w:tc>
        <w:tc>
          <w:tcPr>
            <w:tcW w:w="905" w:type="dxa"/>
            <w:shd w:val="clear" w:color="auto" w:fill="auto"/>
            <w:noWrap/>
            <w:vAlign w:val="center"/>
          </w:tcPr>
          <w:p w14:paraId="6FFB546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188.68</w:t>
            </w:r>
          </w:p>
        </w:tc>
        <w:tc>
          <w:tcPr>
            <w:tcW w:w="876" w:type="dxa"/>
            <w:shd w:val="clear" w:color="auto" w:fill="auto"/>
            <w:noWrap/>
            <w:vAlign w:val="center"/>
          </w:tcPr>
          <w:p w14:paraId="17E28D5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132.79</w:t>
            </w:r>
          </w:p>
        </w:tc>
        <w:tc>
          <w:tcPr>
            <w:tcW w:w="1142" w:type="dxa"/>
            <w:shd w:val="clear" w:color="auto" w:fill="auto"/>
            <w:noWrap/>
            <w:vAlign w:val="center"/>
          </w:tcPr>
          <w:p w14:paraId="6954F33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69.67</w:t>
            </w:r>
          </w:p>
        </w:tc>
        <w:tc>
          <w:tcPr>
            <w:tcW w:w="995" w:type="dxa"/>
            <w:shd w:val="clear" w:color="auto" w:fill="auto"/>
            <w:noWrap/>
            <w:vAlign w:val="center"/>
          </w:tcPr>
          <w:p w14:paraId="7B041A3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55.89</w:t>
            </w:r>
          </w:p>
        </w:tc>
        <w:tc>
          <w:tcPr>
            <w:tcW w:w="850" w:type="dxa"/>
            <w:shd w:val="clear" w:color="auto" w:fill="auto"/>
            <w:noWrap/>
            <w:vAlign w:val="center"/>
          </w:tcPr>
          <w:p w14:paraId="676E8C8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29.62%</w:t>
            </w:r>
          </w:p>
        </w:tc>
      </w:tr>
      <w:tr w:rsidR="00C17BBD" w:rsidRPr="00251592" w14:paraId="56291912" w14:textId="77777777" w:rsidTr="00622023">
        <w:trPr>
          <w:trHeight w:val="280"/>
          <w:jc w:val="center"/>
        </w:trPr>
        <w:tc>
          <w:tcPr>
            <w:tcW w:w="912" w:type="dxa"/>
            <w:vMerge/>
            <w:shd w:val="clear" w:color="auto" w:fill="auto"/>
          </w:tcPr>
          <w:p w14:paraId="16F690B2"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0C19ADE5"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5030EAA1"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青岛保利长沙路A地块项目</w:t>
            </w:r>
          </w:p>
        </w:tc>
        <w:tc>
          <w:tcPr>
            <w:tcW w:w="905" w:type="dxa"/>
            <w:shd w:val="clear" w:color="auto" w:fill="auto"/>
            <w:noWrap/>
            <w:vAlign w:val="center"/>
          </w:tcPr>
          <w:p w14:paraId="7FA6046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182.66</w:t>
            </w:r>
          </w:p>
        </w:tc>
        <w:tc>
          <w:tcPr>
            <w:tcW w:w="876" w:type="dxa"/>
            <w:shd w:val="clear" w:color="auto" w:fill="auto"/>
            <w:noWrap/>
            <w:vAlign w:val="center"/>
          </w:tcPr>
          <w:p w14:paraId="1F04663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121.17</w:t>
            </w:r>
          </w:p>
        </w:tc>
        <w:tc>
          <w:tcPr>
            <w:tcW w:w="1142" w:type="dxa"/>
            <w:shd w:val="clear" w:color="auto" w:fill="auto"/>
            <w:noWrap/>
            <w:vAlign w:val="center"/>
          </w:tcPr>
          <w:p w14:paraId="06D25B2C"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67.45</w:t>
            </w:r>
          </w:p>
        </w:tc>
        <w:tc>
          <w:tcPr>
            <w:tcW w:w="995" w:type="dxa"/>
            <w:shd w:val="clear" w:color="auto" w:fill="auto"/>
            <w:noWrap/>
            <w:vAlign w:val="center"/>
          </w:tcPr>
          <w:p w14:paraId="4F005EE1"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61.49</w:t>
            </w:r>
          </w:p>
        </w:tc>
        <w:tc>
          <w:tcPr>
            <w:tcW w:w="850" w:type="dxa"/>
            <w:shd w:val="clear" w:color="auto" w:fill="auto"/>
            <w:noWrap/>
            <w:vAlign w:val="center"/>
          </w:tcPr>
          <w:p w14:paraId="5C44CAE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33.66%</w:t>
            </w:r>
          </w:p>
        </w:tc>
      </w:tr>
      <w:tr w:rsidR="00C17BBD" w:rsidRPr="00251592" w14:paraId="0F561968" w14:textId="77777777" w:rsidTr="00622023">
        <w:trPr>
          <w:trHeight w:val="290"/>
          <w:jc w:val="center"/>
        </w:trPr>
        <w:tc>
          <w:tcPr>
            <w:tcW w:w="912" w:type="dxa"/>
            <w:vMerge/>
            <w:shd w:val="clear" w:color="auto" w:fill="auto"/>
          </w:tcPr>
          <w:p w14:paraId="01B3ABDF"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64D545CD"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64E3C7BA"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重庆保利爱尚里一期C地块项目</w:t>
            </w:r>
          </w:p>
        </w:tc>
        <w:tc>
          <w:tcPr>
            <w:tcW w:w="905" w:type="dxa"/>
            <w:shd w:val="clear" w:color="auto" w:fill="auto"/>
            <w:noWrap/>
            <w:vAlign w:val="center"/>
          </w:tcPr>
          <w:p w14:paraId="11721DE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168.71</w:t>
            </w:r>
          </w:p>
        </w:tc>
        <w:tc>
          <w:tcPr>
            <w:tcW w:w="876" w:type="dxa"/>
            <w:shd w:val="clear" w:color="auto" w:fill="auto"/>
            <w:noWrap/>
            <w:vAlign w:val="center"/>
          </w:tcPr>
          <w:p w14:paraId="61F155D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113.43</w:t>
            </w:r>
          </w:p>
        </w:tc>
        <w:tc>
          <w:tcPr>
            <w:tcW w:w="1142" w:type="dxa"/>
            <w:shd w:val="clear" w:color="auto" w:fill="auto"/>
            <w:noWrap/>
            <w:vAlign w:val="center"/>
          </w:tcPr>
          <w:p w14:paraId="02772B2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62.30</w:t>
            </w:r>
          </w:p>
        </w:tc>
        <w:tc>
          <w:tcPr>
            <w:tcW w:w="995" w:type="dxa"/>
            <w:shd w:val="clear" w:color="auto" w:fill="auto"/>
            <w:noWrap/>
            <w:vAlign w:val="center"/>
          </w:tcPr>
          <w:p w14:paraId="30BEDE9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55.28</w:t>
            </w:r>
          </w:p>
        </w:tc>
        <w:tc>
          <w:tcPr>
            <w:tcW w:w="850" w:type="dxa"/>
            <w:shd w:val="clear" w:color="auto" w:fill="auto"/>
            <w:noWrap/>
            <w:vAlign w:val="center"/>
          </w:tcPr>
          <w:p w14:paraId="256E30E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32.77%</w:t>
            </w:r>
          </w:p>
        </w:tc>
      </w:tr>
      <w:tr w:rsidR="00C17BBD" w:rsidRPr="00251592" w14:paraId="3EEBFC42" w14:textId="77777777" w:rsidTr="00622023">
        <w:trPr>
          <w:trHeight w:val="290"/>
          <w:jc w:val="center"/>
        </w:trPr>
        <w:tc>
          <w:tcPr>
            <w:tcW w:w="912" w:type="dxa"/>
            <w:vMerge w:val="restart"/>
            <w:shd w:val="clear" w:color="auto" w:fill="auto"/>
            <w:noWrap/>
            <w:vAlign w:val="center"/>
          </w:tcPr>
          <w:p w14:paraId="7519734F"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2018年</w:t>
            </w:r>
          </w:p>
        </w:tc>
        <w:tc>
          <w:tcPr>
            <w:tcW w:w="758" w:type="dxa"/>
            <w:shd w:val="clear" w:color="auto" w:fill="auto"/>
            <w:vAlign w:val="center"/>
          </w:tcPr>
          <w:p w14:paraId="6C69974E"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29DE840C"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宋隆小镇项目整体规划、一期、二期A区和售楼</w:t>
            </w:r>
            <w:proofErr w:type="gramStart"/>
            <w:r w:rsidRPr="00251592">
              <w:rPr>
                <w:rFonts w:ascii="宋体" w:eastAsia="宋体" w:hAnsi="宋体" w:cs="Times New Roman"/>
                <w:sz w:val="18"/>
                <w:szCs w:val="18"/>
              </w:rPr>
              <w:t>部建筑</w:t>
            </w:r>
            <w:proofErr w:type="gramEnd"/>
            <w:r w:rsidRPr="00251592">
              <w:rPr>
                <w:rFonts w:ascii="宋体" w:eastAsia="宋体" w:hAnsi="宋体" w:cs="Times New Roman"/>
                <w:sz w:val="18"/>
                <w:szCs w:val="18"/>
              </w:rPr>
              <w:t>方案设计</w:t>
            </w:r>
          </w:p>
        </w:tc>
        <w:tc>
          <w:tcPr>
            <w:tcW w:w="905" w:type="dxa"/>
            <w:shd w:val="clear" w:color="auto" w:fill="auto"/>
            <w:noWrap/>
            <w:vAlign w:val="center"/>
          </w:tcPr>
          <w:p w14:paraId="587C8BD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972.14</w:t>
            </w:r>
          </w:p>
        </w:tc>
        <w:tc>
          <w:tcPr>
            <w:tcW w:w="876" w:type="dxa"/>
            <w:shd w:val="clear" w:color="auto" w:fill="auto"/>
            <w:noWrap/>
            <w:vAlign w:val="center"/>
          </w:tcPr>
          <w:p w14:paraId="3D0C810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416.18</w:t>
            </w:r>
          </w:p>
        </w:tc>
        <w:tc>
          <w:tcPr>
            <w:tcW w:w="1142" w:type="dxa"/>
            <w:shd w:val="clear" w:color="auto" w:fill="auto"/>
            <w:noWrap/>
            <w:vAlign w:val="center"/>
          </w:tcPr>
          <w:p w14:paraId="23BEDAE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296.58</w:t>
            </w:r>
          </w:p>
        </w:tc>
        <w:tc>
          <w:tcPr>
            <w:tcW w:w="995" w:type="dxa"/>
            <w:shd w:val="clear" w:color="auto" w:fill="auto"/>
            <w:noWrap/>
            <w:vAlign w:val="center"/>
          </w:tcPr>
          <w:p w14:paraId="6BE0EFA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555.96</w:t>
            </w:r>
          </w:p>
        </w:tc>
        <w:tc>
          <w:tcPr>
            <w:tcW w:w="850" w:type="dxa"/>
            <w:shd w:val="clear" w:color="auto" w:fill="auto"/>
            <w:noWrap/>
            <w:vAlign w:val="center"/>
          </w:tcPr>
          <w:p w14:paraId="2F57307D"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57.19%</w:t>
            </w:r>
          </w:p>
        </w:tc>
      </w:tr>
      <w:tr w:rsidR="00C17BBD" w:rsidRPr="00251592" w14:paraId="68AE0EEF" w14:textId="77777777" w:rsidTr="00622023">
        <w:trPr>
          <w:trHeight w:val="280"/>
          <w:jc w:val="center"/>
        </w:trPr>
        <w:tc>
          <w:tcPr>
            <w:tcW w:w="912" w:type="dxa"/>
            <w:vMerge/>
            <w:shd w:val="clear" w:color="auto" w:fill="auto"/>
          </w:tcPr>
          <w:p w14:paraId="7E394970"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76C3493E"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3CDDBD98"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茂</w:t>
            </w:r>
            <w:proofErr w:type="gramStart"/>
            <w:r w:rsidRPr="00251592">
              <w:rPr>
                <w:rFonts w:ascii="宋体" w:eastAsia="宋体" w:hAnsi="宋体" w:cs="Times New Roman"/>
                <w:sz w:val="18"/>
                <w:szCs w:val="18"/>
              </w:rPr>
              <w:t>名山湖</w:t>
            </w:r>
            <w:proofErr w:type="gramEnd"/>
            <w:r w:rsidRPr="00251592">
              <w:rPr>
                <w:rFonts w:ascii="宋体" w:eastAsia="宋体" w:hAnsi="宋体" w:cs="Times New Roman"/>
                <w:sz w:val="18"/>
                <w:szCs w:val="18"/>
              </w:rPr>
              <w:t>海·上城项目建筑方案设计</w:t>
            </w:r>
          </w:p>
        </w:tc>
        <w:tc>
          <w:tcPr>
            <w:tcW w:w="905" w:type="dxa"/>
            <w:shd w:val="clear" w:color="auto" w:fill="auto"/>
            <w:noWrap/>
            <w:vAlign w:val="center"/>
          </w:tcPr>
          <w:p w14:paraId="21BF439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746.20</w:t>
            </w:r>
          </w:p>
        </w:tc>
        <w:tc>
          <w:tcPr>
            <w:tcW w:w="876" w:type="dxa"/>
            <w:shd w:val="clear" w:color="auto" w:fill="auto"/>
            <w:noWrap/>
            <w:vAlign w:val="center"/>
          </w:tcPr>
          <w:p w14:paraId="4191BE3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320.08</w:t>
            </w:r>
          </w:p>
        </w:tc>
        <w:tc>
          <w:tcPr>
            <w:tcW w:w="1142" w:type="dxa"/>
            <w:shd w:val="clear" w:color="auto" w:fill="auto"/>
            <w:noWrap/>
            <w:vAlign w:val="center"/>
          </w:tcPr>
          <w:p w14:paraId="0F3C330F"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224.28</w:t>
            </w:r>
          </w:p>
        </w:tc>
        <w:tc>
          <w:tcPr>
            <w:tcW w:w="995" w:type="dxa"/>
            <w:shd w:val="clear" w:color="auto" w:fill="auto"/>
            <w:noWrap/>
            <w:vAlign w:val="center"/>
          </w:tcPr>
          <w:p w14:paraId="137F747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426.12</w:t>
            </w:r>
          </w:p>
        </w:tc>
        <w:tc>
          <w:tcPr>
            <w:tcW w:w="850" w:type="dxa"/>
            <w:shd w:val="clear" w:color="auto" w:fill="auto"/>
            <w:noWrap/>
            <w:vAlign w:val="center"/>
          </w:tcPr>
          <w:p w14:paraId="1BA3743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57.11%</w:t>
            </w:r>
          </w:p>
        </w:tc>
      </w:tr>
      <w:tr w:rsidR="00C17BBD" w:rsidRPr="00251592" w14:paraId="0C5BF87F" w14:textId="77777777" w:rsidTr="00622023">
        <w:trPr>
          <w:trHeight w:val="280"/>
          <w:jc w:val="center"/>
        </w:trPr>
        <w:tc>
          <w:tcPr>
            <w:tcW w:w="912" w:type="dxa"/>
            <w:vMerge/>
            <w:shd w:val="clear" w:color="auto" w:fill="auto"/>
          </w:tcPr>
          <w:p w14:paraId="787FE66D"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5DB7CA3F"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6ED6CD64"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台州市黄岩万豪地块项目建设工程设计咨询</w:t>
            </w:r>
          </w:p>
        </w:tc>
        <w:tc>
          <w:tcPr>
            <w:tcW w:w="905" w:type="dxa"/>
            <w:shd w:val="clear" w:color="auto" w:fill="auto"/>
            <w:noWrap/>
            <w:vAlign w:val="center"/>
          </w:tcPr>
          <w:p w14:paraId="419274D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719.62</w:t>
            </w:r>
          </w:p>
        </w:tc>
        <w:tc>
          <w:tcPr>
            <w:tcW w:w="876" w:type="dxa"/>
            <w:shd w:val="clear" w:color="auto" w:fill="auto"/>
            <w:noWrap/>
            <w:vAlign w:val="center"/>
          </w:tcPr>
          <w:p w14:paraId="2A99D56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304.80</w:t>
            </w:r>
          </w:p>
        </w:tc>
        <w:tc>
          <w:tcPr>
            <w:tcW w:w="1142" w:type="dxa"/>
            <w:shd w:val="clear" w:color="auto" w:fill="auto"/>
            <w:noWrap/>
            <w:vAlign w:val="center"/>
          </w:tcPr>
          <w:p w14:paraId="6A9C4361"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227.60</w:t>
            </w:r>
          </w:p>
        </w:tc>
        <w:tc>
          <w:tcPr>
            <w:tcW w:w="995" w:type="dxa"/>
            <w:shd w:val="clear" w:color="auto" w:fill="auto"/>
            <w:noWrap/>
            <w:vAlign w:val="center"/>
          </w:tcPr>
          <w:p w14:paraId="07D1C93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414.82</w:t>
            </w:r>
          </w:p>
        </w:tc>
        <w:tc>
          <w:tcPr>
            <w:tcW w:w="850" w:type="dxa"/>
            <w:shd w:val="clear" w:color="auto" w:fill="auto"/>
            <w:noWrap/>
            <w:vAlign w:val="center"/>
          </w:tcPr>
          <w:p w14:paraId="162108D1"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57.64%</w:t>
            </w:r>
          </w:p>
        </w:tc>
      </w:tr>
      <w:tr w:rsidR="00C17BBD" w:rsidRPr="00251592" w14:paraId="36B59E55" w14:textId="77777777" w:rsidTr="00622023">
        <w:trPr>
          <w:trHeight w:val="280"/>
          <w:jc w:val="center"/>
        </w:trPr>
        <w:tc>
          <w:tcPr>
            <w:tcW w:w="912" w:type="dxa"/>
            <w:vMerge/>
            <w:shd w:val="clear" w:color="auto" w:fill="auto"/>
          </w:tcPr>
          <w:p w14:paraId="3F58C6F3"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4BD53590"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4D74B49F"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甘肃秦安县郑川村旅游地产项目一期建设工程设计</w:t>
            </w:r>
          </w:p>
        </w:tc>
        <w:tc>
          <w:tcPr>
            <w:tcW w:w="905" w:type="dxa"/>
            <w:shd w:val="clear" w:color="auto" w:fill="auto"/>
            <w:noWrap/>
            <w:vAlign w:val="center"/>
          </w:tcPr>
          <w:p w14:paraId="1142136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621.59</w:t>
            </w:r>
          </w:p>
        </w:tc>
        <w:tc>
          <w:tcPr>
            <w:tcW w:w="876" w:type="dxa"/>
            <w:shd w:val="clear" w:color="auto" w:fill="auto"/>
            <w:noWrap/>
            <w:vAlign w:val="center"/>
          </w:tcPr>
          <w:p w14:paraId="2EEF0F8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513.93</w:t>
            </w:r>
          </w:p>
        </w:tc>
        <w:tc>
          <w:tcPr>
            <w:tcW w:w="1142" w:type="dxa"/>
            <w:shd w:val="clear" w:color="auto" w:fill="auto"/>
            <w:noWrap/>
            <w:vAlign w:val="center"/>
          </w:tcPr>
          <w:p w14:paraId="2432FE2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72.04</w:t>
            </w:r>
          </w:p>
        </w:tc>
        <w:tc>
          <w:tcPr>
            <w:tcW w:w="995" w:type="dxa"/>
            <w:shd w:val="clear" w:color="auto" w:fill="auto"/>
            <w:noWrap/>
            <w:vAlign w:val="center"/>
          </w:tcPr>
          <w:p w14:paraId="534D6879"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107.66</w:t>
            </w:r>
          </w:p>
        </w:tc>
        <w:tc>
          <w:tcPr>
            <w:tcW w:w="850" w:type="dxa"/>
            <w:shd w:val="clear" w:color="auto" w:fill="auto"/>
            <w:noWrap/>
            <w:vAlign w:val="center"/>
          </w:tcPr>
          <w:p w14:paraId="5BADD44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17.32%</w:t>
            </w:r>
          </w:p>
        </w:tc>
      </w:tr>
      <w:tr w:rsidR="00C17BBD" w:rsidRPr="00251592" w14:paraId="30500B10" w14:textId="77777777" w:rsidTr="00622023">
        <w:trPr>
          <w:trHeight w:val="280"/>
          <w:jc w:val="center"/>
        </w:trPr>
        <w:tc>
          <w:tcPr>
            <w:tcW w:w="912" w:type="dxa"/>
            <w:vMerge/>
            <w:shd w:val="clear" w:color="auto" w:fill="auto"/>
          </w:tcPr>
          <w:p w14:paraId="7087E3FD"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28425B32"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居住</w:t>
            </w:r>
          </w:p>
        </w:tc>
        <w:tc>
          <w:tcPr>
            <w:tcW w:w="3338" w:type="dxa"/>
            <w:shd w:val="clear" w:color="auto" w:fill="auto"/>
            <w:noWrap/>
          </w:tcPr>
          <w:p w14:paraId="14B1516D"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协信 尹家</w:t>
            </w:r>
            <w:proofErr w:type="gramStart"/>
            <w:r w:rsidRPr="00251592">
              <w:rPr>
                <w:rFonts w:ascii="宋体" w:eastAsia="宋体" w:hAnsi="宋体" w:cs="Times New Roman"/>
                <w:sz w:val="18"/>
                <w:szCs w:val="18"/>
              </w:rPr>
              <w:t>圩</w:t>
            </w:r>
            <w:proofErr w:type="gramEnd"/>
            <w:r w:rsidRPr="00251592">
              <w:rPr>
                <w:rFonts w:ascii="宋体" w:eastAsia="宋体" w:hAnsi="宋体" w:cs="Times New Roman"/>
                <w:sz w:val="18"/>
                <w:szCs w:val="18"/>
              </w:rPr>
              <w:t>单元CL-02-02-03A号地块项目建筑方案设计阶段建筑设计</w:t>
            </w:r>
          </w:p>
        </w:tc>
        <w:tc>
          <w:tcPr>
            <w:tcW w:w="905" w:type="dxa"/>
            <w:shd w:val="clear" w:color="auto" w:fill="auto"/>
            <w:noWrap/>
            <w:vAlign w:val="center"/>
          </w:tcPr>
          <w:p w14:paraId="718D8847"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594.34</w:t>
            </w:r>
          </w:p>
        </w:tc>
        <w:tc>
          <w:tcPr>
            <w:tcW w:w="876" w:type="dxa"/>
            <w:shd w:val="clear" w:color="auto" w:fill="auto"/>
            <w:noWrap/>
            <w:vAlign w:val="center"/>
          </w:tcPr>
          <w:p w14:paraId="5DB2092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251.63</w:t>
            </w:r>
          </w:p>
        </w:tc>
        <w:tc>
          <w:tcPr>
            <w:tcW w:w="1142" w:type="dxa"/>
            <w:shd w:val="clear" w:color="auto" w:fill="auto"/>
            <w:noWrap/>
            <w:vAlign w:val="center"/>
          </w:tcPr>
          <w:p w14:paraId="1215CC4D"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187.98</w:t>
            </w:r>
          </w:p>
        </w:tc>
        <w:tc>
          <w:tcPr>
            <w:tcW w:w="995" w:type="dxa"/>
            <w:shd w:val="clear" w:color="auto" w:fill="auto"/>
            <w:noWrap/>
            <w:vAlign w:val="center"/>
          </w:tcPr>
          <w:p w14:paraId="694B631D"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342.71</w:t>
            </w:r>
          </w:p>
        </w:tc>
        <w:tc>
          <w:tcPr>
            <w:tcW w:w="850" w:type="dxa"/>
            <w:shd w:val="clear" w:color="auto" w:fill="auto"/>
            <w:noWrap/>
            <w:vAlign w:val="center"/>
          </w:tcPr>
          <w:p w14:paraId="0C2631C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57.66%</w:t>
            </w:r>
          </w:p>
        </w:tc>
      </w:tr>
      <w:tr w:rsidR="00C17BBD" w:rsidRPr="00251592" w14:paraId="316D96E2" w14:textId="77777777" w:rsidTr="00622023">
        <w:trPr>
          <w:trHeight w:val="280"/>
          <w:jc w:val="center"/>
        </w:trPr>
        <w:tc>
          <w:tcPr>
            <w:tcW w:w="912" w:type="dxa"/>
            <w:vMerge/>
            <w:shd w:val="clear" w:color="auto" w:fill="auto"/>
          </w:tcPr>
          <w:p w14:paraId="09C53D02"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6EC2212F"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287FEF67"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成都保利大都会项目</w:t>
            </w:r>
          </w:p>
        </w:tc>
        <w:tc>
          <w:tcPr>
            <w:tcW w:w="905" w:type="dxa"/>
            <w:shd w:val="clear" w:color="auto" w:fill="auto"/>
            <w:noWrap/>
            <w:vAlign w:val="center"/>
          </w:tcPr>
          <w:p w14:paraId="4F10087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160.32</w:t>
            </w:r>
          </w:p>
        </w:tc>
        <w:tc>
          <w:tcPr>
            <w:tcW w:w="876" w:type="dxa"/>
            <w:shd w:val="clear" w:color="auto" w:fill="auto"/>
            <w:noWrap/>
            <w:vAlign w:val="center"/>
          </w:tcPr>
          <w:p w14:paraId="352203C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126.68</w:t>
            </w:r>
          </w:p>
        </w:tc>
        <w:tc>
          <w:tcPr>
            <w:tcW w:w="1142" w:type="dxa"/>
            <w:shd w:val="clear" w:color="auto" w:fill="auto"/>
            <w:noWrap/>
            <w:vAlign w:val="center"/>
          </w:tcPr>
          <w:p w14:paraId="74F8438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69.24</w:t>
            </w:r>
          </w:p>
        </w:tc>
        <w:tc>
          <w:tcPr>
            <w:tcW w:w="995" w:type="dxa"/>
            <w:shd w:val="clear" w:color="auto" w:fill="auto"/>
            <w:noWrap/>
            <w:vAlign w:val="center"/>
          </w:tcPr>
          <w:p w14:paraId="7344A35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33.64</w:t>
            </w:r>
          </w:p>
        </w:tc>
        <w:tc>
          <w:tcPr>
            <w:tcW w:w="850" w:type="dxa"/>
            <w:shd w:val="clear" w:color="auto" w:fill="auto"/>
            <w:noWrap/>
            <w:vAlign w:val="center"/>
          </w:tcPr>
          <w:p w14:paraId="2B3BD52B"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20.98%</w:t>
            </w:r>
          </w:p>
        </w:tc>
      </w:tr>
      <w:tr w:rsidR="00C17BBD" w:rsidRPr="00251592" w14:paraId="0C0DB0D9" w14:textId="77777777" w:rsidTr="00622023">
        <w:trPr>
          <w:trHeight w:val="280"/>
          <w:jc w:val="center"/>
        </w:trPr>
        <w:tc>
          <w:tcPr>
            <w:tcW w:w="912" w:type="dxa"/>
            <w:vMerge/>
            <w:shd w:val="clear" w:color="auto" w:fill="auto"/>
          </w:tcPr>
          <w:p w14:paraId="544221C9"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0816F304"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73758F81"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宝能西安西咸新区汽车配套商</w:t>
            </w:r>
            <w:proofErr w:type="gramStart"/>
            <w:r w:rsidRPr="00251592">
              <w:rPr>
                <w:rFonts w:ascii="宋体" w:eastAsia="宋体" w:hAnsi="宋体" w:cs="Times New Roman"/>
                <w:sz w:val="18"/>
                <w:szCs w:val="18"/>
              </w:rPr>
              <w:t>服项目</w:t>
            </w:r>
            <w:proofErr w:type="gramEnd"/>
          </w:p>
        </w:tc>
        <w:tc>
          <w:tcPr>
            <w:tcW w:w="905" w:type="dxa"/>
            <w:shd w:val="clear" w:color="auto" w:fill="auto"/>
            <w:noWrap/>
            <w:vAlign w:val="center"/>
          </w:tcPr>
          <w:p w14:paraId="000F4AC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138.34</w:t>
            </w:r>
          </w:p>
        </w:tc>
        <w:tc>
          <w:tcPr>
            <w:tcW w:w="876" w:type="dxa"/>
            <w:shd w:val="clear" w:color="auto" w:fill="auto"/>
            <w:noWrap/>
            <w:vAlign w:val="center"/>
          </w:tcPr>
          <w:p w14:paraId="65B4014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79.95</w:t>
            </w:r>
          </w:p>
        </w:tc>
        <w:tc>
          <w:tcPr>
            <w:tcW w:w="1142" w:type="dxa"/>
            <w:shd w:val="clear" w:color="auto" w:fill="auto"/>
            <w:noWrap/>
            <w:vAlign w:val="center"/>
          </w:tcPr>
          <w:p w14:paraId="45A1732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60.08</w:t>
            </w:r>
          </w:p>
        </w:tc>
        <w:tc>
          <w:tcPr>
            <w:tcW w:w="995" w:type="dxa"/>
            <w:shd w:val="clear" w:color="auto" w:fill="auto"/>
            <w:noWrap/>
            <w:vAlign w:val="center"/>
          </w:tcPr>
          <w:p w14:paraId="5DCBAAC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58.39</w:t>
            </w:r>
          </w:p>
        </w:tc>
        <w:tc>
          <w:tcPr>
            <w:tcW w:w="850" w:type="dxa"/>
            <w:shd w:val="clear" w:color="auto" w:fill="auto"/>
            <w:noWrap/>
            <w:vAlign w:val="center"/>
          </w:tcPr>
          <w:p w14:paraId="6962BD86"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42.21%</w:t>
            </w:r>
          </w:p>
        </w:tc>
      </w:tr>
      <w:tr w:rsidR="00C17BBD" w:rsidRPr="00251592" w14:paraId="3E63414E" w14:textId="77777777" w:rsidTr="00622023">
        <w:trPr>
          <w:trHeight w:val="280"/>
          <w:jc w:val="center"/>
        </w:trPr>
        <w:tc>
          <w:tcPr>
            <w:tcW w:w="912" w:type="dxa"/>
            <w:vMerge/>
            <w:shd w:val="clear" w:color="auto" w:fill="auto"/>
          </w:tcPr>
          <w:p w14:paraId="04462F48"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13908459"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2A31FDBC"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粤东保利东莞生态园项目</w:t>
            </w:r>
          </w:p>
        </w:tc>
        <w:tc>
          <w:tcPr>
            <w:tcW w:w="905" w:type="dxa"/>
            <w:shd w:val="clear" w:color="auto" w:fill="auto"/>
            <w:noWrap/>
            <w:vAlign w:val="center"/>
          </w:tcPr>
          <w:p w14:paraId="5ADFE00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117.04</w:t>
            </w:r>
          </w:p>
        </w:tc>
        <w:tc>
          <w:tcPr>
            <w:tcW w:w="876" w:type="dxa"/>
            <w:shd w:val="clear" w:color="auto" w:fill="auto"/>
            <w:noWrap/>
            <w:vAlign w:val="center"/>
          </w:tcPr>
          <w:p w14:paraId="59A13D8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77.03</w:t>
            </w:r>
          </w:p>
        </w:tc>
        <w:tc>
          <w:tcPr>
            <w:tcW w:w="1142" w:type="dxa"/>
            <w:shd w:val="clear" w:color="auto" w:fill="auto"/>
            <w:noWrap/>
            <w:vAlign w:val="center"/>
          </w:tcPr>
          <w:p w14:paraId="19C19871"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50.83</w:t>
            </w:r>
          </w:p>
        </w:tc>
        <w:tc>
          <w:tcPr>
            <w:tcW w:w="995" w:type="dxa"/>
            <w:shd w:val="clear" w:color="auto" w:fill="auto"/>
            <w:noWrap/>
            <w:vAlign w:val="center"/>
          </w:tcPr>
          <w:p w14:paraId="3301F65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40.01</w:t>
            </w:r>
          </w:p>
        </w:tc>
        <w:tc>
          <w:tcPr>
            <w:tcW w:w="850" w:type="dxa"/>
            <w:shd w:val="clear" w:color="auto" w:fill="auto"/>
            <w:noWrap/>
            <w:vAlign w:val="center"/>
          </w:tcPr>
          <w:p w14:paraId="6D53AEBC"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34.18%</w:t>
            </w:r>
          </w:p>
        </w:tc>
      </w:tr>
      <w:tr w:rsidR="00C17BBD" w:rsidRPr="00251592" w14:paraId="7A649353" w14:textId="77777777" w:rsidTr="00622023">
        <w:trPr>
          <w:trHeight w:val="280"/>
          <w:jc w:val="center"/>
        </w:trPr>
        <w:tc>
          <w:tcPr>
            <w:tcW w:w="912" w:type="dxa"/>
            <w:vMerge/>
            <w:shd w:val="clear" w:color="auto" w:fill="auto"/>
          </w:tcPr>
          <w:p w14:paraId="00CD3378"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5B3C25CF"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2D835E47" w14:textId="77777777" w:rsidR="00C17BBD" w:rsidRPr="00251592" w:rsidRDefault="00C17BBD" w:rsidP="008A2055">
            <w:pPr>
              <w:rPr>
                <w:rFonts w:ascii="宋体" w:eastAsia="宋体" w:hAnsi="宋体" w:cs="Times New Roman"/>
                <w:sz w:val="18"/>
                <w:szCs w:val="18"/>
              </w:rPr>
            </w:pPr>
            <w:r w:rsidRPr="00251592">
              <w:rPr>
                <w:rFonts w:ascii="宋体" w:eastAsia="宋体" w:hAnsi="宋体" w:cs="Times New Roman"/>
                <w:sz w:val="18"/>
                <w:szCs w:val="18"/>
              </w:rPr>
              <w:t>宝能集团郑州金贸中心项目</w:t>
            </w:r>
          </w:p>
        </w:tc>
        <w:tc>
          <w:tcPr>
            <w:tcW w:w="905" w:type="dxa"/>
            <w:shd w:val="clear" w:color="auto" w:fill="auto"/>
            <w:noWrap/>
            <w:vAlign w:val="center"/>
          </w:tcPr>
          <w:p w14:paraId="23C49433"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103.91</w:t>
            </w:r>
          </w:p>
        </w:tc>
        <w:tc>
          <w:tcPr>
            <w:tcW w:w="876" w:type="dxa"/>
            <w:shd w:val="clear" w:color="auto" w:fill="auto"/>
            <w:noWrap/>
            <w:vAlign w:val="center"/>
          </w:tcPr>
          <w:p w14:paraId="47762A2A"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99.21</w:t>
            </w:r>
          </w:p>
        </w:tc>
        <w:tc>
          <w:tcPr>
            <w:tcW w:w="1142" w:type="dxa"/>
            <w:shd w:val="clear" w:color="auto" w:fill="auto"/>
            <w:noWrap/>
            <w:vAlign w:val="center"/>
          </w:tcPr>
          <w:p w14:paraId="1B3C6B98"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45.13</w:t>
            </w:r>
          </w:p>
        </w:tc>
        <w:tc>
          <w:tcPr>
            <w:tcW w:w="995" w:type="dxa"/>
            <w:shd w:val="clear" w:color="auto" w:fill="auto"/>
            <w:noWrap/>
            <w:vAlign w:val="center"/>
          </w:tcPr>
          <w:p w14:paraId="77F873FE"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4.70</w:t>
            </w:r>
          </w:p>
        </w:tc>
        <w:tc>
          <w:tcPr>
            <w:tcW w:w="850" w:type="dxa"/>
            <w:shd w:val="clear" w:color="auto" w:fill="auto"/>
            <w:noWrap/>
            <w:vAlign w:val="center"/>
          </w:tcPr>
          <w:p w14:paraId="1186C5F2"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4.53%</w:t>
            </w:r>
          </w:p>
        </w:tc>
      </w:tr>
      <w:tr w:rsidR="00C17BBD" w:rsidRPr="00251592" w14:paraId="7BEBAB37" w14:textId="77777777" w:rsidTr="00622023">
        <w:trPr>
          <w:trHeight w:val="280"/>
          <w:jc w:val="center"/>
        </w:trPr>
        <w:tc>
          <w:tcPr>
            <w:tcW w:w="912" w:type="dxa"/>
            <w:vMerge/>
            <w:shd w:val="clear" w:color="auto" w:fill="auto"/>
          </w:tcPr>
          <w:p w14:paraId="7F74E31D" w14:textId="77777777" w:rsidR="00C17BBD" w:rsidRPr="00251592" w:rsidRDefault="00C17BBD" w:rsidP="008A2055">
            <w:pPr>
              <w:rPr>
                <w:rFonts w:ascii="宋体" w:eastAsia="宋体" w:hAnsi="宋体" w:cs="Times New Roman"/>
                <w:sz w:val="18"/>
                <w:szCs w:val="18"/>
              </w:rPr>
            </w:pPr>
          </w:p>
        </w:tc>
        <w:tc>
          <w:tcPr>
            <w:tcW w:w="758" w:type="dxa"/>
            <w:shd w:val="clear" w:color="auto" w:fill="auto"/>
            <w:vAlign w:val="center"/>
          </w:tcPr>
          <w:p w14:paraId="4239DB6D" w14:textId="77777777" w:rsidR="00C17BBD" w:rsidRPr="00251592" w:rsidRDefault="00C17BBD" w:rsidP="008A2055">
            <w:pPr>
              <w:jc w:val="center"/>
              <w:rPr>
                <w:rFonts w:ascii="宋体" w:eastAsia="宋体" w:hAnsi="宋体" w:cs="Times New Roman"/>
                <w:sz w:val="18"/>
                <w:szCs w:val="18"/>
              </w:rPr>
            </w:pPr>
            <w:r w:rsidRPr="00251592">
              <w:rPr>
                <w:rFonts w:ascii="宋体" w:eastAsia="宋体" w:hAnsi="宋体" w:cs="Times New Roman"/>
                <w:sz w:val="18"/>
                <w:szCs w:val="18"/>
              </w:rPr>
              <w:t>公建</w:t>
            </w:r>
          </w:p>
        </w:tc>
        <w:tc>
          <w:tcPr>
            <w:tcW w:w="3338" w:type="dxa"/>
            <w:shd w:val="clear" w:color="auto" w:fill="auto"/>
            <w:noWrap/>
          </w:tcPr>
          <w:p w14:paraId="40A3C33B" w14:textId="77777777" w:rsidR="00C17BBD" w:rsidRPr="00251592" w:rsidRDefault="00C17BBD" w:rsidP="008A2055">
            <w:pPr>
              <w:rPr>
                <w:rFonts w:ascii="宋体" w:eastAsia="宋体" w:hAnsi="宋体" w:cs="Times New Roman"/>
                <w:sz w:val="18"/>
                <w:szCs w:val="18"/>
              </w:rPr>
            </w:pPr>
            <w:proofErr w:type="gramStart"/>
            <w:r w:rsidRPr="00251592">
              <w:rPr>
                <w:rFonts w:ascii="宋体" w:eastAsia="宋体" w:hAnsi="宋体" w:cs="Times New Roman"/>
                <w:sz w:val="18"/>
                <w:szCs w:val="18"/>
              </w:rPr>
              <w:t>四川商投南充</w:t>
            </w:r>
            <w:proofErr w:type="gramEnd"/>
            <w:r w:rsidRPr="00251592">
              <w:rPr>
                <w:rFonts w:ascii="宋体" w:eastAsia="宋体" w:hAnsi="宋体" w:cs="Times New Roman"/>
                <w:sz w:val="18"/>
                <w:szCs w:val="18"/>
              </w:rPr>
              <w:t>万汇购物小镇项目</w:t>
            </w:r>
          </w:p>
        </w:tc>
        <w:tc>
          <w:tcPr>
            <w:tcW w:w="905" w:type="dxa"/>
            <w:shd w:val="clear" w:color="auto" w:fill="auto"/>
            <w:noWrap/>
            <w:vAlign w:val="center"/>
          </w:tcPr>
          <w:p w14:paraId="6585981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94.34</w:t>
            </w:r>
          </w:p>
        </w:tc>
        <w:tc>
          <w:tcPr>
            <w:tcW w:w="876" w:type="dxa"/>
            <w:shd w:val="clear" w:color="auto" w:fill="auto"/>
            <w:noWrap/>
            <w:vAlign w:val="center"/>
          </w:tcPr>
          <w:p w14:paraId="51283BD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62.69</w:t>
            </w:r>
          </w:p>
        </w:tc>
        <w:tc>
          <w:tcPr>
            <w:tcW w:w="1142" w:type="dxa"/>
            <w:shd w:val="clear" w:color="auto" w:fill="auto"/>
            <w:noWrap/>
            <w:vAlign w:val="center"/>
          </w:tcPr>
          <w:p w14:paraId="0F8B80C5"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40.97</w:t>
            </w:r>
          </w:p>
        </w:tc>
        <w:tc>
          <w:tcPr>
            <w:tcW w:w="995" w:type="dxa"/>
            <w:shd w:val="clear" w:color="auto" w:fill="auto"/>
            <w:noWrap/>
            <w:vAlign w:val="center"/>
          </w:tcPr>
          <w:p w14:paraId="75D7AFC0"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31.65</w:t>
            </w:r>
          </w:p>
        </w:tc>
        <w:tc>
          <w:tcPr>
            <w:tcW w:w="850" w:type="dxa"/>
            <w:shd w:val="clear" w:color="auto" w:fill="auto"/>
            <w:noWrap/>
            <w:vAlign w:val="center"/>
          </w:tcPr>
          <w:p w14:paraId="6E7E3CB4" w14:textId="77777777" w:rsidR="00C17BBD" w:rsidRPr="00251592" w:rsidRDefault="00C17BBD" w:rsidP="008A2055">
            <w:pPr>
              <w:jc w:val="right"/>
              <w:rPr>
                <w:rFonts w:ascii="宋体" w:eastAsia="宋体" w:hAnsi="宋体" w:cs="Times New Roman"/>
                <w:sz w:val="18"/>
                <w:szCs w:val="18"/>
              </w:rPr>
            </w:pPr>
            <w:r w:rsidRPr="00251592">
              <w:rPr>
                <w:rFonts w:ascii="宋体" w:eastAsia="宋体" w:hAnsi="宋体" w:cs="Times New Roman"/>
                <w:sz w:val="18"/>
                <w:szCs w:val="18"/>
              </w:rPr>
              <w:t>33.55%</w:t>
            </w:r>
          </w:p>
        </w:tc>
      </w:tr>
    </w:tbl>
    <w:p w14:paraId="1B14577E"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lang w:bidi="en-US"/>
        </w:rPr>
      </w:pPr>
      <w:r w:rsidRPr="00251592">
        <w:rPr>
          <w:rFonts w:ascii="宋体" w:eastAsia="宋体" w:hAnsi="宋体" w:cs="Times New Roman"/>
          <w:color w:val="000000"/>
          <w:kern w:val="0"/>
          <w:szCs w:val="21"/>
          <w:lang w:bidi="en-US"/>
        </w:rPr>
        <w:t>报告期各期，除碧</w:t>
      </w:r>
      <w:proofErr w:type="gramStart"/>
      <w:r w:rsidRPr="00251592">
        <w:rPr>
          <w:rFonts w:ascii="宋体" w:eastAsia="宋体" w:hAnsi="宋体" w:cs="Times New Roman"/>
          <w:color w:val="000000"/>
          <w:kern w:val="0"/>
          <w:szCs w:val="21"/>
          <w:lang w:bidi="en-US"/>
        </w:rPr>
        <w:t>桂园</w:t>
      </w:r>
      <w:proofErr w:type="gramEnd"/>
      <w:r w:rsidRPr="00251592">
        <w:rPr>
          <w:rFonts w:ascii="宋体" w:eastAsia="宋体" w:hAnsi="宋体" w:cs="Times New Roman"/>
          <w:color w:val="000000"/>
          <w:kern w:val="0"/>
          <w:szCs w:val="21"/>
          <w:lang w:bidi="en-US"/>
        </w:rPr>
        <w:t>武汉市</w:t>
      </w:r>
      <w:proofErr w:type="gramStart"/>
      <w:r w:rsidRPr="00251592">
        <w:rPr>
          <w:rFonts w:ascii="宋体" w:eastAsia="宋体" w:hAnsi="宋体" w:cs="Times New Roman"/>
          <w:color w:val="000000"/>
          <w:kern w:val="0"/>
          <w:szCs w:val="21"/>
          <w:lang w:bidi="en-US"/>
        </w:rPr>
        <w:t>光谷中心</w:t>
      </w:r>
      <w:proofErr w:type="gramEnd"/>
      <w:r w:rsidRPr="00251592">
        <w:rPr>
          <w:rFonts w:ascii="宋体" w:eastAsia="宋体" w:hAnsi="宋体" w:cs="Times New Roman"/>
          <w:color w:val="000000"/>
          <w:kern w:val="0"/>
          <w:szCs w:val="21"/>
          <w:lang w:bidi="en-US"/>
        </w:rPr>
        <w:t>项目、甘肃秦安县郑川村旅游地产项目一期设计总包项目因业务执行中将部分工作量委托供应商完成，进而发生项目合作服务支出、使得毛利率较低外，其他居住建筑项目毛利率明显高于公共建筑项目，主要原因为：如前所述，</w:t>
      </w:r>
      <w:r w:rsidRPr="00251592">
        <w:rPr>
          <w:rFonts w:ascii="宋体" w:eastAsia="宋体" w:hAnsi="宋体" w:cs="Times New Roman"/>
          <w:kern w:val="0"/>
          <w:szCs w:val="21"/>
        </w:rPr>
        <w:t>公司设计项目管理实行“项目预算制考核”，公共建筑类业</w:t>
      </w:r>
      <w:proofErr w:type="gramStart"/>
      <w:r w:rsidRPr="00251592">
        <w:rPr>
          <w:rFonts w:ascii="宋体" w:eastAsia="宋体" w:hAnsi="宋体" w:cs="Times New Roman"/>
          <w:kern w:val="0"/>
          <w:szCs w:val="21"/>
        </w:rPr>
        <w:t>态项目</w:t>
      </w:r>
      <w:proofErr w:type="gramEnd"/>
      <w:r w:rsidRPr="00251592">
        <w:rPr>
          <w:rFonts w:ascii="宋体" w:eastAsia="宋体" w:hAnsi="宋体" w:cs="Times New Roman"/>
          <w:kern w:val="0"/>
          <w:szCs w:val="21"/>
        </w:rPr>
        <w:t>是公司大力拓展、鼓励支持的业务领域，为了强化绩效导向、鼓励业务发展，公司对该类业</w:t>
      </w:r>
      <w:proofErr w:type="gramStart"/>
      <w:r w:rsidRPr="00251592">
        <w:rPr>
          <w:rFonts w:ascii="宋体" w:eastAsia="宋体" w:hAnsi="宋体" w:cs="Times New Roman"/>
          <w:kern w:val="0"/>
          <w:szCs w:val="21"/>
        </w:rPr>
        <w:t>态项目</w:t>
      </w:r>
      <w:proofErr w:type="gramEnd"/>
      <w:r w:rsidRPr="00251592">
        <w:rPr>
          <w:rFonts w:ascii="宋体" w:eastAsia="宋体" w:hAnsi="宋体" w:cs="Times New Roman"/>
          <w:kern w:val="0"/>
          <w:szCs w:val="21"/>
        </w:rPr>
        <w:t>设置了较高的成本系数，通常为70%，使得包含人工薪酬及差旅交通、图文制作在内的项目支出相对较高，因而该类项目毛利率较低。</w:t>
      </w:r>
    </w:p>
    <w:p w14:paraId="766D2FA6" w14:textId="77777777" w:rsidR="00C17BBD" w:rsidRPr="00251592" w:rsidRDefault="00C17BBD" w:rsidP="00C17BBD">
      <w:pPr>
        <w:spacing w:beforeLines="50" w:before="156" w:line="360" w:lineRule="auto"/>
        <w:ind w:firstLineChars="200" w:firstLine="420"/>
        <w:rPr>
          <w:rFonts w:ascii="宋体" w:eastAsia="宋体" w:hAnsi="宋体" w:cs="Times New Roman"/>
          <w:color w:val="000000"/>
          <w:kern w:val="0"/>
          <w:szCs w:val="21"/>
          <w:lang w:bidi="en-US"/>
        </w:rPr>
      </w:pPr>
    </w:p>
    <w:p w14:paraId="55C9D9F5"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3BBB6026"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1E646AF9" w14:textId="5B754374"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lang w:val="zh-TW"/>
        </w:rPr>
      </w:pPr>
      <w:r w:rsidRPr="00251592">
        <w:rPr>
          <w:rFonts w:ascii="宋体" w:eastAsia="宋体" w:hAnsi="宋体" w:cs="Times New Roman" w:hint="eastAsia"/>
          <w:kern w:val="0"/>
          <w:szCs w:val="21"/>
          <w:lang w:val="zh-TW" w:eastAsia="zh-TW"/>
        </w:rPr>
        <w:lastRenderedPageBreak/>
        <w:t>申报会计师</w:t>
      </w:r>
      <w:r w:rsidRPr="00251592">
        <w:rPr>
          <w:rFonts w:ascii="宋体" w:eastAsia="宋体" w:hAnsi="宋体" w:cs="Times New Roman" w:hint="eastAsia"/>
          <w:kern w:val="0"/>
          <w:szCs w:val="21"/>
          <w:lang w:val="zh-TW"/>
        </w:rPr>
        <w:t>执行了如下核查程序：</w:t>
      </w:r>
    </w:p>
    <w:p w14:paraId="0D688BC8"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color w:val="000000"/>
          <w:kern w:val="0"/>
          <w:szCs w:val="21"/>
          <w:u w:color="000000"/>
          <w:lang w:bidi="en-US"/>
        </w:rPr>
        <w:t>1</w:t>
      </w:r>
      <w:r w:rsidRPr="00251592">
        <w:rPr>
          <w:rFonts w:ascii="宋体" w:eastAsia="宋体" w:hAnsi="宋体" w:cs="宋体" w:hint="eastAsia"/>
          <w:color w:val="000000"/>
          <w:kern w:val="0"/>
          <w:szCs w:val="21"/>
          <w:u w:color="000000"/>
          <w:lang w:bidi="en-US"/>
        </w:rPr>
        <w:t>、查阅了发行人的内部管理制度、薪酬激励政策，访谈了关键管理人员；</w:t>
      </w:r>
    </w:p>
    <w:p w14:paraId="7EC72968"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hint="eastAsia"/>
          <w:color w:val="000000"/>
          <w:kern w:val="0"/>
          <w:szCs w:val="21"/>
          <w:u w:color="000000"/>
          <w:lang w:bidi="en-US"/>
        </w:rPr>
        <w:t>2</w:t>
      </w:r>
      <w:r w:rsidRPr="00251592">
        <w:rPr>
          <w:rFonts w:ascii="宋体" w:eastAsia="宋体" w:hAnsi="宋体" w:cs="宋体" w:hint="eastAsia"/>
          <w:color w:val="000000"/>
          <w:kern w:val="0"/>
          <w:szCs w:val="21"/>
          <w:u w:color="000000"/>
          <w:lang w:bidi="en-US"/>
        </w:rPr>
        <w:t>、查阅了发行人居住建筑设计、公共建筑设计项目的收入、成本构成明细，就薪酬激励以及其他成本构成项目对毛利和毛利率的影响程度进行了分析，对居住建筑设计业务毛利率大幅高于公共建筑设计业务的原因及合理性进行了分析；</w:t>
      </w:r>
    </w:p>
    <w:p w14:paraId="398C6C00"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5B180128" w14:textId="3CA99A19"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42F14E79"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1、报告期内，发行人居住建筑设计、公共建筑设计的员工薪</w:t>
      </w:r>
      <w:proofErr w:type="gramStart"/>
      <w:r w:rsidRPr="00251592">
        <w:rPr>
          <w:rFonts w:ascii="宋体" w:eastAsia="宋体" w:hAnsi="宋体" w:cs="Times New Roman" w:hint="eastAsia"/>
          <w:szCs w:val="21"/>
        </w:rPr>
        <w:t>酬</w:t>
      </w:r>
      <w:proofErr w:type="gramEnd"/>
      <w:r w:rsidRPr="00251592">
        <w:rPr>
          <w:rFonts w:ascii="宋体" w:eastAsia="宋体" w:hAnsi="宋体" w:cs="Times New Roman" w:hint="eastAsia"/>
          <w:szCs w:val="21"/>
        </w:rPr>
        <w:t>激励政策合理，有关表述准确，发行人同一类别项目的激励政策保持一致；</w:t>
      </w:r>
    </w:p>
    <w:p w14:paraId="3E5C43DC"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hint="eastAsia"/>
          <w:szCs w:val="21"/>
        </w:rPr>
        <w:t>2、发行人已补充披露居住建筑设计、公共建筑设计项目的收入、成本、薪酬激励金额、毛利、毛利率，薪酬激励金额对毛利和毛利率的影响程度，居住建筑设计业务毛利率大幅高于公共建筑设计业务，具有合理原因；</w:t>
      </w:r>
    </w:p>
    <w:p w14:paraId="74A428D5" w14:textId="77777777" w:rsidR="00C17BBD" w:rsidRPr="00251592" w:rsidRDefault="00C17BBD" w:rsidP="00C17BBD">
      <w:pPr>
        <w:pStyle w:val="af7"/>
        <w:ind w:firstLine="420"/>
        <w:rPr>
          <w:rFonts w:ascii="宋体" w:eastAsia="宋体" w:hAnsi="宋体"/>
          <w:b w:val="0"/>
          <w:bCs w:val="0"/>
          <w:sz w:val="21"/>
          <w:szCs w:val="21"/>
        </w:rPr>
      </w:pPr>
    </w:p>
    <w:p w14:paraId="58BF7262" w14:textId="77777777" w:rsidR="00C17BBD" w:rsidRPr="00251592" w:rsidRDefault="00C17BBD" w:rsidP="00C17BBD">
      <w:pPr>
        <w:spacing w:beforeLines="50" w:before="156" w:afterLines="50" w:after="156" w:line="360" w:lineRule="auto"/>
        <w:ind w:firstLineChars="200" w:firstLine="422"/>
        <w:outlineLvl w:val="0"/>
        <w:rPr>
          <w:rFonts w:ascii="宋体" w:eastAsia="宋体" w:hAnsi="宋体" w:cs="Times New Roman"/>
          <w:b/>
          <w:bCs/>
          <w:szCs w:val="21"/>
        </w:rPr>
      </w:pPr>
      <w:bookmarkStart w:id="10" w:name="_Toc55861287"/>
      <w:r w:rsidRPr="00251592">
        <w:rPr>
          <w:rFonts w:ascii="宋体" w:eastAsia="宋体" w:hAnsi="宋体" w:cs="Times New Roman" w:hint="eastAsia"/>
          <w:b/>
          <w:bCs/>
          <w:szCs w:val="21"/>
        </w:rPr>
        <w:t>问题</w:t>
      </w:r>
      <w:r w:rsidRPr="00251592">
        <w:rPr>
          <w:rFonts w:ascii="宋体" w:eastAsia="宋体" w:hAnsi="宋体" w:cs="Times New Roman"/>
          <w:b/>
          <w:bCs/>
          <w:szCs w:val="21"/>
        </w:rPr>
        <w:t>10</w:t>
      </w:r>
      <w:bookmarkEnd w:id="10"/>
    </w:p>
    <w:p w14:paraId="4393EEF2"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hint="eastAsia"/>
          <w:sz w:val="21"/>
          <w:szCs w:val="21"/>
        </w:rPr>
        <w:t>1</w:t>
      </w:r>
      <w:r w:rsidRPr="00251592">
        <w:rPr>
          <w:rFonts w:ascii="宋体" w:eastAsia="宋体" w:hAnsi="宋体"/>
          <w:sz w:val="21"/>
          <w:szCs w:val="21"/>
        </w:rPr>
        <w:t>0. 根据申报材料及审核问询回复，发行人产生项目咨询</w:t>
      </w:r>
      <w:proofErr w:type="gramStart"/>
      <w:r w:rsidRPr="00251592">
        <w:rPr>
          <w:rFonts w:ascii="宋体" w:eastAsia="宋体" w:hAnsi="宋体"/>
          <w:sz w:val="21"/>
          <w:szCs w:val="21"/>
        </w:rPr>
        <w:t>费属于</w:t>
      </w:r>
      <w:proofErr w:type="gramEnd"/>
      <w:r w:rsidRPr="00251592">
        <w:rPr>
          <w:rFonts w:ascii="宋体" w:eastAsia="宋体" w:hAnsi="宋体"/>
          <w:sz w:val="21"/>
          <w:szCs w:val="21"/>
        </w:rPr>
        <w:t>行业惯例，同行业可比公司将类似费用归入咨询服务费、市场拓展费、其他等。请发行人补充披露项目咨询费的支付对象，进行项目咨询的原因，说明相关项目的进展情况。</w:t>
      </w:r>
    </w:p>
    <w:p w14:paraId="1D428F7C"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请保荐人、申报会计师就项目咨询费是否涉及商业贿赂发表明确意见。</w:t>
      </w:r>
    </w:p>
    <w:p w14:paraId="1D874C29"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43F1A23B" w14:textId="77777777" w:rsidR="00C17BBD" w:rsidRPr="00251592" w:rsidRDefault="00C17BBD" w:rsidP="00C17BBD">
      <w:pPr>
        <w:spacing w:beforeLines="50" w:before="156" w:afterLines="50" w:after="156" w:line="360" w:lineRule="auto"/>
        <w:ind w:firstLine="482"/>
        <w:rPr>
          <w:rFonts w:ascii="宋体" w:eastAsia="宋体" w:hAnsi="宋体" w:cs="Times New Roman"/>
          <w:iCs/>
          <w:szCs w:val="21"/>
        </w:rPr>
      </w:pPr>
      <w:r w:rsidRPr="00251592">
        <w:rPr>
          <w:rFonts w:ascii="宋体" w:eastAsia="宋体" w:hAnsi="宋体" w:cs="Times New Roman" w:hint="eastAsia"/>
          <w:iCs/>
          <w:szCs w:val="21"/>
        </w:rPr>
        <w:t>报告期内，公司销售费用</w:t>
      </w:r>
      <w:proofErr w:type="gramStart"/>
      <w:r w:rsidRPr="00251592">
        <w:rPr>
          <w:rFonts w:ascii="宋体" w:eastAsia="宋体" w:hAnsi="宋体" w:cs="Times New Roman" w:hint="eastAsia"/>
          <w:iCs/>
          <w:szCs w:val="21"/>
        </w:rPr>
        <w:t>中项目</w:t>
      </w:r>
      <w:proofErr w:type="gramEnd"/>
      <w:r w:rsidRPr="00251592">
        <w:rPr>
          <w:rFonts w:ascii="宋体" w:eastAsia="宋体" w:hAnsi="宋体" w:cs="Times New Roman" w:hint="eastAsia"/>
          <w:iCs/>
          <w:szCs w:val="21"/>
        </w:rPr>
        <w:t>咨询费分别为</w:t>
      </w:r>
      <w:r w:rsidRPr="00251592">
        <w:rPr>
          <w:rFonts w:ascii="宋体" w:eastAsia="宋体" w:hAnsi="宋体" w:cs="Times New Roman"/>
          <w:iCs/>
          <w:szCs w:val="21"/>
        </w:rPr>
        <w:t>222.79万元、89.11万元和</w:t>
      </w:r>
      <w:r w:rsidRPr="00251592">
        <w:rPr>
          <w:rFonts w:ascii="宋体" w:eastAsia="宋体" w:hAnsi="宋体" w:cs="Times New Roman"/>
          <w:color w:val="000000"/>
          <w:szCs w:val="21"/>
        </w:rPr>
        <w:t>278.83</w:t>
      </w:r>
      <w:r w:rsidRPr="00251592">
        <w:rPr>
          <w:rFonts w:ascii="宋体" w:eastAsia="宋体" w:hAnsi="宋体" w:cs="Times New Roman"/>
          <w:iCs/>
          <w:szCs w:val="21"/>
        </w:rPr>
        <w:t>万元。</w:t>
      </w:r>
      <w:r w:rsidRPr="00251592">
        <w:rPr>
          <w:rFonts w:ascii="宋体" w:eastAsia="宋体" w:hAnsi="宋体" w:cs="Times New Roman" w:hint="eastAsia"/>
          <w:iCs/>
          <w:szCs w:val="21"/>
        </w:rPr>
        <w:t>项目咨询费的支付对象主要包括上海</w:t>
      </w:r>
      <w:proofErr w:type="gramStart"/>
      <w:r w:rsidRPr="00251592">
        <w:rPr>
          <w:rFonts w:ascii="宋体" w:eastAsia="宋体" w:hAnsi="宋体" w:cs="Times New Roman" w:hint="eastAsia"/>
          <w:iCs/>
          <w:szCs w:val="21"/>
        </w:rPr>
        <w:t>隽</w:t>
      </w:r>
      <w:proofErr w:type="gramEnd"/>
      <w:r w:rsidRPr="00251592">
        <w:rPr>
          <w:rFonts w:ascii="宋体" w:eastAsia="宋体" w:hAnsi="宋体" w:cs="Times New Roman" w:hint="eastAsia"/>
          <w:iCs/>
          <w:szCs w:val="21"/>
        </w:rPr>
        <w:t>峡企业管理咨询中心、上海洛艾企业管理咨询中心（有限合伙）、上海福之易企业管理中心</w:t>
      </w:r>
      <w:r w:rsidRPr="00251592">
        <w:rPr>
          <w:rFonts w:ascii="宋体" w:eastAsia="宋体" w:hAnsi="宋体" w:cs="Times New Roman" w:hint="eastAsia"/>
          <w:color w:val="000000"/>
          <w:szCs w:val="21"/>
        </w:rPr>
        <w:t>、</w:t>
      </w:r>
      <w:proofErr w:type="gramStart"/>
      <w:r w:rsidRPr="00251592">
        <w:rPr>
          <w:rFonts w:ascii="宋体" w:eastAsia="宋体" w:hAnsi="宋体" w:cs="Times New Roman" w:hint="eastAsia"/>
          <w:color w:val="000000"/>
          <w:szCs w:val="21"/>
        </w:rPr>
        <w:t>上海秀琦企业管理</w:t>
      </w:r>
      <w:proofErr w:type="gramEnd"/>
      <w:r w:rsidRPr="00251592">
        <w:rPr>
          <w:rFonts w:ascii="宋体" w:eastAsia="宋体" w:hAnsi="宋体" w:cs="Times New Roman" w:hint="eastAsia"/>
          <w:color w:val="000000"/>
          <w:szCs w:val="21"/>
        </w:rPr>
        <w:t>咨询中心</w:t>
      </w:r>
      <w:r w:rsidRPr="00251592">
        <w:rPr>
          <w:rFonts w:ascii="宋体" w:eastAsia="宋体" w:hAnsi="宋体" w:cs="Times New Roman" w:hint="eastAsia"/>
          <w:iCs/>
          <w:szCs w:val="21"/>
        </w:rPr>
        <w:t>等，涉及的主要项目及其进展情况如下：绿地香港肇庆宋隆小镇一期项目，部分地块概念方案、规划方案和建筑单体方案完成；</w:t>
      </w:r>
      <w:proofErr w:type="gramStart"/>
      <w:r w:rsidRPr="00251592">
        <w:rPr>
          <w:rFonts w:ascii="宋体" w:eastAsia="宋体" w:hAnsi="宋体" w:cs="Times New Roman" w:hint="eastAsia"/>
          <w:iCs/>
          <w:szCs w:val="21"/>
        </w:rPr>
        <w:t>檀</w:t>
      </w:r>
      <w:proofErr w:type="gramEnd"/>
      <w:r w:rsidRPr="00251592">
        <w:rPr>
          <w:rFonts w:ascii="宋体" w:eastAsia="宋体" w:hAnsi="宋体" w:cs="Times New Roman" w:hint="eastAsia"/>
          <w:iCs/>
          <w:szCs w:val="21"/>
        </w:rPr>
        <w:t>宫企业管理有限公司济南商河红星地块项目，</w:t>
      </w:r>
      <w:r w:rsidRPr="00251592">
        <w:rPr>
          <w:rFonts w:ascii="宋体" w:eastAsia="宋体" w:hAnsi="宋体" w:cs="Times New Roman" w:hint="eastAsia"/>
          <w:color w:val="000000"/>
          <w:szCs w:val="21"/>
        </w:rPr>
        <w:t>完成立面深化成果（立面控制手册）的部分工作量</w:t>
      </w:r>
      <w:r w:rsidRPr="00251592">
        <w:rPr>
          <w:rFonts w:ascii="宋体" w:eastAsia="宋体" w:hAnsi="宋体" w:cs="Times New Roman" w:hint="eastAsia"/>
          <w:iCs/>
          <w:szCs w:val="21"/>
        </w:rPr>
        <w:t>；绿地香港扬州</w:t>
      </w:r>
      <w:r w:rsidRPr="00251592">
        <w:rPr>
          <w:rFonts w:ascii="宋体" w:eastAsia="宋体" w:hAnsi="宋体" w:cs="Times New Roman"/>
          <w:iCs/>
          <w:szCs w:val="21"/>
        </w:rPr>
        <w:t>GZ128地块大区设计</w:t>
      </w:r>
      <w:r w:rsidRPr="00251592">
        <w:rPr>
          <w:rFonts w:ascii="宋体" w:eastAsia="宋体" w:hAnsi="宋体" w:cs="Times New Roman" w:hint="eastAsia"/>
          <w:iCs/>
          <w:szCs w:val="21"/>
        </w:rPr>
        <w:t>，</w:t>
      </w:r>
      <w:r w:rsidRPr="00251592">
        <w:rPr>
          <w:rFonts w:ascii="宋体" w:eastAsia="宋体" w:hAnsi="宋体" w:cs="Times New Roman" w:hint="eastAsia"/>
          <w:color w:val="000000"/>
          <w:szCs w:val="21"/>
        </w:rPr>
        <w:t>公建部分已取得工程规划许可</w:t>
      </w:r>
      <w:r w:rsidRPr="00251592">
        <w:rPr>
          <w:rFonts w:ascii="宋体" w:eastAsia="宋体" w:hAnsi="宋体" w:cs="Times New Roman" w:hint="eastAsia"/>
          <w:color w:val="000000"/>
          <w:szCs w:val="21"/>
        </w:rPr>
        <w:lastRenderedPageBreak/>
        <w:t>证，住宅部分完成建筑专业施工图顾问工作；海南省三亚市高福小镇B-05地块规划设计，规划</w:t>
      </w:r>
      <w:proofErr w:type="gramStart"/>
      <w:r w:rsidRPr="00251592">
        <w:rPr>
          <w:rFonts w:ascii="宋体" w:eastAsia="宋体" w:hAnsi="宋体" w:cs="Times New Roman" w:hint="eastAsia"/>
          <w:color w:val="000000"/>
          <w:szCs w:val="21"/>
        </w:rPr>
        <w:t>局方案</w:t>
      </w:r>
      <w:proofErr w:type="gramEnd"/>
      <w:r w:rsidRPr="00251592">
        <w:rPr>
          <w:rFonts w:ascii="宋体" w:eastAsia="宋体" w:hAnsi="宋体" w:cs="Times New Roman" w:hint="eastAsia"/>
          <w:color w:val="000000"/>
          <w:szCs w:val="21"/>
        </w:rPr>
        <w:t>审批通过等，</w:t>
      </w:r>
      <w:r w:rsidRPr="00251592">
        <w:rPr>
          <w:rFonts w:ascii="宋体" w:eastAsia="宋体" w:hAnsi="宋体" w:cs="Times New Roman" w:hint="eastAsia"/>
          <w:iCs/>
          <w:szCs w:val="21"/>
        </w:rPr>
        <w:t>目前上述项目正在正常进行中。</w:t>
      </w:r>
    </w:p>
    <w:p w14:paraId="27E99504" w14:textId="77777777" w:rsidR="00C17BBD" w:rsidRPr="00251592" w:rsidRDefault="00C17BBD" w:rsidP="00C17BBD">
      <w:pPr>
        <w:spacing w:beforeLines="50" w:before="156" w:afterLines="50" w:after="156" w:line="360" w:lineRule="auto"/>
        <w:ind w:firstLine="482"/>
        <w:rPr>
          <w:rFonts w:ascii="宋体" w:eastAsia="宋体" w:hAnsi="宋体" w:cs="Times New Roman"/>
          <w:iCs/>
          <w:szCs w:val="21"/>
        </w:rPr>
      </w:pPr>
      <w:r w:rsidRPr="00251592">
        <w:rPr>
          <w:rFonts w:ascii="宋体" w:eastAsia="宋体" w:hAnsi="宋体" w:cs="Times New Roman" w:hint="eastAsia"/>
          <w:iCs/>
          <w:szCs w:val="21"/>
        </w:rPr>
        <w:t>进行项目咨询的主要原因为：</w:t>
      </w:r>
      <w:r w:rsidRPr="00251592">
        <w:rPr>
          <w:rFonts w:ascii="宋体" w:eastAsia="宋体" w:hAnsi="宋体" w:cs="Times New Roman"/>
          <w:iCs/>
          <w:szCs w:val="21"/>
        </w:rPr>
        <w:t>2018年以来，公司加大</w:t>
      </w:r>
      <w:r w:rsidRPr="00251592">
        <w:rPr>
          <w:rFonts w:ascii="宋体" w:eastAsia="宋体" w:hAnsi="宋体" w:cs="Times New Roman" w:hint="eastAsia"/>
          <w:iCs/>
          <w:szCs w:val="21"/>
        </w:rPr>
        <w:t>了</w:t>
      </w:r>
      <w:r w:rsidRPr="00251592">
        <w:rPr>
          <w:rFonts w:ascii="宋体" w:eastAsia="宋体" w:hAnsi="宋体" w:cs="Times New Roman"/>
          <w:iCs/>
          <w:szCs w:val="21"/>
        </w:rPr>
        <w:t>业务开拓力度</w:t>
      </w:r>
      <w:r w:rsidRPr="00251592">
        <w:rPr>
          <w:rFonts w:ascii="宋体" w:eastAsia="宋体" w:hAnsi="宋体" w:cs="Times New Roman" w:hint="eastAsia"/>
          <w:iCs/>
          <w:szCs w:val="21"/>
        </w:rPr>
        <w:t>、尤其是非保利客户的业务拓展力度。由于开发商拟开发的项目信息因</w:t>
      </w:r>
      <w:proofErr w:type="gramStart"/>
      <w:r w:rsidRPr="00251592">
        <w:rPr>
          <w:rFonts w:ascii="宋体" w:eastAsia="宋体" w:hAnsi="宋体" w:cs="Times New Roman" w:hint="eastAsia"/>
          <w:iCs/>
          <w:szCs w:val="21"/>
        </w:rPr>
        <w:t>受发布</w:t>
      </w:r>
      <w:proofErr w:type="gramEnd"/>
      <w:r w:rsidRPr="00251592">
        <w:rPr>
          <w:rFonts w:ascii="宋体" w:eastAsia="宋体" w:hAnsi="宋体" w:cs="Times New Roman" w:hint="eastAsia"/>
          <w:iCs/>
          <w:szCs w:val="21"/>
        </w:rPr>
        <w:t>时间、地点、方式的制约并非众所周知，公司对有关客户的项目信息、业务特点等缺少有效的信息获取渠道，因而向</w:t>
      </w:r>
      <w:r w:rsidRPr="00251592">
        <w:rPr>
          <w:rFonts w:ascii="宋体" w:eastAsia="宋体" w:hAnsi="宋体" w:cs="Times New Roman"/>
          <w:iCs/>
          <w:szCs w:val="21"/>
        </w:rPr>
        <w:t>相关服务机构</w:t>
      </w:r>
      <w:r w:rsidRPr="00251592">
        <w:rPr>
          <w:rFonts w:ascii="宋体" w:eastAsia="宋体" w:hAnsi="宋体" w:cs="Times New Roman" w:hint="eastAsia"/>
          <w:iCs/>
          <w:szCs w:val="21"/>
        </w:rPr>
        <w:t>咨询有关业务信息。产生项目咨询</w:t>
      </w:r>
      <w:proofErr w:type="gramStart"/>
      <w:r w:rsidRPr="00251592">
        <w:rPr>
          <w:rFonts w:ascii="宋体" w:eastAsia="宋体" w:hAnsi="宋体" w:cs="Times New Roman" w:hint="eastAsia"/>
          <w:iCs/>
          <w:szCs w:val="21"/>
        </w:rPr>
        <w:t>费属于</w:t>
      </w:r>
      <w:proofErr w:type="gramEnd"/>
      <w:r w:rsidRPr="00251592">
        <w:rPr>
          <w:rFonts w:ascii="宋体" w:eastAsia="宋体" w:hAnsi="宋体" w:cs="Times New Roman" w:hint="eastAsia"/>
          <w:iCs/>
          <w:szCs w:val="21"/>
        </w:rPr>
        <w:t>行业惯例，同行业可比公司将类似费用归入咨询服务费、市场拓展费、其他等。</w:t>
      </w:r>
    </w:p>
    <w:p w14:paraId="47067D4A" w14:textId="77777777" w:rsidR="00C17BBD" w:rsidRPr="00251592" w:rsidRDefault="00C17BBD" w:rsidP="00C17BBD">
      <w:pPr>
        <w:spacing w:beforeLines="50" w:before="156" w:afterLines="50" w:after="156" w:line="360" w:lineRule="auto"/>
        <w:ind w:firstLine="482"/>
        <w:rPr>
          <w:rFonts w:ascii="宋体" w:eastAsia="宋体" w:hAnsi="宋体" w:cs="Times New Roman"/>
          <w:iCs/>
          <w:szCs w:val="21"/>
        </w:rPr>
      </w:pPr>
      <w:r w:rsidRPr="00251592">
        <w:rPr>
          <w:rFonts w:ascii="宋体" w:eastAsia="宋体" w:hAnsi="宋体" w:cs="Times New Roman" w:hint="eastAsia"/>
          <w:iCs/>
          <w:szCs w:val="21"/>
        </w:rPr>
        <w:t>公司</w:t>
      </w:r>
      <w:r w:rsidRPr="00251592">
        <w:rPr>
          <w:rFonts w:ascii="宋体" w:eastAsia="宋体" w:hAnsi="宋体" w:cs="Times New Roman"/>
          <w:iCs/>
          <w:szCs w:val="21"/>
        </w:rPr>
        <w:t>2017年无项目咨询费，2018年开始产生项目咨询费，主要原因为：2018年以来，公司为加大业务开拓力度，委托相关服务机构提供业务信息，引荐客户接洽，进而发生相关支出。</w:t>
      </w:r>
    </w:p>
    <w:p w14:paraId="5F015A9F"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51FE5E54"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26758AD1" w14:textId="51898C92"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eastAsia="zh-TW" w:bidi="en-US"/>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执行了如下核查程序：</w:t>
      </w:r>
    </w:p>
    <w:p w14:paraId="065B46A7"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1、查阅了发行人项目咨询费的有关协议、会计凭证、对应项目的进展情况资料等，向发行人高管人员了解项目咨询费的产生原因、内容等。</w:t>
      </w:r>
    </w:p>
    <w:p w14:paraId="76B21628"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2、查询了全国行贿犯罪档案库交换数据，获取了行贿犯罪档案查询结果告知单以及发行人出具的说明文件，查阅了裁判</w:t>
      </w:r>
      <w:proofErr w:type="gramStart"/>
      <w:r w:rsidRPr="00251592">
        <w:rPr>
          <w:rFonts w:ascii="宋体" w:eastAsia="宋体" w:hAnsi="宋体" w:cs="宋体" w:hint="eastAsia"/>
          <w:color w:val="000000"/>
          <w:kern w:val="0"/>
          <w:szCs w:val="21"/>
          <w:u w:color="000000"/>
          <w:lang w:bidi="en-US"/>
        </w:rPr>
        <w:t>文书网</w:t>
      </w:r>
      <w:proofErr w:type="gramEnd"/>
      <w:r w:rsidRPr="00251592">
        <w:rPr>
          <w:rFonts w:ascii="宋体" w:eastAsia="宋体" w:hAnsi="宋体" w:cs="宋体" w:hint="eastAsia"/>
          <w:color w:val="000000"/>
          <w:kern w:val="0"/>
          <w:szCs w:val="21"/>
          <w:u w:color="000000"/>
          <w:lang w:bidi="en-US"/>
        </w:rPr>
        <w:t>等公开网站。</w:t>
      </w:r>
    </w:p>
    <w:p w14:paraId="29090427"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59F11D50" w14:textId="24E28E90"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11FE7B67"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1、发行人项目咨询费的支付对象、相关项目的进展情况等信息真实、准确，进行项目咨询的原因合理；</w:t>
      </w:r>
    </w:p>
    <w:p w14:paraId="6AD0E320"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hint="eastAsia"/>
          <w:szCs w:val="21"/>
        </w:rPr>
        <w:t>2、发行人项目咨询费不涉及商业贿赂。</w:t>
      </w:r>
    </w:p>
    <w:p w14:paraId="6AA6321E" w14:textId="77777777" w:rsidR="00C17BBD" w:rsidRPr="00251592" w:rsidRDefault="00C17BBD" w:rsidP="00C17BBD">
      <w:pPr>
        <w:pStyle w:val="af7"/>
        <w:ind w:firstLine="420"/>
        <w:rPr>
          <w:rFonts w:ascii="宋体" w:eastAsia="宋体" w:hAnsi="宋体"/>
          <w:b w:val="0"/>
          <w:bCs w:val="0"/>
          <w:sz w:val="21"/>
          <w:szCs w:val="21"/>
        </w:rPr>
      </w:pPr>
    </w:p>
    <w:p w14:paraId="04DD8D88" w14:textId="77777777" w:rsidR="00C17BBD" w:rsidRPr="00251592" w:rsidRDefault="00C17BBD" w:rsidP="00C17BBD">
      <w:pPr>
        <w:spacing w:beforeLines="50" w:before="156" w:afterLines="50" w:after="156" w:line="360" w:lineRule="auto"/>
        <w:ind w:firstLineChars="200" w:firstLine="422"/>
        <w:outlineLvl w:val="0"/>
        <w:rPr>
          <w:rFonts w:ascii="宋体" w:eastAsia="宋体" w:hAnsi="宋体" w:cs="Times New Roman"/>
          <w:b/>
          <w:bCs/>
          <w:szCs w:val="21"/>
        </w:rPr>
      </w:pPr>
      <w:bookmarkStart w:id="11" w:name="_Toc55861288"/>
      <w:r w:rsidRPr="00251592">
        <w:rPr>
          <w:rFonts w:ascii="宋体" w:eastAsia="宋体" w:hAnsi="宋体" w:cs="Times New Roman" w:hint="eastAsia"/>
          <w:b/>
          <w:bCs/>
          <w:szCs w:val="21"/>
        </w:rPr>
        <w:t>问题11</w:t>
      </w:r>
      <w:bookmarkEnd w:id="11"/>
    </w:p>
    <w:p w14:paraId="428B4BB6"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11. 根据申报材料及审核问询回复，2020年上半年，发行人应收账款余额相比2019年</w:t>
      </w:r>
      <w:r w:rsidRPr="00251592">
        <w:rPr>
          <w:rFonts w:ascii="宋体" w:eastAsia="宋体" w:hAnsi="宋体"/>
          <w:sz w:val="21"/>
          <w:szCs w:val="21"/>
        </w:rPr>
        <w:lastRenderedPageBreak/>
        <w:t>持续上升，而同行业可比公司在下降，且发行人应收账款余额仅略低于杰恩设计，</w:t>
      </w:r>
      <w:proofErr w:type="gramStart"/>
      <w:r w:rsidRPr="00251592">
        <w:rPr>
          <w:rFonts w:ascii="宋体" w:eastAsia="宋体" w:hAnsi="宋体"/>
          <w:sz w:val="21"/>
          <w:szCs w:val="21"/>
        </w:rPr>
        <w:t>高于筑博设计</w:t>
      </w:r>
      <w:proofErr w:type="gramEnd"/>
      <w:r w:rsidRPr="00251592">
        <w:rPr>
          <w:rFonts w:ascii="宋体" w:eastAsia="宋体" w:hAnsi="宋体"/>
          <w:sz w:val="21"/>
          <w:szCs w:val="21"/>
        </w:rPr>
        <w:t>、华阳国际、山鼎设计。截至2020年6月30日，发行人1年以内应收</w:t>
      </w:r>
      <w:proofErr w:type="gramStart"/>
      <w:r w:rsidRPr="00251592">
        <w:rPr>
          <w:rFonts w:ascii="宋体" w:eastAsia="宋体" w:hAnsi="宋体"/>
          <w:sz w:val="21"/>
          <w:szCs w:val="21"/>
        </w:rPr>
        <w:t>账款占比显著</w:t>
      </w:r>
      <w:proofErr w:type="gramEnd"/>
      <w:r w:rsidRPr="00251592">
        <w:rPr>
          <w:rFonts w:ascii="宋体" w:eastAsia="宋体" w:hAnsi="宋体"/>
          <w:sz w:val="21"/>
          <w:szCs w:val="21"/>
        </w:rPr>
        <w:t>下降，1年以上应收账款快速上升。同时，发行人2019年核销的应收账款中，最大的两笔分别为保利（北京）房地产开发有限公司的122.88万元、江门保利宏信房地产开发有限公司的35.80万元。请发行人：（1）补充披露上述应收账款变动趋势与同行业可比公司不一致，以及1年以上应收账款快速上升的原因；（2）补充披露报告期内涉及第一大客户保利的相关应收账款情况，包括但不限于金额、占比及变动情况、是否存在较大回收风险等，说明核销的两笔涉及保利的应收账款具体情况、核销的具体原因；（3）结合上述情况、应收</w:t>
      </w:r>
      <w:proofErr w:type="gramStart"/>
      <w:r w:rsidRPr="00251592">
        <w:rPr>
          <w:rFonts w:ascii="宋体" w:eastAsia="宋体" w:hAnsi="宋体"/>
          <w:sz w:val="21"/>
          <w:szCs w:val="21"/>
        </w:rPr>
        <w:t>帐款</w:t>
      </w:r>
      <w:proofErr w:type="gramEnd"/>
      <w:r w:rsidRPr="00251592">
        <w:rPr>
          <w:rFonts w:ascii="宋体" w:eastAsia="宋体" w:hAnsi="宋体"/>
          <w:sz w:val="21"/>
          <w:szCs w:val="21"/>
        </w:rPr>
        <w:t>区域分布情况，充分披露发行人可能面临的应收账款风险、房地产区域调整风险，是否对发行人持续经营能力构成重大不利影响。</w:t>
      </w:r>
    </w:p>
    <w:p w14:paraId="74E44C85"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请保荐人、申报会计师发表明确意见。</w:t>
      </w:r>
    </w:p>
    <w:p w14:paraId="75588E7D"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1D6C6C95"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（一）</w:t>
      </w:r>
      <w:r w:rsidRPr="00251592">
        <w:rPr>
          <w:rFonts w:ascii="宋体" w:eastAsia="宋体" w:hAnsi="宋体"/>
          <w:sz w:val="21"/>
          <w:szCs w:val="21"/>
        </w:rPr>
        <w:t>补充披露上述应收账款变动趋势与同行业可比公司不一致，以及1年以上应收账款快速上升的原因</w:t>
      </w:r>
    </w:p>
    <w:p w14:paraId="638E52D0"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1、</w:t>
      </w:r>
      <w:r w:rsidRPr="00251592">
        <w:rPr>
          <w:rFonts w:ascii="宋体" w:eastAsia="宋体" w:hAnsi="宋体"/>
          <w:szCs w:val="21"/>
        </w:rPr>
        <w:t>上述应收账款变动趋势与同行业可比公司不一致</w:t>
      </w:r>
      <w:r w:rsidRPr="00251592">
        <w:rPr>
          <w:rFonts w:ascii="宋体" w:eastAsia="宋体" w:hAnsi="宋体" w:hint="eastAsia"/>
          <w:szCs w:val="21"/>
        </w:rPr>
        <w:t>的原因</w:t>
      </w:r>
    </w:p>
    <w:p w14:paraId="71EC0860"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szCs w:val="21"/>
        </w:rPr>
        <w:t>报告期各期末，公司应收账款账面价值分别为3,237.89万元、9,217.23万元、19,941.49万元和22,937.21万元，随着公司经营规模的扩张而呈现上升趋势。</w:t>
      </w:r>
    </w:p>
    <w:p w14:paraId="070A3ECB" w14:textId="77777777" w:rsidR="00C17BBD" w:rsidRPr="00251592" w:rsidRDefault="00C17BBD" w:rsidP="00C17BBD">
      <w:pPr>
        <w:widowControl/>
        <w:adjustRightInd w:val="0"/>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宋体" w:hint="eastAsia"/>
          <w:szCs w:val="21"/>
        </w:rPr>
        <w:t>①</w:t>
      </w:r>
      <w:r w:rsidRPr="00251592">
        <w:rPr>
          <w:rFonts w:ascii="宋体" w:eastAsia="宋体" w:hAnsi="宋体" w:cs="Times New Roman"/>
          <w:szCs w:val="21"/>
        </w:rPr>
        <w:t xml:space="preserve"> 应收账款波动情况及原因</w:t>
      </w:r>
    </w:p>
    <w:p w14:paraId="2F17A539" w14:textId="77777777" w:rsidR="00C17BBD" w:rsidRPr="00251592" w:rsidRDefault="00C17BBD" w:rsidP="00C17BBD">
      <w:pPr>
        <w:pStyle w:val="14"/>
        <w:ind w:firstLine="420"/>
        <w:rPr>
          <w:rFonts w:ascii="宋体" w:hAnsi="宋体" w:cs="Times New Roman"/>
          <w:iCs/>
          <w:sz w:val="21"/>
          <w:szCs w:val="21"/>
          <w:lang w:bidi="en-US"/>
        </w:rPr>
      </w:pPr>
      <w:bookmarkStart w:id="12" w:name="_Hlk55654142"/>
      <w:bookmarkStart w:id="13" w:name="_Hlk55645138"/>
      <w:r w:rsidRPr="00251592">
        <w:rPr>
          <w:rFonts w:ascii="宋体" w:hAnsi="宋体" w:cs="Times New Roman"/>
          <w:iCs/>
          <w:sz w:val="21"/>
          <w:szCs w:val="21"/>
          <w:lang w:bidi="en-US"/>
        </w:rPr>
        <w:t>2020年6月末，公司应收账款余额为24,626.67万元，相比2019年持续上升，而同行业可比公司有所下降，且公司应收账款余额仅略低于杰恩设计，</w:t>
      </w:r>
      <w:proofErr w:type="gramStart"/>
      <w:r w:rsidRPr="00251592">
        <w:rPr>
          <w:rFonts w:ascii="宋体" w:hAnsi="宋体" w:cs="Times New Roman"/>
          <w:iCs/>
          <w:sz w:val="21"/>
          <w:szCs w:val="21"/>
          <w:lang w:bidi="en-US"/>
        </w:rPr>
        <w:t>高于筑博设计</w:t>
      </w:r>
      <w:proofErr w:type="gramEnd"/>
      <w:r w:rsidRPr="00251592">
        <w:rPr>
          <w:rFonts w:ascii="宋体" w:hAnsi="宋体" w:cs="Times New Roman"/>
          <w:iCs/>
          <w:sz w:val="21"/>
          <w:szCs w:val="21"/>
          <w:lang w:bidi="en-US"/>
        </w:rPr>
        <w:t>、华阳国际、山鼎设计，主要原因为：杰恩设计、</w:t>
      </w:r>
      <w:proofErr w:type="gramStart"/>
      <w:r w:rsidRPr="00251592">
        <w:rPr>
          <w:rFonts w:ascii="宋体" w:hAnsi="宋体" w:cs="Times New Roman"/>
          <w:iCs/>
          <w:sz w:val="21"/>
          <w:szCs w:val="21"/>
          <w:lang w:bidi="en-US"/>
        </w:rPr>
        <w:t>筑博设计</w:t>
      </w:r>
      <w:proofErr w:type="gramEnd"/>
      <w:r w:rsidRPr="00251592">
        <w:rPr>
          <w:rFonts w:ascii="宋体" w:hAnsi="宋体" w:cs="Times New Roman"/>
          <w:iCs/>
          <w:sz w:val="21"/>
          <w:szCs w:val="21"/>
          <w:lang w:bidi="en-US"/>
        </w:rPr>
        <w:t>、华阳国际按照综合进度法或标准节点法确认设计业务收入的履约进度，2020年，因执行新收入准则，根据履约进度确认的收入金额超过已办理结算价款的部分确认为合同资产，使得上述公司已确认收入对应的应收款项中的部分金额列示于合同资产科目；而公司、山</w:t>
      </w:r>
      <w:proofErr w:type="gramStart"/>
      <w:r w:rsidRPr="00251592">
        <w:rPr>
          <w:rFonts w:ascii="宋体" w:hAnsi="宋体" w:cs="Times New Roman"/>
          <w:iCs/>
          <w:sz w:val="21"/>
          <w:szCs w:val="21"/>
          <w:lang w:bidi="en-US"/>
        </w:rPr>
        <w:t>鼎设计</w:t>
      </w:r>
      <w:proofErr w:type="gramEnd"/>
      <w:r w:rsidRPr="00251592">
        <w:rPr>
          <w:rFonts w:ascii="宋体" w:hAnsi="宋体" w:cs="Times New Roman"/>
          <w:iCs/>
          <w:sz w:val="21"/>
          <w:szCs w:val="21"/>
          <w:lang w:bidi="en-US"/>
        </w:rPr>
        <w:t>采用经客户确认的合同结算价款确认收入，因而已确认收入对应的应收款项均在应收账款科目中核算。若剔除上述因素影响，2019年末至2020年6月末，公司与同行业公司的应收账款余额（包括合同资产）情况如下：</w:t>
      </w:r>
    </w:p>
    <w:p w14:paraId="392A4D61" w14:textId="77777777" w:rsidR="00C17BBD" w:rsidRPr="00251592" w:rsidRDefault="00C17BBD" w:rsidP="00C17BBD">
      <w:pPr>
        <w:pStyle w:val="14"/>
        <w:spacing w:afterLines="0" w:line="240" w:lineRule="auto"/>
        <w:ind w:firstLine="420"/>
        <w:jc w:val="right"/>
        <w:rPr>
          <w:rFonts w:ascii="宋体" w:hAnsi="宋体" w:cs="Times New Roman"/>
          <w:iCs/>
          <w:sz w:val="21"/>
          <w:szCs w:val="21"/>
          <w:lang w:bidi="en-US"/>
        </w:rPr>
      </w:pPr>
      <w:r w:rsidRPr="00251592">
        <w:rPr>
          <w:rFonts w:ascii="宋体" w:hAnsi="宋体" w:cs="Times New Roman"/>
          <w:iCs/>
          <w:sz w:val="21"/>
          <w:szCs w:val="21"/>
          <w:lang w:bidi="en-US"/>
        </w:rPr>
        <w:t>单位：万元</w:t>
      </w:r>
    </w:p>
    <w:tbl>
      <w:tblPr>
        <w:tblW w:w="5000" w:type="pct"/>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616"/>
        <w:gridCol w:w="1616"/>
        <w:gridCol w:w="2240"/>
        <w:gridCol w:w="1525"/>
        <w:gridCol w:w="1525"/>
      </w:tblGrid>
      <w:tr w:rsidR="00C17BBD" w:rsidRPr="00251592" w14:paraId="405D5215" w14:textId="77777777" w:rsidTr="00622023">
        <w:trPr>
          <w:trHeight w:val="397"/>
          <w:jc w:val="center"/>
        </w:trPr>
        <w:tc>
          <w:tcPr>
            <w:tcW w:w="948" w:type="pct"/>
            <w:vAlign w:val="center"/>
          </w:tcPr>
          <w:p w14:paraId="26E75BA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lastRenderedPageBreak/>
              <w:t>公司名称</w:t>
            </w:r>
          </w:p>
        </w:tc>
        <w:tc>
          <w:tcPr>
            <w:tcW w:w="948" w:type="pct"/>
            <w:vAlign w:val="center"/>
          </w:tcPr>
          <w:p w14:paraId="14B2FDB7"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会计科目</w:t>
            </w:r>
          </w:p>
        </w:tc>
        <w:tc>
          <w:tcPr>
            <w:tcW w:w="1314" w:type="pct"/>
            <w:shd w:val="clear" w:color="auto" w:fill="auto"/>
            <w:vAlign w:val="center"/>
            <w:hideMark/>
          </w:tcPr>
          <w:p w14:paraId="31BC213C"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2020年6月末</w:t>
            </w:r>
          </w:p>
        </w:tc>
        <w:tc>
          <w:tcPr>
            <w:tcW w:w="895" w:type="pct"/>
            <w:shd w:val="clear" w:color="auto" w:fill="auto"/>
            <w:vAlign w:val="center"/>
            <w:hideMark/>
          </w:tcPr>
          <w:p w14:paraId="1953C6C7"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2019年末</w:t>
            </w:r>
          </w:p>
        </w:tc>
        <w:tc>
          <w:tcPr>
            <w:tcW w:w="895" w:type="pct"/>
            <w:vAlign w:val="center"/>
          </w:tcPr>
          <w:p w14:paraId="3DFD7AD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变化率</w:t>
            </w:r>
          </w:p>
        </w:tc>
      </w:tr>
      <w:tr w:rsidR="00C17BBD" w:rsidRPr="00251592" w14:paraId="13FF401A" w14:textId="77777777" w:rsidTr="00622023">
        <w:trPr>
          <w:trHeight w:val="397"/>
          <w:jc w:val="center"/>
        </w:trPr>
        <w:tc>
          <w:tcPr>
            <w:tcW w:w="948" w:type="pct"/>
            <w:vMerge w:val="restart"/>
            <w:vAlign w:val="center"/>
          </w:tcPr>
          <w:p w14:paraId="5722C545"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iCs/>
                <w:kern w:val="0"/>
                <w:sz w:val="18"/>
                <w:szCs w:val="18"/>
              </w:rPr>
              <w:t>杰恩设计</w:t>
            </w:r>
          </w:p>
        </w:tc>
        <w:tc>
          <w:tcPr>
            <w:tcW w:w="948" w:type="pct"/>
            <w:vAlign w:val="center"/>
          </w:tcPr>
          <w:p w14:paraId="6BF6D98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应收账款</w:t>
            </w:r>
          </w:p>
        </w:tc>
        <w:tc>
          <w:tcPr>
            <w:tcW w:w="1314" w:type="pct"/>
            <w:shd w:val="clear" w:color="auto" w:fill="auto"/>
            <w:vAlign w:val="center"/>
          </w:tcPr>
          <w:p w14:paraId="78032A36"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27,783.43</w:t>
            </w:r>
          </w:p>
        </w:tc>
        <w:tc>
          <w:tcPr>
            <w:tcW w:w="895" w:type="pct"/>
            <w:shd w:val="clear" w:color="auto" w:fill="auto"/>
            <w:vAlign w:val="center"/>
          </w:tcPr>
          <w:p w14:paraId="2C775FAA"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29,844.70</w:t>
            </w:r>
          </w:p>
        </w:tc>
        <w:tc>
          <w:tcPr>
            <w:tcW w:w="895" w:type="pct"/>
            <w:vMerge w:val="restart"/>
            <w:vAlign w:val="center"/>
          </w:tcPr>
          <w:p w14:paraId="7A9DD4F2"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-1.09%</w:t>
            </w:r>
          </w:p>
        </w:tc>
      </w:tr>
      <w:tr w:rsidR="00C17BBD" w:rsidRPr="00251592" w14:paraId="784322A5" w14:textId="77777777" w:rsidTr="00622023">
        <w:trPr>
          <w:trHeight w:val="397"/>
          <w:jc w:val="center"/>
        </w:trPr>
        <w:tc>
          <w:tcPr>
            <w:tcW w:w="948" w:type="pct"/>
            <w:vMerge/>
            <w:vAlign w:val="center"/>
          </w:tcPr>
          <w:p w14:paraId="424AE669" w14:textId="77777777" w:rsidR="00C17BBD" w:rsidRPr="00251592" w:rsidRDefault="00C17BBD" w:rsidP="008A2055">
            <w:pPr>
              <w:widowControl/>
              <w:jc w:val="center"/>
              <w:rPr>
                <w:rFonts w:ascii="宋体" w:eastAsia="宋体" w:hAnsi="宋体" w:cs="Times New Roman"/>
                <w:iCs/>
                <w:kern w:val="0"/>
                <w:sz w:val="18"/>
                <w:szCs w:val="18"/>
              </w:rPr>
            </w:pPr>
          </w:p>
        </w:tc>
        <w:tc>
          <w:tcPr>
            <w:tcW w:w="948" w:type="pct"/>
            <w:vAlign w:val="center"/>
          </w:tcPr>
          <w:p w14:paraId="4E76102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合同资产</w:t>
            </w:r>
          </w:p>
        </w:tc>
        <w:tc>
          <w:tcPr>
            <w:tcW w:w="1314" w:type="pct"/>
            <w:shd w:val="clear" w:color="auto" w:fill="auto"/>
            <w:vAlign w:val="center"/>
          </w:tcPr>
          <w:p w14:paraId="22558E7E"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1,735.07</w:t>
            </w:r>
          </w:p>
        </w:tc>
        <w:tc>
          <w:tcPr>
            <w:tcW w:w="895" w:type="pct"/>
            <w:shd w:val="clear" w:color="auto" w:fill="auto"/>
            <w:vAlign w:val="center"/>
          </w:tcPr>
          <w:p w14:paraId="47483CB5"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w:t>
            </w:r>
          </w:p>
        </w:tc>
        <w:tc>
          <w:tcPr>
            <w:tcW w:w="895" w:type="pct"/>
            <w:vMerge/>
            <w:vAlign w:val="center"/>
          </w:tcPr>
          <w:p w14:paraId="394DC9CA" w14:textId="77777777" w:rsidR="00C17BBD" w:rsidRPr="00251592" w:rsidRDefault="00C17BBD" w:rsidP="008A2055">
            <w:pPr>
              <w:jc w:val="right"/>
              <w:rPr>
                <w:rFonts w:ascii="宋体" w:eastAsia="宋体" w:hAnsi="宋体" w:cs="Times New Roman"/>
                <w:color w:val="000000"/>
                <w:kern w:val="0"/>
                <w:sz w:val="18"/>
                <w:szCs w:val="18"/>
              </w:rPr>
            </w:pPr>
          </w:p>
        </w:tc>
      </w:tr>
      <w:tr w:rsidR="00C17BBD" w:rsidRPr="00251592" w14:paraId="2359F5F0" w14:textId="77777777" w:rsidTr="00622023">
        <w:trPr>
          <w:trHeight w:val="397"/>
          <w:jc w:val="center"/>
        </w:trPr>
        <w:tc>
          <w:tcPr>
            <w:tcW w:w="948" w:type="pct"/>
            <w:vMerge/>
            <w:vAlign w:val="center"/>
          </w:tcPr>
          <w:p w14:paraId="42951318" w14:textId="77777777" w:rsidR="00C17BBD" w:rsidRPr="00251592" w:rsidRDefault="00C17BBD" w:rsidP="008A2055">
            <w:pPr>
              <w:widowControl/>
              <w:jc w:val="center"/>
              <w:rPr>
                <w:rFonts w:ascii="宋体" w:eastAsia="宋体" w:hAnsi="宋体" w:cs="Times New Roman"/>
                <w:iCs/>
                <w:kern w:val="0"/>
                <w:sz w:val="18"/>
                <w:szCs w:val="18"/>
              </w:rPr>
            </w:pPr>
          </w:p>
        </w:tc>
        <w:tc>
          <w:tcPr>
            <w:tcW w:w="948" w:type="pct"/>
            <w:vAlign w:val="center"/>
          </w:tcPr>
          <w:p w14:paraId="6C0A62FF"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小计</w:t>
            </w:r>
          </w:p>
        </w:tc>
        <w:tc>
          <w:tcPr>
            <w:tcW w:w="1314" w:type="pct"/>
            <w:shd w:val="clear" w:color="auto" w:fill="auto"/>
            <w:vAlign w:val="center"/>
          </w:tcPr>
          <w:p w14:paraId="6584C453"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29,518.50</w:t>
            </w:r>
          </w:p>
        </w:tc>
        <w:tc>
          <w:tcPr>
            <w:tcW w:w="895" w:type="pct"/>
            <w:shd w:val="clear" w:color="auto" w:fill="auto"/>
            <w:vAlign w:val="center"/>
          </w:tcPr>
          <w:p w14:paraId="316C8F60"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29,844.70</w:t>
            </w:r>
          </w:p>
        </w:tc>
        <w:tc>
          <w:tcPr>
            <w:tcW w:w="895" w:type="pct"/>
            <w:vMerge/>
            <w:vAlign w:val="center"/>
          </w:tcPr>
          <w:p w14:paraId="2CC52CF1" w14:textId="77777777" w:rsidR="00C17BBD" w:rsidRPr="00251592" w:rsidRDefault="00C17BBD" w:rsidP="008A2055">
            <w:pPr>
              <w:widowControl/>
              <w:jc w:val="right"/>
              <w:rPr>
                <w:rFonts w:ascii="宋体" w:eastAsia="宋体" w:hAnsi="宋体" w:cs="Times New Roman"/>
                <w:color w:val="000000"/>
                <w:sz w:val="18"/>
                <w:szCs w:val="18"/>
              </w:rPr>
            </w:pPr>
          </w:p>
        </w:tc>
      </w:tr>
      <w:tr w:rsidR="00C17BBD" w:rsidRPr="00251592" w14:paraId="31129244" w14:textId="77777777" w:rsidTr="00622023">
        <w:trPr>
          <w:trHeight w:val="397"/>
          <w:jc w:val="center"/>
        </w:trPr>
        <w:tc>
          <w:tcPr>
            <w:tcW w:w="948" w:type="pct"/>
            <w:vMerge w:val="restart"/>
            <w:vAlign w:val="center"/>
          </w:tcPr>
          <w:p w14:paraId="4D3CD09A" w14:textId="77777777" w:rsidR="00C17BBD" w:rsidRPr="00251592" w:rsidRDefault="00C17BBD" w:rsidP="008A2055">
            <w:pPr>
              <w:widowControl/>
              <w:jc w:val="center"/>
              <w:rPr>
                <w:rFonts w:ascii="宋体" w:eastAsia="宋体" w:hAnsi="宋体" w:cs="Times New Roman"/>
                <w:color w:val="000000" w:themeColor="text1"/>
                <w:kern w:val="0"/>
                <w:sz w:val="18"/>
                <w:szCs w:val="18"/>
              </w:rPr>
            </w:pPr>
            <w:proofErr w:type="gramStart"/>
            <w:r w:rsidRPr="00251592">
              <w:rPr>
                <w:rFonts w:ascii="宋体" w:eastAsia="宋体" w:hAnsi="宋体" w:cs="Times New Roman"/>
                <w:iCs/>
                <w:kern w:val="0"/>
                <w:sz w:val="18"/>
                <w:szCs w:val="18"/>
              </w:rPr>
              <w:t>筑博设计</w:t>
            </w:r>
            <w:proofErr w:type="gramEnd"/>
          </w:p>
        </w:tc>
        <w:tc>
          <w:tcPr>
            <w:tcW w:w="948" w:type="pct"/>
            <w:vAlign w:val="center"/>
          </w:tcPr>
          <w:p w14:paraId="311B8AAC" w14:textId="77777777" w:rsidR="00C17BBD" w:rsidRPr="00251592" w:rsidRDefault="00C17BBD" w:rsidP="008A2055">
            <w:pPr>
              <w:widowControl/>
              <w:jc w:val="center"/>
              <w:rPr>
                <w:rFonts w:ascii="宋体" w:eastAsia="宋体" w:hAnsi="宋体" w:cs="Times New Roman"/>
                <w:color w:val="000000" w:themeColor="text1"/>
                <w:kern w:val="0"/>
                <w:sz w:val="18"/>
                <w:szCs w:val="18"/>
              </w:rPr>
            </w:pPr>
            <w:r w:rsidRPr="00251592">
              <w:rPr>
                <w:rFonts w:ascii="宋体" w:eastAsia="宋体" w:hAnsi="宋体" w:cs="Times New Roman"/>
                <w:color w:val="000000"/>
                <w:kern w:val="0"/>
                <w:sz w:val="18"/>
                <w:szCs w:val="18"/>
              </w:rPr>
              <w:t>应收账款</w:t>
            </w:r>
          </w:p>
        </w:tc>
        <w:tc>
          <w:tcPr>
            <w:tcW w:w="1314" w:type="pct"/>
            <w:shd w:val="clear" w:color="auto" w:fill="auto"/>
            <w:vAlign w:val="center"/>
          </w:tcPr>
          <w:p w14:paraId="08A3C373"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sz w:val="18"/>
                <w:szCs w:val="18"/>
              </w:rPr>
              <w:t>13,933.98</w:t>
            </w:r>
          </w:p>
        </w:tc>
        <w:tc>
          <w:tcPr>
            <w:tcW w:w="895" w:type="pct"/>
            <w:shd w:val="clear" w:color="auto" w:fill="auto"/>
            <w:vAlign w:val="center"/>
          </w:tcPr>
          <w:p w14:paraId="0D8DD9E3"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sz w:val="18"/>
                <w:szCs w:val="18"/>
              </w:rPr>
              <w:t>30,878.85</w:t>
            </w:r>
          </w:p>
        </w:tc>
        <w:tc>
          <w:tcPr>
            <w:tcW w:w="895" w:type="pct"/>
            <w:vMerge w:val="restart"/>
            <w:vAlign w:val="center"/>
          </w:tcPr>
          <w:p w14:paraId="15EC9B68"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26.85%</w:t>
            </w:r>
          </w:p>
        </w:tc>
      </w:tr>
      <w:tr w:rsidR="00C17BBD" w:rsidRPr="00251592" w14:paraId="4E277A7C" w14:textId="77777777" w:rsidTr="00622023">
        <w:trPr>
          <w:trHeight w:val="397"/>
          <w:jc w:val="center"/>
        </w:trPr>
        <w:tc>
          <w:tcPr>
            <w:tcW w:w="948" w:type="pct"/>
            <w:vMerge/>
            <w:vAlign w:val="center"/>
          </w:tcPr>
          <w:p w14:paraId="3081F7FF" w14:textId="77777777" w:rsidR="00C17BBD" w:rsidRPr="00251592" w:rsidRDefault="00C17BBD" w:rsidP="008A2055">
            <w:pPr>
              <w:widowControl/>
              <w:jc w:val="center"/>
              <w:rPr>
                <w:rFonts w:ascii="宋体" w:eastAsia="宋体" w:hAnsi="宋体" w:cs="Times New Roman"/>
                <w:iCs/>
                <w:kern w:val="0"/>
                <w:sz w:val="18"/>
                <w:szCs w:val="18"/>
              </w:rPr>
            </w:pPr>
          </w:p>
        </w:tc>
        <w:tc>
          <w:tcPr>
            <w:tcW w:w="948" w:type="pct"/>
            <w:vAlign w:val="center"/>
          </w:tcPr>
          <w:p w14:paraId="0513BB72" w14:textId="77777777" w:rsidR="00C17BBD" w:rsidRPr="00251592" w:rsidRDefault="00C17BBD" w:rsidP="008A2055">
            <w:pPr>
              <w:widowControl/>
              <w:jc w:val="center"/>
              <w:rPr>
                <w:rFonts w:ascii="宋体" w:eastAsia="宋体" w:hAnsi="宋体" w:cs="Times New Roman"/>
                <w:color w:val="000000" w:themeColor="text1"/>
                <w:kern w:val="0"/>
                <w:sz w:val="18"/>
                <w:szCs w:val="18"/>
              </w:rPr>
            </w:pPr>
            <w:r w:rsidRPr="00251592">
              <w:rPr>
                <w:rFonts w:ascii="宋体" w:eastAsia="宋体" w:hAnsi="宋体" w:cs="Times New Roman"/>
                <w:color w:val="000000"/>
                <w:kern w:val="0"/>
                <w:sz w:val="18"/>
                <w:szCs w:val="18"/>
              </w:rPr>
              <w:t>合同资产</w:t>
            </w:r>
          </w:p>
        </w:tc>
        <w:tc>
          <w:tcPr>
            <w:tcW w:w="1314" w:type="pct"/>
            <w:shd w:val="clear" w:color="auto" w:fill="auto"/>
            <w:vAlign w:val="center"/>
          </w:tcPr>
          <w:p w14:paraId="610AB4AB"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sz w:val="18"/>
                <w:szCs w:val="18"/>
              </w:rPr>
              <w:t>25,236.76</w:t>
            </w:r>
          </w:p>
        </w:tc>
        <w:tc>
          <w:tcPr>
            <w:tcW w:w="895" w:type="pct"/>
            <w:shd w:val="clear" w:color="auto" w:fill="auto"/>
            <w:vAlign w:val="center"/>
          </w:tcPr>
          <w:p w14:paraId="72C1DD0F"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themeColor="text1"/>
                <w:kern w:val="0"/>
                <w:sz w:val="18"/>
                <w:szCs w:val="18"/>
              </w:rPr>
              <w:t>-</w:t>
            </w:r>
          </w:p>
        </w:tc>
        <w:tc>
          <w:tcPr>
            <w:tcW w:w="895" w:type="pct"/>
            <w:vMerge/>
            <w:vAlign w:val="center"/>
          </w:tcPr>
          <w:p w14:paraId="124A7998" w14:textId="77777777" w:rsidR="00C17BBD" w:rsidRPr="00251592" w:rsidRDefault="00C17BBD" w:rsidP="008A2055">
            <w:pPr>
              <w:jc w:val="right"/>
              <w:rPr>
                <w:rFonts w:ascii="宋体" w:eastAsia="宋体" w:hAnsi="宋体" w:cs="Times New Roman"/>
                <w:color w:val="000000" w:themeColor="text1"/>
                <w:kern w:val="0"/>
                <w:sz w:val="18"/>
                <w:szCs w:val="18"/>
              </w:rPr>
            </w:pPr>
          </w:p>
        </w:tc>
      </w:tr>
      <w:tr w:rsidR="00C17BBD" w:rsidRPr="00251592" w14:paraId="739686BD" w14:textId="77777777" w:rsidTr="00622023">
        <w:trPr>
          <w:trHeight w:val="397"/>
          <w:jc w:val="center"/>
        </w:trPr>
        <w:tc>
          <w:tcPr>
            <w:tcW w:w="948" w:type="pct"/>
            <w:vMerge/>
            <w:vAlign w:val="center"/>
          </w:tcPr>
          <w:p w14:paraId="5B92BEB6" w14:textId="77777777" w:rsidR="00C17BBD" w:rsidRPr="00251592" w:rsidRDefault="00C17BBD" w:rsidP="008A2055">
            <w:pPr>
              <w:widowControl/>
              <w:jc w:val="center"/>
              <w:rPr>
                <w:rFonts w:ascii="宋体" w:eastAsia="宋体" w:hAnsi="宋体" w:cs="Times New Roman"/>
                <w:iCs/>
                <w:kern w:val="0"/>
                <w:sz w:val="18"/>
                <w:szCs w:val="18"/>
              </w:rPr>
            </w:pPr>
          </w:p>
        </w:tc>
        <w:tc>
          <w:tcPr>
            <w:tcW w:w="948" w:type="pct"/>
            <w:vAlign w:val="center"/>
          </w:tcPr>
          <w:p w14:paraId="27AB39E4" w14:textId="77777777" w:rsidR="00C17BBD" w:rsidRPr="00251592" w:rsidRDefault="00C17BBD" w:rsidP="008A2055">
            <w:pPr>
              <w:widowControl/>
              <w:jc w:val="center"/>
              <w:rPr>
                <w:rFonts w:ascii="宋体" w:eastAsia="宋体" w:hAnsi="宋体" w:cs="Times New Roman"/>
                <w:color w:val="000000" w:themeColor="text1"/>
                <w:kern w:val="0"/>
                <w:sz w:val="18"/>
                <w:szCs w:val="18"/>
              </w:rPr>
            </w:pPr>
            <w:r w:rsidRPr="00251592">
              <w:rPr>
                <w:rFonts w:ascii="宋体" w:eastAsia="宋体" w:hAnsi="宋体" w:cs="Times New Roman"/>
                <w:color w:val="000000"/>
                <w:kern w:val="0"/>
                <w:sz w:val="18"/>
                <w:szCs w:val="18"/>
              </w:rPr>
              <w:t>小计</w:t>
            </w:r>
          </w:p>
        </w:tc>
        <w:tc>
          <w:tcPr>
            <w:tcW w:w="1314" w:type="pct"/>
            <w:shd w:val="clear" w:color="auto" w:fill="auto"/>
            <w:vAlign w:val="center"/>
          </w:tcPr>
          <w:p w14:paraId="6ED89746"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sz w:val="18"/>
                <w:szCs w:val="18"/>
              </w:rPr>
              <w:t>39,170.74</w:t>
            </w:r>
          </w:p>
        </w:tc>
        <w:tc>
          <w:tcPr>
            <w:tcW w:w="895" w:type="pct"/>
            <w:shd w:val="clear" w:color="auto" w:fill="auto"/>
            <w:vAlign w:val="center"/>
          </w:tcPr>
          <w:p w14:paraId="06304228"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sz w:val="18"/>
                <w:szCs w:val="18"/>
              </w:rPr>
              <w:t>30,878.85</w:t>
            </w:r>
          </w:p>
        </w:tc>
        <w:tc>
          <w:tcPr>
            <w:tcW w:w="895" w:type="pct"/>
            <w:vMerge/>
            <w:vAlign w:val="center"/>
          </w:tcPr>
          <w:p w14:paraId="0466B766" w14:textId="77777777" w:rsidR="00C17BBD" w:rsidRPr="00251592" w:rsidRDefault="00C17BBD" w:rsidP="008A2055">
            <w:pPr>
              <w:widowControl/>
              <w:jc w:val="right"/>
              <w:rPr>
                <w:rFonts w:ascii="宋体" w:eastAsia="宋体" w:hAnsi="宋体" w:cs="Times New Roman"/>
                <w:color w:val="000000"/>
                <w:sz w:val="18"/>
                <w:szCs w:val="18"/>
              </w:rPr>
            </w:pPr>
          </w:p>
        </w:tc>
      </w:tr>
      <w:tr w:rsidR="00C17BBD" w:rsidRPr="00251592" w14:paraId="41F32558" w14:textId="77777777" w:rsidTr="00622023">
        <w:trPr>
          <w:trHeight w:val="397"/>
          <w:jc w:val="center"/>
        </w:trPr>
        <w:tc>
          <w:tcPr>
            <w:tcW w:w="948" w:type="pct"/>
            <w:vMerge w:val="restart"/>
            <w:vAlign w:val="center"/>
          </w:tcPr>
          <w:p w14:paraId="70BBF3D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iCs/>
                <w:kern w:val="0"/>
                <w:sz w:val="18"/>
                <w:szCs w:val="18"/>
              </w:rPr>
              <w:t>华阳国际</w:t>
            </w:r>
          </w:p>
        </w:tc>
        <w:tc>
          <w:tcPr>
            <w:tcW w:w="948" w:type="pct"/>
            <w:vAlign w:val="center"/>
          </w:tcPr>
          <w:p w14:paraId="7585C688"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应收账款</w:t>
            </w:r>
          </w:p>
        </w:tc>
        <w:tc>
          <w:tcPr>
            <w:tcW w:w="1314" w:type="pct"/>
            <w:shd w:val="clear" w:color="auto" w:fill="auto"/>
            <w:vAlign w:val="center"/>
          </w:tcPr>
          <w:p w14:paraId="281E4A5E"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19,985.07</w:t>
            </w:r>
          </w:p>
        </w:tc>
        <w:tc>
          <w:tcPr>
            <w:tcW w:w="895" w:type="pct"/>
            <w:shd w:val="clear" w:color="auto" w:fill="auto"/>
            <w:vAlign w:val="center"/>
          </w:tcPr>
          <w:p w14:paraId="2D17AE79"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49,220.78</w:t>
            </w:r>
          </w:p>
        </w:tc>
        <w:tc>
          <w:tcPr>
            <w:tcW w:w="895" w:type="pct"/>
            <w:vMerge w:val="restart"/>
            <w:vAlign w:val="center"/>
          </w:tcPr>
          <w:p w14:paraId="008D25E3"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31.40%</w:t>
            </w:r>
          </w:p>
        </w:tc>
      </w:tr>
      <w:tr w:rsidR="00C17BBD" w:rsidRPr="00251592" w14:paraId="614787D2" w14:textId="77777777" w:rsidTr="00622023">
        <w:trPr>
          <w:trHeight w:val="397"/>
          <w:jc w:val="center"/>
        </w:trPr>
        <w:tc>
          <w:tcPr>
            <w:tcW w:w="948" w:type="pct"/>
            <w:vMerge/>
            <w:vAlign w:val="center"/>
          </w:tcPr>
          <w:p w14:paraId="27EC7D6F" w14:textId="77777777" w:rsidR="00C17BBD" w:rsidRPr="00251592" w:rsidRDefault="00C17BBD" w:rsidP="008A2055">
            <w:pPr>
              <w:widowControl/>
              <w:jc w:val="center"/>
              <w:rPr>
                <w:rFonts w:ascii="宋体" w:eastAsia="宋体" w:hAnsi="宋体" w:cs="Times New Roman"/>
                <w:iCs/>
                <w:kern w:val="0"/>
                <w:sz w:val="18"/>
                <w:szCs w:val="18"/>
              </w:rPr>
            </w:pPr>
          </w:p>
        </w:tc>
        <w:tc>
          <w:tcPr>
            <w:tcW w:w="948" w:type="pct"/>
            <w:vAlign w:val="center"/>
          </w:tcPr>
          <w:p w14:paraId="3694CFCF"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合同资产</w:t>
            </w:r>
          </w:p>
        </w:tc>
        <w:tc>
          <w:tcPr>
            <w:tcW w:w="1314" w:type="pct"/>
            <w:shd w:val="clear" w:color="auto" w:fill="auto"/>
            <w:vAlign w:val="center"/>
          </w:tcPr>
          <w:p w14:paraId="05F512CB"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44,692.51</w:t>
            </w:r>
          </w:p>
        </w:tc>
        <w:tc>
          <w:tcPr>
            <w:tcW w:w="895" w:type="pct"/>
            <w:shd w:val="clear" w:color="auto" w:fill="auto"/>
            <w:vAlign w:val="center"/>
          </w:tcPr>
          <w:p w14:paraId="25DE9A03"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w:t>
            </w:r>
          </w:p>
        </w:tc>
        <w:tc>
          <w:tcPr>
            <w:tcW w:w="895" w:type="pct"/>
            <w:vMerge/>
            <w:vAlign w:val="center"/>
          </w:tcPr>
          <w:p w14:paraId="67C73BA1" w14:textId="77777777" w:rsidR="00C17BBD" w:rsidRPr="00251592" w:rsidRDefault="00C17BBD" w:rsidP="008A2055">
            <w:pPr>
              <w:jc w:val="right"/>
              <w:rPr>
                <w:rFonts w:ascii="宋体" w:eastAsia="宋体" w:hAnsi="宋体" w:cs="Times New Roman"/>
                <w:color w:val="000000"/>
                <w:kern w:val="0"/>
                <w:sz w:val="18"/>
                <w:szCs w:val="18"/>
              </w:rPr>
            </w:pPr>
          </w:p>
        </w:tc>
      </w:tr>
      <w:tr w:rsidR="00C17BBD" w:rsidRPr="00251592" w14:paraId="76487A33" w14:textId="77777777" w:rsidTr="00622023">
        <w:trPr>
          <w:trHeight w:val="397"/>
          <w:jc w:val="center"/>
        </w:trPr>
        <w:tc>
          <w:tcPr>
            <w:tcW w:w="948" w:type="pct"/>
            <w:vMerge/>
            <w:vAlign w:val="center"/>
          </w:tcPr>
          <w:p w14:paraId="1032788E" w14:textId="77777777" w:rsidR="00C17BBD" w:rsidRPr="00251592" w:rsidRDefault="00C17BBD" w:rsidP="008A2055">
            <w:pPr>
              <w:widowControl/>
              <w:jc w:val="center"/>
              <w:rPr>
                <w:rFonts w:ascii="宋体" w:eastAsia="宋体" w:hAnsi="宋体" w:cs="Times New Roman"/>
                <w:iCs/>
                <w:kern w:val="0"/>
                <w:sz w:val="18"/>
                <w:szCs w:val="18"/>
              </w:rPr>
            </w:pPr>
          </w:p>
        </w:tc>
        <w:tc>
          <w:tcPr>
            <w:tcW w:w="948" w:type="pct"/>
            <w:vAlign w:val="center"/>
          </w:tcPr>
          <w:p w14:paraId="7B479D5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小计</w:t>
            </w:r>
          </w:p>
        </w:tc>
        <w:tc>
          <w:tcPr>
            <w:tcW w:w="1314" w:type="pct"/>
            <w:shd w:val="clear" w:color="auto" w:fill="auto"/>
            <w:vAlign w:val="center"/>
          </w:tcPr>
          <w:p w14:paraId="056B6CC5"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64,677.58</w:t>
            </w:r>
          </w:p>
        </w:tc>
        <w:tc>
          <w:tcPr>
            <w:tcW w:w="895" w:type="pct"/>
            <w:shd w:val="clear" w:color="auto" w:fill="auto"/>
            <w:vAlign w:val="center"/>
          </w:tcPr>
          <w:p w14:paraId="05387F89"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49,220.78</w:t>
            </w:r>
          </w:p>
        </w:tc>
        <w:tc>
          <w:tcPr>
            <w:tcW w:w="895" w:type="pct"/>
            <w:vMerge/>
            <w:vAlign w:val="center"/>
          </w:tcPr>
          <w:p w14:paraId="6381668F" w14:textId="77777777" w:rsidR="00C17BBD" w:rsidRPr="00251592" w:rsidRDefault="00C17BBD" w:rsidP="008A2055">
            <w:pPr>
              <w:widowControl/>
              <w:jc w:val="right"/>
              <w:rPr>
                <w:rFonts w:ascii="宋体" w:eastAsia="宋体" w:hAnsi="宋体" w:cs="Times New Roman"/>
                <w:color w:val="000000"/>
                <w:sz w:val="18"/>
                <w:szCs w:val="18"/>
              </w:rPr>
            </w:pPr>
          </w:p>
        </w:tc>
      </w:tr>
      <w:tr w:rsidR="00C17BBD" w:rsidRPr="00251592" w14:paraId="31EE540A" w14:textId="77777777" w:rsidTr="00622023">
        <w:trPr>
          <w:trHeight w:val="397"/>
          <w:jc w:val="center"/>
        </w:trPr>
        <w:tc>
          <w:tcPr>
            <w:tcW w:w="948" w:type="pct"/>
            <w:vMerge w:val="restart"/>
            <w:vAlign w:val="center"/>
          </w:tcPr>
          <w:p w14:paraId="5584F934"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iCs/>
                <w:kern w:val="0"/>
                <w:sz w:val="18"/>
                <w:szCs w:val="18"/>
              </w:rPr>
              <w:t>山</w:t>
            </w:r>
            <w:proofErr w:type="gramStart"/>
            <w:r w:rsidRPr="00251592">
              <w:rPr>
                <w:rFonts w:ascii="宋体" w:eastAsia="宋体" w:hAnsi="宋体" w:cs="Times New Roman"/>
                <w:iCs/>
                <w:kern w:val="0"/>
                <w:sz w:val="18"/>
                <w:szCs w:val="18"/>
              </w:rPr>
              <w:t>鼎设计</w:t>
            </w:r>
            <w:proofErr w:type="gramEnd"/>
          </w:p>
        </w:tc>
        <w:tc>
          <w:tcPr>
            <w:tcW w:w="948" w:type="pct"/>
            <w:vAlign w:val="center"/>
          </w:tcPr>
          <w:p w14:paraId="69591156"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应收账款</w:t>
            </w:r>
          </w:p>
        </w:tc>
        <w:tc>
          <w:tcPr>
            <w:tcW w:w="1314" w:type="pct"/>
            <w:shd w:val="clear" w:color="auto" w:fill="auto"/>
            <w:vAlign w:val="center"/>
          </w:tcPr>
          <w:p w14:paraId="18FAFB18"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18,459.30</w:t>
            </w:r>
          </w:p>
        </w:tc>
        <w:tc>
          <w:tcPr>
            <w:tcW w:w="895" w:type="pct"/>
            <w:shd w:val="clear" w:color="auto" w:fill="auto"/>
            <w:vAlign w:val="center"/>
          </w:tcPr>
          <w:p w14:paraId="6F7F7BF1"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19,904.76</w:t>
            </w:r>
          </w:p>
        </w:tc>
        <w:tc>
          <w:tcPr>
            <w:tcW w:w="895" w:type="pct"/>
            <w:vMerge w:val="restart"/>
            <w:vAlign w:val="center"/>
          </w:tcPr>
          <w:p w14:paraId="08C2BD8C" w14:textId="77777777" w:rsidR="00C17BBD" w:rsidRPr="00251592" w:rsidRDefault="00C17BBD" w:rsidP="008A2055">
            <w:pPr>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-7.26%</w:t>
            </w:r>
          </w:p>
        </w:tc>
      </w:tr>
      <w:tr w:rsidR="00C17BBD" w:rsidRPr="00251592" w14:paraId="732F48B7" w14:textId="77777777" w:rsidTr="00622023">
        <w:trPr>
          <w:trHeight w:val="397"/>
          <w:jc w:val="center"/>
        </w:trPr>
        <w:tc>
          <w:tcPr>
            <w:tcW w:w="948" w:type="pct"/>
            <w:vMerge/>
            <w:vAlign w:val="center"/>
          </w:tcPr>
          <w:p w14:paraId="1F1AD59B"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948" w:type="pct"/>
            <w:vAlign w:val="center"/>
          </w:tcPr>
          <w:p w14:paraId="63816A35"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合同资产</w:t>
            </w:r>
          </w:p>
        </w:tc>
        <w:tc>
          <w:tcPr>
            <w:tcW w:w="1314" w:type="pct"/>
            <w:shd w:val="clear" w:color="auto" w:fill="auto"/>
            <w:vAlign w:val="center"/>
          </w:tcPr>
          <w:p w14:paraId="76D4575B"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w:t>
            </w:r>
          </w:p>
        </w:tc>
        <w:tc>
          <w:tcPr>
            <w:tcW w:w="895" w:type="pct"/>
            <w:shd w:val="clear" w:color="auto" w:fill="auto"/>
            <w:vAlign w:val="center"/>
          </w:tcPr>
          <w:p w14:paraId="4B2831AC"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w:t>
            </w:r>
          </w:p>
        </w:tc>
        <w:tc>
          <w:tcPr>
            <w:tcW w:w="895" w:type="pct"/>
            <w:vMerge/>
            <w:vAlign w:val="center"/>
          </w:tcPr>
          <w:p w14:paraId="600677D0" w14:textId="77777777" w:rsidR="00C17BBD" w:rsidRPr="00251592" w:rsidRDefault="00C17BBD" w:rsidP="008A2055">
            <w:pPr>
              <w:jc w:val="right"/>
              <w:rPr>
                <w:rFonts w:ascii="宋体" w:eastAsia="宋体" w:hAnsi="宋体" w:cs="Times New Roman"/>
                <w:color w:val="000000"/>
                <w:kern w:val="0"/>
                <w:sz w:val="18"/>
                <w:szCs w:val="18"/>
              </w:rPr>
            </w:pPr>
          </w:p>
        </w:tc>
      </w:tr>
      <w:tr w:rsidR="00C17BBD" w:rsidRPr="00251592" w14:paraId="41337B05" w14:textId="77777777" w:rsidTr="00622023">
        <w:trPr>
          <w:trHeight w:val="397"/>
          <w:jc w:val="center"/>
        </w:trPr>
        <w:tc>
          <w:tcPr>
            <w:tcW w:w="948" w:type="pct"/>
            <w:vMerge/>
            <w:vAlign w:val="center"/>
          </w:tcPr>
          <w:p w14:paraId="780592BB"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948" w:type="pct"/>
            <w:vAlign w:val="center"/>
          </w:tcPr>
          <w:p w14:paraId="08DB12B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小计</w:t>
            </w:r>
          </w:p>
        </w:tc>
        <w:tc>
          <w:tcPr>
            <w:tcW w:w="1314" w:type="pct"/>
            <w:shd w:val="clear" w:color="auto" w:fill="auto"/>
            <w:vAlign w:val="center"/>
          </w:tcPr>
          <w:p w14:paraId="57689C10"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18,459.30</w:t>
            </w:r>
          </w:p>
        </w:tc>
        <w:tc>
          <w:tcPr>
            <w:tcW w:w="895" w:type="pct"/>
            <w:shd w:val="clear" w:color="auto" w:fill="auto"/>
            <w:vAlign w:val="center"/>
          </w:tcPr>
          <w:p w14:paraId="6337FF81"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19,904.76</w:t>
            </w:r>
          </w:p>
        </w:tc>
        <w:tc>
          <w:tcPr>
            <w:tcW w:w="895" w:type="pct"/>
            <w:vMerge/>
            <w:vAlign w:val="center"/>
          </w:tcPr>
          <w:p w14:paraId="7651F511" w14:textId="77777777" w:rsidR="00C17BBD" w:rsidRPr="00251592" w:rsidRDefault="00C17BBD" w:rsidP="008A2055">
            <w:pPr>
              <w:widowControl/>
              <w:jc w:val="right"/>
              <w:rPr>
                <w:rFonts w:ascii="宋体" w:eastAsia="宋体" w:hAnsi="宋体" w:cs="Times New Roman"/>
                <w:color w:val="000000"/>
                <w:sz w:val="18"/>
                <w:szCs w:val="18"/>
              </w:rPr>
            </w:pPr>
          </w:p>
        </w:tc>
      </w:tr>
      <w:tr w:rsidR="00C17BBD" w:rsidRPr="00251592" w14:paraId="66EF50FC" w14:textId="77777777" w:rsidTr="00622023">
        <w:trPr>
          <w:trHeight w:val="397"/>
          <w:jc w:val="center"/>
        </w:trPr>
        <w:tc>
          <w:tcPr>
            <w:tcW w:w="948" w:type="pct"/>
            <w:vAlign w:val="center"/>
          </w:tcPr>
          <w:p w14:paraId="6F0353BE"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霍普股份</w:t>
            </w:r>
          </w:p>
        </w:tc>
        <w:tc>
          <w:tcPr>
            <w:tcW w:w="948" w:type="pct"/>
            <w:vAlign w:val="center"/>
          </w:tcPr>
          <w:p w14:paraId="6DB0938F"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应收账款</w:t>
            </w:r>
          </w:p>
        </w:tc>
        <w:tc>
          <w:tcPr>
            <w:tcW w:w="1314" w:type="pct"/>
            <w:shd w:val="clear" w:color="auto" w:fill="auto"/>
            <w:vAlign w:val="center"/>
          </w:tcPr>
          <w:p w14:paraId="2A19D8C0"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 xml:space="preserve">24,626.67 </w:t>
            </w:r>
          </w:p>
        </w:tc>
        <w:tc>
          <w:tcPr>
            <w:tcW w:w="895" w:type="pct"/>
            <w:shd w:val="clear" w:color="auto" w:fill="auto"/>
            <w:vAlign w:val="center"/>
          </w:tcPr>
          <w:p w14:paraId="3C9D04B5"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 xml:space="preserve">21,235.39 </w:t>
            </w:r>
          </w:p>
        </w:tc>
        <w:tc>
          <w:tcPr>
            <w:tcW w:w="895" w:type="pct"/>
            <w:vAlign w:val="center"/>
          </w:tcPr>
          <w:p w14:paraId="6ECA6E1D"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15.97%</w:t>
            </w:r>
          </w:p>
        </w:tc>
      </w:tr>
    </w:tbl>
    <w:p w14:paraId="0602B688" w14:textId="77777777" w:rsidR="00C17BBD" w:rsidRPr="00251592" w:rsidRDefault="00C17BBD" w:rsidP="00C17BBD">
      <w:pPr>
        <w:pStyle w:val="14"/>
        <w:ind w:firstLine="420"/>
        <w:rPr>
          <w:rFonts w:ascii="宋体" w:hAnsi="宋体" w:cs="Times New Roman"/>
          <w:iCs/>
          <w:sz w:val="21"/>
          <w:szCs w:val="21"/>
          <w:lang w:bidi="en-US"/>
        </w:rPr>
      </w:pPr>
      <w:r w:rsidRPr="00251592">
        <w:rPr>
          <w:rFonts w:ascii="宋体" w:hAnsi="宋体" w:cs="Times New Roman"/>
          <w:iCs/>
          <w:sz w:val="21"/>
          <w:szCs w:val="21"/>
          <w:lang w:bidi="en-US"/>
        </w:rPr>
        <w:t>2019年末至2020年6月末，公司应收账款（</w:t>
      </w:r>
      <w:proofErr w:type="gramStart"/>
      <w:r w:rsidRPr="00251592">
        <w:rPr>
          <w:rFonts w:ascii="宋体" w:hAnsi="宋体" w:cs="Times New Roman"/>
          <w:iCs/>
          <w:sz w:val="21"/>
          <w:szCs w:val="21"/>
          <w:lang w:bidi="en-US"/>
        </w:rPr>
        <w:t>含合同</w:t>
      </w:r>
      <w:proofErr w:type="gramEnd"/>
      <w:r w:rsidRPr="00251592">
        <w:rPr>
          <w:rFonts w:ascii="宋体" w:hAnsi="宋体" w:cs="Times New Roman"/>
          <w:iCs/>
          <w:sz w:val="21"/>
          <w:szCs w:val="21"/>
          <w:lang w:bidi="en-US"/>
        </w:rPr>
        <w:t>资产）余额增长率为15.97%，</w:t>
      </w:r>
      <w:proofErr w:type="gramStart"/>
      <w:r w:rsidRPr="00251592">
        <w:rPr>
          <w:rFonts w:ascii="宋体" w:hAnsi="宋体" w:cs="Times New Roman"/>
          <w:iCs/>
          <w:sz w:val="21"/>
          <w:szCs w:val="21"/>
          <w:lang w:bidi="en-US"/>
        </w:rPr>
        <w:t>与筑博设计</w:t>
      </w:r>
      <w:proofErr w:type="gramEnd"/>
      <w:r w:rsidRPr="00251592">
        <w:rPr>
          <w:rFonts w:ascii="宋体" w:hAnsi="宋体" w:cs="Times New Roman"/>
          <w:iCs/>
          <w:sz w:val="21"/>
          <w:szCs w:val="21"/>
          <w:lang w:bidi="en-US"/>
        </w:rPr>
        <w:t>、华阳国际的变动趋势一致。杰恩设计、山</w:t>
      </w:r>
      <w:proofErr w:type="gramStart"/>
      <w:r w:rsidRPr="00251592">
        <w:rPr>
          <w:rFonts w:ascii="宋体" w:hAnsi="宋体" w:cs="Times New Roman"/>
          <w:iCs/>
          <w:sz w:val="21"/>
          <w:szCs w:val="21"/>
          <w:lang w:bidi="en-US"/>
        </w:rPr>
        <w:t>鼎设计</w:t>
      </w:r>
      <w:proofErr w:type="gramEnd"/>
      <w:r w:rsidRPr="00251592">
        <w:rPr>
          <w:rFonts w:ascii="宋体" w:hAnsi="宋体" w:cs="Times New Roman"/>
          <w:iCs/>
          <w:sz w:val="21"/>
          <w:szCs w:val="21"/>
          <w:lang w:bidi="en-US"/>
        </w:rPr>
        <w:t>应收账款（</w:t>
      </w:r>
      <w:proofErr w:type="gramStart"/>
      <w:r w:rsidRPr="00251592">
        <w:rPr>
          <w:rFonts w:ascii="宋体" w:hAnsi="宋体" w:cs="Times New Roman"/>
          <w:iCs/>
          <w:sz w:val="21"/>
          <w:szCs w:val="21"/>
          <w:lang w:bidi="en-US"/>
        </w:rPr>
        <w:t>含合同</w:t>
      </w:r>
      <w:proofErr w:type="gramEnd"/>
      <w:r w:rsidRPr="00251592">
        <w:rPr>
          <w:rFonts w:ascii="宋体" w:hAnsi="宋体" w:cs="Times New Roman"/>
          <w:iCs/>
          <w:sz w:val="21"/>
          <w:szCs w:val="21"/>
          <w:lang w:bidi="en-US"/>
        </w:rPr>
        <w:t>资产）余额有所下降，主要原因为：2020年上半年，杰恩设计营业收入1.25亿元，与去年同期相比下降24.19%，与2019年全年的3.90亿元相比下滑明显；2020年上半年，山</w:t>
      </w:r>
      <w:proofErr w:type="gramStart"/>
      <w:r w:rsidRPr="00251592">
        <w:rPr>
          <w:rFonts w:ascii="宋体" w:hAnsi="宋体" w:cs="Times New Roman"/>
          <w:iCs/>
          <w:sz w:val="21"/>
          <w:szCs w:val="21"/>
          <w:lang w:bidi="en-US"/>
        </w:rPr>
        <w:t>鼎设计</w:t>
      </w:r>
      <w:proofErr w:type="gramEnd"/>
      <w:r w:rsidRPr="00251592">
        <w:rPr>
          <w:rFonts w:ascii="宋体" w:hAnsi="宋体" w:cs="Times New Roman"/>
          <w:iCs/>
          <w:sz w:val="21"/>
          <w:szCs w:val="21"/>
          <w:lang w:bidi="en-US"/>
        </w:rPr>
        <w:t>营业收入0.55亿元，与去年同期相比下降45.97%，与2019年全年的2.14亿元相比下滑明显。2020年上半年经营业绩的下滑使得杰恩设计、山</w:t>
      </w:r>
      <w:proofErr w:type="gramStart"/>
      <w:r w:rsidRPr="00251592">
        <w:rPr>
          <w:rFonts w:ascii="宋体" w:hAnsi="宋体" w:cs="Times New Roman"/>
          <w:iCs/>
          <w:sz w:val="21"/>
          <w:szCs w:val="21"/>
          <w:lang w:bidi="en-US"/>
        </w:rPr>
        <w:t>鼎设计</w:t>
      </w:r>
      <w:proofErr w:type="gramEnd"/>
      <w:r w:rsidRPr="00251592">
        <w:rPr>
          <w:rFonts w:ascii="宋体" w:hAnsi="宋体" w:cs="Times New Roman"/>
          <w:iCs/>
          <w:sz w:val="21"/>
          <w:szCs w:val="21"/>
          <w:lang w:bidi="en-US"/>
        </w:rPr>
        <w:t>的应收账款（</w:t>
      </w:r>
      <w:proofErr w:type="gramStart"/>
      <w:r w:rsidRPr="00251592">
        <w:rPr>
          <w:rFonts w:ascii="宋体" w:hAnsi="宋体" w:cs="Times New Roman"/>
          <w:iCs/>
          <w:sz w:val="21"/>
          <w:szCs w:val="21"/>
          <w:lang w:bidi="en-US"/>
        </w:rPr>
        <w:t>含合同</w:t>
      </w:r>
      <w:proofErr w:type="gramEnd"/>
      <w:r w:rsidRPr="00251592">
        <w:rPr>
          <w:rFonts w:ascii="宋体" w:hAnsi="宋体" w:cs="Times New Roman"/>
          <w:iCs/>
          <w:sz w:val="21"/>
          <w:szCs w:val="21"/>
          <w:lang w:bidi="en-US"/>
        </w:rPr>
        <w:t>资产）余额略有下降。</w:t>
      </w:r>
      <w:bookmarkEnd w:id="12"/>
    </w:p>
    <w:p w14:paraId="312130DC" w14:textId="77777777" w:rsidR="00C17BBD" w:rsidRPr="00251592" w:rsidRDefault="00C17BBD" w:rsidP="00C17BBD">
      <w:pPr>
        <w:pStyle w:val="14"/>
        <w:ind w:firstLine="420"/>
        <w:rPr>
          <w:rFonts w:ascii="宋体" w:hAnsi="宋体" w:cs="Times New Roman"/>
          <w:iCs/>
          <w:sz w:val="21"/>
          <w:szCs w:val="21"/>
          <w:lang w:bidi="en-US"/>
        </w:rPr>
      </w:pPr>
      <w:r w:rsidRPr="00251592">
        <w:rPr>
          <w:rFonts w:ascii="宋体" w:hAnsi="宋体"/>
          <w:iCs/>
          <w:sz w:val="21"/>
          <w:szCs w:val="21"/>
          <w:lang w:bidi="en-US"/>
        </w:rPr>
        <w:t>2019年至2020年，公司应收账款余额由21,235.39万元增长至32,638.42万元，增幅达53.70%，主要原因为：</w:t>
      </w:r>
      <w:r w:rsidRPr="00251592">
        <w:rPr>
          <w:rFonts w:ascii="宋体" w:hAnsi="宋体" w:hint="eastAsia"/>
          <w:iCs/>
          <w:sz w:val="21"/>
          <w:szCs w:val="21"/>
          <w:lang w:bidi="en-US"/>
        </w:rPr>
        <w:t>第一，业务规模扩大所致。</w:t>
      </w:r>
      <w:r w:rsidRPr="00251592">
        <w:rPr>
          <w:rFonts w:ascii="宋体" w:hAnsi="宋体"/>
          <w:iCs/>
          <w:sz w:val="21"/>
          <w:szCs w:val="21"/>
          <w:lang w:bidi="en-US"/>
        </w:rPr>
        <w:t>2019年至2020年</w:t>
      </w:r>
      <w:r w:rsidRPr="00251592">
        <w:rPr>
          <w:rFonts w:ascii="宋体" w:hAnsi="宋体" w:hint="eastAsia"/>
          <w:iCs/>
          <w:sz w:val="21"/>
          <w:szCs w:val="21"/>
          <w:lang w:bidi="en-US"/>
        </w:rPr>
        <w:t>，公司营业收入增幅达</w:t>
      </w:r>
      <w:r w:rsidRPr="00251592">
        <w:rPr>
          <w:rFonts w:ascii="宋体" w:hAnsi="宋体"/>
          <w:iCs/>
          <w:sz w:val="21"/>
          <w:szCs w:val="21"/>
          <w:lang w:bidi="en-US"/>
        </w:rPr>
        <w:t>19.33%</w:t>
      </w:r>
      <w:r w:rsidRPr="00251592">
        <w:rPr>
          <w:rFonts w:ascii="宋体" w:hAnsi="宋体" w:hint="eastAsia"/>
          <w:iCs/>
          <w:sz w:val="21"/>
          <w:szCs w:val="21"/>
          <w:lang w:bidi="en-US"/>
        </w:rPr>
        <w:t>，相应带动应收账款同步增长；第二，2020年8月，监管部门出台房地产融资新</w:t>
      </w:r>
      <w:proofErr w:type="gramStart"/>
      <w:r w:rsidRPr="00251592">
        <w:rPr>
          <w:rFonts w:ascii="宋体" w:hAnsi="宋体" w:hint="eastAsia"/>
          <w:iCs/>
          <w:sz w:val="21"/>
          <w:szCs w:val="21"/>
          <w:lang w:bidi="en-US"/>
        </w:rPr>
        <w:t>规</w:t>
      </w:r>
      <w:proofErr w:type="gramEnd"/>
      <w:r w:rsidRPr="00251592">
        <w:rPr>
          <w:rFonts w:ascii="宋体" w:hAnsi="宋体" w:hint="eastAsia"/>
          <w:iCs/>
          <w:sz w:val="21"/>
          <w:szCs w:val="21"/>
          <w:lang w:bidi="en-US"/>
        </w:rPr>
        <w:t>，设置“三道红线”控制房地产企业有息债务的增长，2020年12月31日，央行、银保监会公布《关于建立银行业金融机构房地产贷款集中度管理制度的通知》，分档设置房地产贷款余额占比和个人住房贷款余额占比两个上限。在上述融资政策的影响下，公司下游客户的资金面进一步趋紧，加之疫情因素叠加影响，使得回款速度进一步放缓。</w:t>
      </w:r>
    </w:p>
    <w:bookmarkEnd w:id="13"/>
    <w:p w14:paraId="615C3D43"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2、</w:t>
      </w:r>
      <w:r w:rsidRPr="00251592">
        <w:rPr>
          <w:rFonts w:ascii="宋体" w:eastAsia="宋体" w:hAnsi="宋体"/>
          <w:szCs w:val="21"/>
        </w:rPr>
        <w:t>1年以上应收账款快速上升的原因</w:t>
      </w:r>
    </w:p>
    <w:p w14:paraId="6ACD548A" w14:textId="77777777" w:rsidR="00C17BBD" w:rsidRPr="00251592" w:rsidRDefault="00C17BBD" w:rsidP="00C17BBD">
      <w:pPr>
        <w:pStyle w:val="14"/>
        <w:ind w:firstLine="420"/>
        <w:rPr>
          <w:rFonts w:ascii="宋体" w:hAnsi="宋体" w:cs="Times New Roman"/>
          <w:iCs/>
          <w:sz w:val="21"/>
          <w:szCs w:val="21"/>
          <w:lang w:bidi="en-US"/>
        </w:rPr>
      </w:pPr>
      <w:bookmarkStart w:id="14" w:name="_Hlk55654195"/>
      <w:bookmarkStart w:id="15" w:name="_Hlk55645237"/>
      <w:r w:rsidRPr="00251592">
        <w:rPr>
          <w:rFonts w:ascii="宋体" w:hAnsi="宋体" w:cs="Times New Roman"/>
          <w:iCs/>
          <w:sz w:val="21"/>
          <w:szCs w:val="21"/>
          <w:lang w:bidi="en-US"/>
        </w:rPr>
        <w:t>2019年末至2020年6月末，公司1年以上应收账款余额由3,609.20万元增长至6,570.74万元,占应收账款余额的比例由17.00%提升至26.68%，增幅较大，主要原因为：2020年上半</w:t>
      </w:r>
      <w:r w:rsidRPr="00251592">
        <w:rPr>
          <w:rFonts w:ascii="宋体" w:hAnsi="宋体" w:cs="Times New Roman"/>
          <w:iCs/>
          <w:sz w:val="21"/>
          <w:szCs w:val="21"/>
          <w:lang w:bidi="en-US"/>
        </w:rPr>
        <w:lastRenderedPageBreak/>
        <w:t>年，下游房地产开发商受疫情冲击，生产经营受一定影响，复工复产时间较晚、内部资金付款审批有所放缓，进一步使得包括公司在内的建筑设计公司应收账款有所增长、</w:t>
      </w:r>
      <w:proofErr w:type="gramStart"/>
      <w:r w:rsidRPr="00251592">
        <w:rPr>
          <w:rFonts w:ascii="宋体" w:hAnsi="宋体" w:cs="Times New Roman"/>
          <w:iCs/>
          <w:sz w:val="21"/>
          <w:szCs w:val="21"/>
          <w:lang w:bidi="en-US"/>
        </w:rPr>
        <w:t>且账龄结构</w:t>
      </w:r>
      <w:proofErr w:type="gramEnd"/>
      <w:r w:rsidRPr="00251592">
        <w:rPr>
          <w:rFonts w:ascii="宋体" w:hAnsi="宋体" w:cs="Times New Roman"/>
          <w:iCs/>
          <w:sz w:val="21"/>
          <w:szCs w:val="21"/>
          <w:lang w:bidi="en-US"/>
        </w:rPr>
        <w:t>有所延长。公司与同行业上市公司2019年末至2020年6月末的应收账款（</w:t>
      </w:r>
      <w:proofErr w:type="gramStart"/>
      <w:r w:rsidRPr="00251592">
        <w:rPr>
          <w:rFonts w:ascii="宋体" w:hAnsi="宋体" w:cs="Times New Roman"/>
          <w:iCs/>
          <w:sz w:val="21"/>
          <w:szCs w:val="21"/>
          <w:lang w:bidi="en-US"/>
        </w:rPr>
        <w:t>含合同</w:t>
      </w:r>
      <w:proofErr w:type="gramEnd"/>
      <w:r w:rsidRPr="00251592">
        <w:rPr>
          <w:rFonts w:ascii="宋体" w:hAnsi="宋体" w:cs="Times New Roman"/>
          <w:iCs/>
          <w:sz w:val="21"/>
          <w:szCs w:val="21"/>
          <w:lang w:bidi="en-US"/>
        </w:rPr>
        <w:t>资产）账</w:t>
      </w:r>
      <w:proofErr w:type="gramStart"/>
      <w:r w:rsidRPr="00251592">
        <w:rPr>
          <w:rFonts w:ascii="宋体" w:hAnsi="宋体" w:cs="Times New Roman"/>
          <w:iCs/>
          <w:sz w:val="21"/>
          <w:szCs w:val="21"/>
          <w:lang w:bidi="en-US"/>
        </w:rPr>
        <w:t>龄情况</w:t>
      </w:r>
      <w:proofErr w:type="gramEnd"/>
      <w:r w:rsidRPr="00251592">
        <w:rPr>
          <w:rFonts w:ascii="宋体" w:hAnsi="宋体" w:cs="Times New Roman"/>
          <w:iCs/>
          <w:sz w:val="21"/>
          <w:szCs w:val="21"/>
          <w:lang w:bidi="en-US"/>
        </w:rPr>
        <w:t>如下：</w:t>
      </w:r>
    </w:p>
    <w:tbl>
      <w:tblPr>
        <w:tblW w:w="5000" w:type="pct"/>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833"/>
        <w:gridCol w:w="3173"/>
        <w:gridCol w:w="2004"/>
        <w:gridCol w:w="1512"/>
      </w:tblGrid>
      <w:tr w:rsidR="00C17BBD" w:rsidRPr="00251592" w14:paraId="53A03817" w14:textId="77777777" w:rsidTr="00622023">
        <w:trPr>
          <w:trHeight w:val="397"/>
          <w:jc w:val="center"/>
        </w:trPr>
        <w:tc>
          <w:tcPr>
            <w:tcW w:w="1075" w:type="pct"/>
            <w:vAlign w:val="center"/>
          </w:tcPr>
          <w:p w14:paraId="6231103E"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公司名称</w:t>
            </w:r>
          </w:p>
        </w:tc>
        <w:tc>
          <w:tcPr>
            <w:tcW w:w="1861" w:type="pct"/>
            <w:vAlign w:val="center"/>
          </w:tcPr>
          <w:p w14:paraId="0F48F9C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应收账款（</w:t>
            </w:r>
            <w:proofErr w:type="gramStart"/>
            <w:r w:rsidRPr="00251592">
              <w:rPr>
                <w:rFonts w:ascii="宋体" w:eastAsia="宋体" w:hAnsi="宋体" w:cs="Times New Roman"/>
                <w:color w:val="000000"/>
                <w:kern w:val="0"/>
                <w:sz w:val="18"/>
                <w:szCs w:val="18"/>
              </w:rPr>
              <w:t>含合同</w:t>
            </w:r>
            <w:proofErr w:type="gramEnd"/>
            <w:r w:rsidRPr="00251592">
              <w:rPr>
                <w:rFonts w:ascii="宋体" w:eastAsia="宋体" w:hAnsi="宋体" w:cs="Times New Roman"/>
                <w:color w:val="000000"/>
                <w:kern w:val="0"/>
                <w:sz w:val="18"/>
                <w:szCs w:val="18"/>
              </w:rPr>
              <w:t>资产）</w:t>
            </w:r>
          </w:p>
        </w:tc>
        <w:tc>
          <w:tcPr>
            <w:tcW w:w="1176" w:type="pct"/>
            <w:shd w:val="clear" w:color="auto" w:fill="auto"/>
            <w:vAlign w:val="center"/>
            <w:hideMark/>
          </w:tcPr>
          <w:p w14:paraId="7DA25C24"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2020年6月末</w:t>
            </w:r>
          </w:p>
        </w:tc>
        <w:tc>
          <w:tcPr>
            <w:tcW w:w="887" w:type="pct"/>
            <w:shd w:val="clear" w:color="auto" w:fill="auto"/>
            <w:vAlign w:val="center"/>
            <w:hideMark/>
          </w:tcPr>
          <w:p w14:paraId="58B5DB05"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2019年末</w:t>
            </w:r>
          </w:p>
        </w:tc>
      </w:tr>
      <w:tr w:rsidR="00C17BBD" w:rsidRPr="00251592" w14:paraId="72F6CF43" w14:textId="77777777" w:rsidTr="00622023">
        <w:trPr>
          <w:trHeight w:val="397"/>
          <w:jc w:val="center"/>
        </w:trPr>
        <w:tc>
          <w:tcPr>
            <w:tcW w:w="1075" w:type="pct"/>
            <w:vMerge w:val="restart"/>
            <w:vAlign w:val="center"/>
          </w:tcPr>
          <w:p w14:paraId="4494AC1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iCs/>
                <w:kern w:val="0"/>
                <w:sz w:val="18"/>
                <w:szCs w:val="18"/>
              </w:rPr>
              <w:t>杰恩设计</w:t>
            </w:r>
          </w:p>
        </w:tc>
        <w:tc>
          <w:tcPr>
            <w:tcW w:w="1861" w:type="pct"/>
            <w:vAlign w:val="center"/>
          </w:tcPr>
          <w:p w14:paraId="1699B642"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一年以内占比</w:t>
            </w:r>
          </w:p>
        </w:tc>
        <w:tc>
          <w:tcPr>
            <w:tcW w:w="1176" w:type="pct"/>
            <w:shd w:val="clear" w:color="auto" w:fill="auto"/>
            <w:vAlign w:val="center"/>
          </w:tcPr>
          <w:p w14:paraId="21F1D0A7"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55.47%</w:t>
            </w:r>
          </w:p>
        </w:tc>
        <w:tc>
          <w:tcPr>
            <w:tcW w:w="887" w:type="pct"/>
            <w:shd w:val="clear" w:color="auto" w:fill="auto"/>
            <w:vAlign w:val="center"/>
          </w:tcPr>
          <w:p w14:paraId="54DE65DE"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62.75%</w:t>
            </w:r>
          </w:p>
        </w:tc>
      </w:tr>
      <w:tr w:rsidR="00C17BBD" w:rsidRPr="00251592" w14:paraId="7C012B6C" w14:textId="77777777" w:rsidTr="00622023">
        <w:trPr>
          <w:trHeight w:val="397"/>
          <w:jc w:val="center"/>
        </w:trPr>
        <w:tc>
          <w:tcPr>
            <w:tcW w:w="1075" w:type="pct"/>
            <w:vMerge/>
            <w:vAlign w:val="center"/>
          </w:tcPr>
          <w:p w14:paraId="017A2079" w14:textId="77777777" w:rsidR="00C17BBD" w:rsidRPr="00251592" w:rsidRDefault="00C17BBD" w:rsidP="008A2055">
            <w:pPr>
              <w:widowControl/>
              <w:jc w:val="center"/>
              <w:rPr>
                <w:rFonts w:ascii="宋体" w:eastAsia="宋体" w:hAnsi="宋体" w:cs="Times New Roman"/>
                <w:iCs/>
                <w:kern w:val="0"/>
                <w:sz w:val="18"/>
                <w:szCs w:val="18"/>
              </w:rPr>
            </w:pPr>
          </w:p>
        </w:tc>
        <w:tc>
          <w:tcPr>
            <w:tcW w:w="1861" w:type="pct"/>
            <w:vAlign w:val="center"/>
          </w:tcPr>
          <w:p w14:paraId="453C816C"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一年以上占比</w:t>
            </w:r>
          </w:p>
        </w:tc>
        <w:tc>
          <w:tcPr>
            <w:tcW w:w="1176" w:type="pct"/>
            <w:shd w:val="clear" w:color="auto" w:fill="auto"/>
            <w:vAlign w:val="center"/>
          </w:tcPr>
          <w:p w14:paraId="3D3DE04E"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44.53%</w:t>
            </w:r>
          </w:p>
        </w:tc>
        <w:tc>
          <w:tcPr>
            <w:tcW w:w="887" w:type="pct"/>
            <w:shd w:val="clear" w:color="auto" w:fill="auto"/>
            <w:vAlign w:val="center"/>
          </w:tcPr>
          <w:p w14:paraId="09D2EE00"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37.25%</w:t>
            </w:r>
          </w:p>
        </w:tc>
      </w:tr>
      <w:tr w:rsidR="00C17BBD" w:rsidRPr="00251592" w14:paraId="0A33BE85" w14:textId="77777777" w:rsidTr="00622023">
        <w:trPr>
          <w:trHeight w:val="397"/>
          <w:jc w:val="center"/>
        </w:trPr>
        <w:tc>
          <w:tcPr>
            <w:tcW w:w="1075" w:type="pct"/>
            <w:vMerge w:val="restart"/>
            <w:vAlign w:val="center"/>
          </w:tcPr>
          <w:p w14:paraId="53EBBBA1" w14:textId="77777777" w:rsidR="00C17BBD" w:rsidRPr="00251592" w:rsidRDefault="00C17BBD" w:rsidP="008A2055">
            <w:pPr>
              <w:widowControl/>
              <w:jc w:val="center"/>
              <w:rPr>
                <w:rFonts w:ascii="宋体" w:eastAsia="宋体" w:hAnsi="宋体" w:cs="Times New Roman"/>
                <w:color w:val="000000" w:themeColor="text1"/>
                <w:kern w:val="0"/>
                <w:sz w:val="18"/>
                <w:szCs w:val="18"/>
              </w:rPr>
            </w:pPr>
            <w:proofErr w:type="gramStart"/>
            <w:r w:rsidRPr="00251592">
              <w:rPr>
                <w:rFonts w:ascii="宋体" w:eastAsia="宋体" w:hAnsi="宋体" w:cs="Times New Roman"/>
                <w:iCs/>
                <w:kern w:val="0"/>
                <w:sz w:val="18"/>
                <w:szCs w:val="18"/>
              </w:rPr>
              <w:t>筑博设计</w:t>
            </w:r>
            <w:proofErr w:type="gramEnd"/>
          </w:p>
        </w:tc>
        <w:tc>
          <w:tcPr>
            <w:tcW w:w="1861" w:type="pct"/>
            <w:vAlign w:val="center"/>
          </w:tcPr>
          <w:p w14:paraId="1589F0D3" w14:textId="77777777" w:rsidR="00C17BBD" w:rsidRPr="00251592" w:rsidRDefault="00C17BBD" w:rsidP="008A2055">
            <w:pPr>
              <w:widowControl/>
              <w:jc w:val="center"/>
              <w:rPr>
                <w:rFonts w:ascii="宋体" w:eastAsia="宋体" w:hAnsi="宋体" w:cs="Times New Roman"/>
                <w:color w:val="000000" w:themeColor="text1"/>
                <w:kern w:val="0"/>
                <w:sz w:val="18"/>
                <w:szCs w:val="18"/>
              </w:rPr>
            </w:pPr>
            <w:r w:rsidRPr="00251592">
              <w:rPr>
                <w:rFonts w:ascii="宋体" w:eastAsia="宋体" w:hAnsi="宋体" w:cs="Times New Roman"/>
                <w:color w:val="000000"/>
                <w:kern w:val="0"/>
                <w:sz w:val="18"/>
                <w:szCs w:val="18"/>
              </w:rPr>
              <w:t>一年以内占比</w:t>
            </w:r>
          </w:p>
        </w:tc>
        <w:tc>
          <w:tcPr>
            <w:tcW w:w="1176" w:type="pct"/>
            <w:shd w:val="clear" w:color="auto" w:fill="auto"/>
            <w:vAlign w:val="center"/>
          </w:tcPr>
          <w:p w14:paraId="67E88041"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59.01%</w:t>
            </w:r>
          </w:p>
        </w:tc>
        <w:tc>
          <w:tcPr>
            <w:tcW w:w="887" w:type="pct"/>
            <w:shd w:val="clear" w:color="auto" w:fill="auto"/>
            <w:vAlign w:val="center"/>
          </w:tcPr>
          <w:p w14:paraId="5D8D20E4"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66.20%</w:t>
            </w:r>
          </w:p>
        </w:tc>
      </w:tr>
      <w:tr w:rsidR="00C17BBD" w:rsidRPr="00251592" w14:paraId="01AFF9D2" w14:textId="77777777" w:rsidTr="00622023">
        <w:trPr>
          <w:trHeight w:val="397"/>
          <w:jc w:val="center"/>
        </w:trPr>
        <w:tc>
          <w:tcPr>
            <w:tcW w:w="1075" w:type="pct"/>
            <w:vMerge/>
            <w:vAlign w:val="center"/>
          </w:tcPr>
          <w:p w14:paraId="7E20B92C" w14:textId="77777777" w:rsidR="00C17BBD" w:rsidRPr="00251592" w:rsidRDefault="00C17BBD" w:rsidP="008A2055">
            <w:pPr>
              <w:widowControl/>
              <w:jc w:val="center"/>
              <w:rPr>
                <w:rFonts w:ascii="宋体" w:eastAsia="宋体" w:hAnsi="宋体" w:cs="Times New Roman"/>
                <w:iCs/>
                <w:kern w:val="0"/>
                <w:sz w:val="18"/>
                <w:szCs w:val="18"/>
              </w:rPr>
            </w:pPr>
          </w:p>
        </w:tc>
        <w:tc>
          <w:tcPr>
            <w:tcW w:w="1861" w:type="pct"/>
            <w:vAlign w:val="center"/>
          </w:tcPr>
          <w:p w14:paraId="486CCA6A" w14:textId="77777777" w:rsidR="00C17BBD" w:rsidRPr="00251592" w:rsidRDefault="00C17BBD" w:rsidP="008A2055">
            <w:pPr>
              <w:widowControl/>
              <w:jc w:val="center"/>
              <w:rPr>
                <w:rFonts w:ascii="宋体" w:eastAsia="宋体" w:hAnsi="宋体" w:cs="Times New Roman"/>
                <w:color w:val="000000" w:themeColor="text1"/>
                <w:kern w:val="0"/>
                <w:sz w:val="18"/>
                <w:szCs w:val="18"/>
              </w:rPr>
            </w:pPr>
            <w:r w:rsidRPr="00251592">
              <w:rPr>
                <w:rFonts w:ascii="宋体" w:eastAsia="宋体" w:hAnsi="宋体" w:cs="Times New Roman"/>
                <w:color w:val="000000"/>
                <w:kern w:val="0"/>
                <w:sz w:val="18"/>
                <w:szCs w:val="18"/>
              </w:rPr>
              <w:t>一年以上占比</w:t>
            </w:r>
          </w:p>
        </w:tc>
        <w:tc>
          <w:tcPr>
            <w:tcW w:w="1176" w:type="pct"/>
            <w:shd w:val="clear" w:color="auto" w:fill="auto"/>
            <w:vAlign w:val="center"/>
          </w:tcPr>
          <w:p w14:paraId="109E210C"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40.99%</w:t>
            </w:r>
          </w:p>
        </w:tc>
        <w:tc>
          <w:tcPr>
            <w:tcW w:w="887" w:type="pct"/>
            <w:shd w:val="clear" w:color="auto" w:fill="auto"/>
            <w:vAlign w:val="center"/>
          </w:tcPr>
          <w:p w14:paraId="1D66895A"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33.80%</w:t>
            </w:r>
          </w:p>
        </w:tc>
      </w:tr>
      <w:tr w:rsidR="00C17BBD" w:rsidRPr="00251592" w14:paraId="4686CCCB" w14:textId="77777777" w:rsidTr="00622023">
        <w:trPr>
          <w:trHeight w:val="397"/>
          <w:jc w:val="center"/>
        </w:trPr>
        <w:tc>
          <w:tcPr>
            <w:tcW w:w="1075" w:type="pct"/>
            <w:vMerge w:val="restart"/>
            <w:vAlign w:val="center"/>
          </w:tcPr>
          <w:p w14:paraId="570FA2A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iCs/>
                <w:kern w:val="0"/>
                <w:sz w:val="18"/>
                <w:szCs w:val="18"/>
              </w:rPr>
              <w:t>华阳国际</w:t>
            </w:r>
          </w:p>
        </w:tc>
        <w:tc>
          <w:tcPr>
            <w:tcW w:w="1861" w:type="pct"/>
            <w:vAlign w:val="center"/>
          </w:tcPr>
          <w:p w14:paraId="0DDF2DA6"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一年以内占比</w:t>
            </w:r>
          </w:p>
        </w:tc>
        <w:tc>
          <w:tcPr>
            <w:tcW w:w="2063" w:type="pct"/>
            <w:gridSpan w:val="2"/>
            <w:vMerge w:val="restart"/>
            <w:shd w:val="clear" w:color="auto" w:fill="auto"/>
            <w:vAlign w:val="center"/>
          </w:tcPr>
          <w:p w14:paraId="45E6E909" w14:textId="77777777" w:rsidR="00C17BBD" w:rsidRPr="00251592" w:rsidRDefault="00C17BBD" w:rsidP="008A2055">
            <w:pPr>
              <w:widowControl/>
              <w:jc w:val="center"/>
              <w:rPr>
                <w:rFonts w:ascii="宋体" w:eastAsia="宋体" w:hAnsi="宋体" w:cs="Times New Roman"/>
                <w:sz w:val="18"/>
                <w:szCs w:val="18"/>
                <w:lang w:bidi="en-US"/>
              </w:rPr>
            </w:pPr>
            <w:r w:rsidRPr="00251592">
              <w:rPr>
                <w:rFonts w:ascii="宋体" w:eastAsia="宋体" w:hAnsi="宋体" w:cs="Times New Roman"/>
                <w:sz w:val="18"/>
                <w:szCs w:val="18"/>
                <w:lang w:bidi="en-US"/>
              </w:rPr>
              <w:t>未披露合同资产的账龄</w:t>
            </w:r>
          </w:p>
        </w:tc>
      </w:tr>
      <w:tr w:rsidR="00C17BBD" w:rsidRPr="00251592" w14:paraId="3DFEF8D7" w14:textId="77777777" w:rsidTr="00622023">
        <w:trPr>
          <w:trHeight w:val="397"/>
          <w:jc w:val="center"/>
        </w:trPr>
        <w:tc>
          <w:tcPr>
            <w:tcW w:w="1075" w:type="pct"/>
            <w:vMerge/>
            <w:vAlign w:val="center"/>
          </w:tcPr>
          <w:p w14:paraId="3C6B6F5F" w14:textId="77777777" w:rsidR="00C17BBD" w:rsidRPr="00251592" w:rsidRDefault="00C17BBD" w:rsidP="008A2055">
            <w:pPr>
              <w:widowControl/>
              <w:jc w:val="center"/>
              <w:rPr>
                <w:rFonts w:ascii="宋体" w:eastAsia="宋体" w:hAnsi="宋体" w:cs="Times New Roman"/>
                <w:iCs/>
                <w:kern w:val="0"/>
                <w:sz w:val="18"/>
                <w:szCs w:val="18"/>
              </w:rPr>
            </w:pPr>
          </w:p>
        </w:tc>
        <w:tc>
          <w:tcPr>
            <w:tcW w:w="1861" w:type="pct"/>
            <w:vAlign w:val="center"/>
          </w:tcPr>
          <w:p w14:paraId="009C715F"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一年以上占比</w:t>
            </w:r>
          </w:p>
        </w:tc>
        <w:tc>
          <w:tcPr>
            <w:tcW w:w="2063" w:type="pct"/>
            <w:gridSpan w:val="2"/>
            <w:vMerge/>
            <w:shd w:val="clear" w:color="auto" w:fill="auto"/>
            <w:vAlign w:val="center"/>
          </w:tcPr>
          <w:p w14:paraId="0CB60588" w14:textId="77777777" w:rsidR="00C17BBD" w:rsidRPr="00251592" w:rsidRDefault="00C17BBD" w:rsidP="008A2055">
            <w:pPr>
              <w:widowControl/>
              <w:jc w:val="right"/>
              <w:rPr>
                <w:rFonts w:ascii="宋体" w:eastAsia="宋体" w:hAnsi="宋体" w:cs="Times New Roman"/>
                <w:sz w:val="18"/>
                <w:szCs w:val="18"/>
                <w:lang w:bidi="en-US"/>
              </w:rPr>
            </w:pPr>
          </w:p>
        </w:tc>
      </w:tr>
      <w:tr w:rsidR="00C17BBD" w:rsidRPr="00251592" w14:paraId="3978FD96" w14:textId="77777777" w:rsidTr="00622023">
        <w:trPr>
          <w:trHeight w:val="397"/>
          <w:jc w:val="center"/>
        </w:trPr>
        <w:tc>
          <w:tcPr>
            <w:tcW w:w="1075" w:type="pct"/>
            <w:vMerge w:val="restart"/>
            <w:vAlign w:val="center"/>
          </w:tcPr>
          <w:p w14:paraId="799D2B8D"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iCs/>
                <w:kern w:val="0"/>
                <w:sz w:val="18"/>
                <w:szCs w:val="18"/>
              </w:rPr>
              <w:t>山</w:t>
            </w:r>
            <w:proofErr w:type="gramStart"/>
            <w:r w:rsidRPr="00251592">
              <w:rPr>
                <w:rFonts w:ascii="宋体" w:eastAsia="宋体" w:hAnsi="宋体" w:cs="Times New Roman"/>
                <w:iCs/>
                <w:kern w:val="0"/>
                <w:sz w:val="18"/>
                <w:szCs w:val="18"/>
              </w:rPr>
              <w:t>鼎设计</w:t>
            </w:r>
            <w:proofErr w:type="gramEnd"/>
          </w:p>
        </w:tc>
        <w:tc>
          <w:tcPr>
            <w:tcW w:w="1861" w:type="pct"/>
            <w:vAlign w:val="center"/>
          </w:tcPr>
          <w:p w14:paraId="1D9CC7D8"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一年以内占比</w:t>
            </w:r>
          </w:p>
        </w:tc>
        <w:tc>
          <w:tcPr>
            <w:tcW w:w="1176" w:type="pct"/>
            <w:shd w:val="clear" w:color="auto" w:fill="auto"/>
            <w:vAlign w:val="center"/>
          </w:tcPr>
          <w:p w14:paraId="22AB7A9E"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46.78%</w:t>
            </w:r>
          </w:p>
        </w:tc>
        <w:tc>
          <w:tcPr>
            <w:tcW w:w="887" w:type="pct"/>
            <w:shd w:val="clear" w:color="auto" w:fill="auto"/>
            <w:vAlign w:val="center"/>
          </w:tcPr>
          <w:p w14:paraId="278BCE60"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52.94%</w:t>
            </w:r>
          </w:p>
        </w:tc>
      </w:tr>
      <w:tr w:rsidR="00C17BBD" w:rsidRPr="00251592" w14:paraId="593362D8" w14:textId="77777777" w:rsidTr="00622023">
        <w:trPr>
          <w:trHeight w:val="397"/>
          <w:jc w:val="center"/>
        </w:trPr>
        <w:tc>
          <w:tcPr>
            <w:tcW w:w="1075" w:type="pct"/>
            <w:vMerge/>
            <w:vAlign w:val="center"/>
          </w:tcPr>
          <w:p w14:paraId="71A52C9F"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1861" w:type="pct"/>
            <w:vAlign w:val="center"/>
          </w:tcPr>
          <w:p w14:paraId="68ADB46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一年以上占比</w:t>
            </w:r>
          </w:p>
        </w:tc>
        <w:tc>
          <w:tcPr>
            <w:tcW w:w="1176" w:type="pct"/>
            <w:shd w:val="clear" w:color="auto" w:fill="auto"/>
            <w:vAlign w:val="center"/>
          </w:tcPr>
          <w:p w14:paraId="6AEE3811"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53.22%</w:t>
            </w:r>
          </w:p>
        </w:tc>
        <w:tc>
          <w:tcPr>
            <w:tcW w:w="887" w:type="pct"/>
            <w:shd w:val="clear" w:color="auto" w:fill="auto"/>
            <w:vAlign w:val="center"/>
          </w:tcPr>
          <w:p w14:paraId="4FE9D8EA"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47.06%</w:t>
            </w:r>
          </w:p>
        </w:tc>
      </w:tr>
      <w:tr w:rsidR="00C17BBD" w:rsidRPr="00251592" w14:paraId="7703D3E5" w14:textId="77777777" w:rsidTr="00622023">
        <w:trPr>
          <w:trHeight w:val="397"/>
          <w:jc w:val="center"/>
        </w:trPr>
        <w:tc>
          <w:tcPr>
            <w:tcW w:w="1075" w:type="pct"/>
            <w:vMerge w:val="restart"/>
            <w:vAlign w:val="center"/>
          </w:tcPr>
          <w:p w14:paraId="2363F082"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霍普股份</w:t>
            </w:r>
          </w:p>
        </w:tc>
        <w:tc>
          <w:tcPr>
            <w:tcW w:w="1861" w:type="pct"/>
            <w:vAlign w:val="center"/>
          </w:tcPr>
          <w:p w14:paraId="4C0E5E4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一年以内占比</w:t>
            </w:r>
          </w:p>
        </w:tc>
        <w:tc>
          <w:tcPr>
            <w:tcW w:w="1176" w:type="pct"/>
            <w:shd w:val="clear" w:color="auto" w:fill="auto"/>
            <w:vAlign w:val="center"/>
          </w:tcPr>
          <w:p w14:paraId="5E42B1D6"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73.32%</w:t>
            </w:r>
          </w:p>
        </w:tc>
        <w:tc>
          <w:tcPr>
            <w:tcW w:w="887" w:type="pct"/>
            <w:shd w:val="clear" w:color="auto" w:fill="auto"/>
            <w:vAlign w:val="center"/>
          </w:tcPr>
          <w:p w14:paraId="3FAD50DC"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83.00%</w:t>
            </w:r>
          </w:p>
        </w:tc>
      </w:tr>
      <w:tr w:rsidR="00C17BBD" w:rsidRPr="00251592" w14:paraId="0CAF210C" w14:textId="77777777" w:rsidTr="00622023">
        <w:trPr>
          <w:trHeight w:val="397"/>
          <w:jc w:val="center"/>
        </w:trPr>
        <w:tc>
          <w:tcPr>
            <w:tcW w:w="1075" w:type="pct"/>
            <w:vMerge/>
            <w:vAlign w:val="center"/>
          </w:tcPr>
          <w:p w14:paraId="68E4FF6F" w14:textId="77777777" w:rsidR="00C17BBD" w:rsidRPr="00251592" w:rsidRDefault="00C17BBD" w:rsidP="008A2055">
            <w:pPr>
              <w:widowControl/>
              <w:jc w:val="center"/>
              <w:rPr>
                <w:rFonts w:ascii="宋体" w:eastAsia="宋体" w:hAnsi="宋体" w:cs="Times New Roman"/>
                <w:color w:val="000000"/>
                <w:kern w:val="0"/>
                <w:sz w:val="18"/>
                <w:szCs w:val="18"/>
              </w:rPr>
            </w:pPr>
          </w:p>
        </w:tc>
        <w:tc>
          <w:tcPr>
            <w:tcW w:w="1861" w:type="pct"/>
            <w:vAlign w:val="center"/>
          </w:tcPr>
          <w:p w14:paraId="34284048"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一年以上占比</w:t>
            </w:r>
          </w:p>
        </w:tc>
        <w:tc>
          <w:tcPr>
            <w:tcW w:w="1176" w:type="pct"/>
            <w:shd w:val="clear" w:color="auto" w:fill="auto"/>
            <w:vAlign w:val="center"/>
          </w:tcPr>
          <w:p w14:paraId="0736E6C5"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26.68%</w:t>
            </w:r>
          </w:p>
        </w:tc>
        <w:tc>
          <w:tcPr>
            <w:tcW w:w="887" w:type="pct"/>
            <w:shd w:val="clear" w:color="auto" w:fill="auto"/>
            <w:vAlign w:val="center"/>
          </w:tcPr>
          <w:p w14:paraId="603FDA86" w14:textId="77777777" w:rsidR="00C17BBD" w:rsidRPr="00251592" w:rsidRDefault="00C17BBD" w:rsidP="008A2055">
            <w:pPr>
              <w:widowControl/>
              <w:jc w:val="right"/>
              <w:rPr>
                <w:rFonts w:ascii="宋体" w:eastAsia="宋体" w:hAnsi="宋体" w:cs="Times New Roman"/>
                <w:sz w:val="18"/>
                <w:szCs w:val="18"/>
                <w:lang w:bidi="en-US"/>
              </w:rPr>
            </w:pPr>
            <w:r w:rsidRPr="00251592">
              <w:rPr>
                <w:rFonts w:ascii="宋体" w:eastAsia="宋体" w:hAnsi="宋体" w:cs="Times New Roman"/>
                <w:sz w:val="18"/>
                <w:szCs w:val="18"/>
                <w:lang w:bidi="en-US"/>
              </w:rPr>
              <w:t>17.00%</w:t>
            </w:r>
          </w:p>
        </w:tc>
      </w:tr>
    </w:tbl>
    <w:p w14:paraId="35937F15" w14:textId="77777777" w:rsidR="00C17BBD" w:rsidRPr="00251592" w:rsidRDefault="00C17BBD" w:rsidP="00C17BBD">
      <w:pPr>
        <w:pStyle w:val="14"/>
        <w:spacing w:beforeLines="0" w:line="240" w:lineRule="auto"/>
        <w:ind w:firstLine="420"/>
        <w:rPr>
          <w:rFonts w:ascii="宋体" w:hAnsi="宋体" w:cs="Times New Roman"/>
          <w:iCs/>
          <w:sz w:val="21"/>
          <w:szCs w:val="21"/>
          <w:lang w:bidi="en-US"/>
        </w:rPr>
      </w:pPr>
      <w:r w:rsidRPr="00251592">
        <w:rPr>
          <w:rFonts w:ascii="宋体" w:hAnsi="宋体" w:cs="Times New Roman"/>
          <w:iCs/>
          <w:sz w:val="21"/>
          <w:szCs w:val="21"/>
          <w:lang w:bidi="en-US"/>
        </w:rPr>
        <w:t>注：1、杰恩设计2020年半年报未披露合同资产的账龄，2020年6月末，杰恩设计应收账款余额</w:t>
      </w:r>
      <w:r w:rsidRPr="00251592">
        <w:rPr>
          <w:rFonts w:ascii="宋体" w:hAnsi="宋体" w:cs="Times New Roman"/>
          <w:color w:val="000000"/>
          <w:sz w:val="21"/>
          <w:szCs w:val="21"/>
        </w:rPr>
        <w:t>27,783.43万元、合同资产余额1,735.07万元，合同资产余额较小，因而使用</w:t>
      </w:r>
      <w:r w:rsidRPr="00251592">
        <w:rPr>
          <w:rFonts w:ascii="宋体" w:hAnsi="宋体" w:cs="Times New Roman"/>
          <w:iCs/>
          <w:sz w:val="21"/>
          <w:szCs w:val="21"/>
          <w:lang w:bidi="en-US"/>
        </w:rPr>
        <w:t>应收账款余额账</w:t>
      </w:r>
      <w:proofErr w:type="gramStart"/>
      <w:r w:rsidRPr="00251592">
        <w:rPr>
          <w:rFonts w:ascii="宋体" w:hAnsi="宋体" w:cs="Times New Roman"/>
          <w:iCs/>
          <w:sz w:val="21"/>
          <w:szCs w:val="21"/>
          <w:lang w:bidi="en-US"/>
        </w:rPr>
        <w:t>龄情况</w:t>
      </w:r>
      <w:proofErr w:type="gramEnd"/>
      <w:r w:rsidRPr="00251592">
        <w:rPr>
          <w:rFonts w:ascii="宋体" w:hAnsi="宋体" w:cs="Times New Roman"/>
          <w:iCs/>
          <w:sz w:val="21"/>
          <w:szCs w:val="21"/>
          <w:lang w:bidi="en-US"/>
        </w:rPr>
        <w:t>具有代表性。</w:t>
      </w:r>
    </w:p>
    <w:p w14:paraId="767F2B88" w14:textId="77777777" w:rsidR="00C17BBD" w:rsidRPr="00251592" w:rsidRDefault="00C17BBD" w:rsidP="00C17BBD">
      <w:pPr>
        <w:pStyle w:val="14"/>
        <w:spacing w:beforeLines="0" w:line="240" w:lineRule="auto"/>
        <w:ind w:firstLine="420"/>
        <w:rPr>
          <w:rFonts w:ascii="宋体" w:hAnsi="宋体" w:cs="Times New Roman"/>
          <w:iCs/>
          <w:sz w:val="21"/>
          <w:szCs w:val="21"/>
          <w:lang w:bidi="en-US"/>
        </w:rPr>
      </w:pPr>
      <w:r w:rsidRPr="00251592">
        <w:rPr>
          <w:rFonts w:ascii="宋体" w:hAnsi="宋体" w:cs="Times New Roman"/>
          <w:iCs/>
          <w:sz w:val="21"/>
          <w:szCs w:val="21"/>
          <w:lang w:bidi="en-US"/>
        </w:rPr>
        <w:t>2、</w:t>
      </w:r>
      <w:r w:rsidRPr="00251592">
        <w:rPr>
          <w:rFonts w:ascii="宋体" w:hAnsi="宋体" w:cs="Times New Roman"/>
          <w:iCs/>
          <w:sz w:val="21"/>
          <w:szCs w:val="21"/>
        </w:rPr>
        <w:t>华阳国际</w:t>
      </w:r>
      <w:r w:rsidRPr="00251592">
        <w:rPr>
          <w:rFonts w:ascii="宋体" w:hAnsi="宋体" w:cs="Times New Roman"/>
          <w:iCs/>
          <w:sz w:val="21"/>
          <w:szCs w:val="21"/>
          <w:lang w:bidi="en-US"/>
        </w:rPr>
        <w:t>2020年半年报未披露合同资产的账龄，2020年6月末，</w:t>
      </w:r>
      <w:r w:rsidRPr="00251592">
        <w:rPr>
          <w:rFonts w:ascii="宋体" w:hAnsi="宋体" w:cs="Times New Roman"/>
          <w:iCs/>
          <w:sz w:val="21"/>
          <w:szCs w:val="21"/>
        </w:rPr>
        <w:t>华阳国际</w:t>
      </w:r>
      <w:r w:rsidRPr="00251592">
        <w:rPr>
          <w:rFonts w:ascii="宋体" w:hAnsi="宋体" w:cs="Times New Roman"/>
          <w:iCs/>
          <w:sz w:val="21"/>
          <w:szCs w:val="21"/>
          <w:lang w:bidi="en-US"/>
        </w:rPr>
        <w:t>应收账款余额</w:t>
      </w:r>
      <w:r w:rsidRPr="00251592">
        <w:rPr>
          <w:rFonts w:ascii="宋体" w:hAnsi="宋体" w:cs="Times New Roman"/>
          <w:color w:val="000000"/>
          <w:sz w:val="21"/>
          <w:szCs w:val="21"/>
        </w:rPr>
        <w:t>19,985.07万元、合同资产余额44,692.51万元，合同资产余额较大，因而使用</w:t>
      </w:r>
      <w:r w:rsidRPr="00251592">
        <w:rPr>
          <w:rFonts w:ascii="宋体" w:hAnsi="宋体" w:cs="Times New Roman"/>
          <w:iCs/>
          <w:sz w:val="21"/>
          <w:szCs w:val="21"/>
          <w:lang w:bidi="en-US"/>
        </w:rPr>
        <w:t>应收账款余额账</w:t>
      </w:r>
      <w:proofErr w:type="gramStart"/>
      <w:r w:rsidRPr="00251592">
        <w:rPr>
          <w:rFonts w:ascii="宋体" w:hAnsi="宋体" w:cs="Times New Roman"/>
          <w:iCs/>
          <w:sz w:val="21"/>
          <w:szCs w:val="21"/>
          <w:lang w:bidi="en-US"/>
        </w:rPr>
        <w:t>龄情况</w:t>
      </w:r>
      <w:proofErr w:type="gramEnd"/>
      <w:r w:rsidRPr="00251592">
        <w:rPr>
          <w:rFonts w:ascii="宋体" w:hAnsi="宋体" w:cs="Times New Roman"/>
          <w:iCs/>
          <w:sz w:val="21"/>
          <w:szCs w:val="21"/>
          <w:lang w:bidi="en-US"/>
        </w:rPr>
        <w:t>不具有代表性。</w:t>
      </w:r>
    </w:p>
    <w:p w14:paraId="07B5F79F" w14:textId="77777777" w:rsidR="00C17BBD" w:rsidRPr="00251592" w:rsidRDefault="00C17BBD" w:rsidP="00C17BBD">
      <w:pPr>
        <w:pStyle w:val="14"/>
        <w:ind w:firstLine="420"/>
        <w:rPr>
          <w:rFonts w:ascii="宋体" w:hAnsi="宋体" w:cs="Times New Roman"/>
          <w:iCs/>
          <w:sz w:val="21"/>
          <w:szCs w:val="21"/>
          <w:lang w:bidi="en-US"/>
        </w:rPr>
      </w:pPr>
      <w:r w:rsidRPr="00251592">
        <w:rPr>
          <w:rFonts w:ascii="宋体" w:hAnsi="宋体" w:cs="Times New Roman"/>
          <w:iCs/>
          <w:sz w:val="21"/>
          <w:szCs w:val="21"/>
          <w:lang w:bidi="en-US"/>
        </w:rPr>
        <w:t>由上表可见，2019年末至2020年6月末，同行业上市公司一年以上应收</w:t>
      </w:r>
      <w:proofErr w:type="gramStart"/>
      <w:r w:rsidRPr="00251592">
        <w:rPr>
          <w:rFonts w:ascii="宋体" w:hAnsi="宋体" w:cs="Times New Roman"/>
          <w:iCs/>
          <w:sz w:val="21"/>
          <w:szCs w:val="21"/>
          <w:lang w:bidi="en-US"/>
        </w:rPr>
        <w:t>账款占</w:t>
      </w:r>
      <w:proofErr w:type="gramEnd"/>
      <w:r w:rsidRPr="00251592">
        <w:rPr>
          <w:rFonts w:ascii="宋体" w:hAnsi="宋体" w:cs="Times New Roman"/>
          <w:iCs/>
          <w:sz w:val="21"/>
          <w:szCs w:val="21"/>
          <w:lang w:bidi="en-US"/>
        </w:rPr>
        <w:t>比均有所上升，公司与同行业上市公司变化趋势一致。整体来看，公司账</w:t>
      </w:r>
      <w:proofErr w:type="gramStart"/>
      <w:r w:rsidRPr="00251592">
        <w:rPr>
          <w:rFonts w:ascii="宋体" w:hAnsi="宋体" w:cs="Times New Roman"/>
          <w:iCs/>
          <w:sz w:val="21"/>
          <w:szCs w:val="21"/>
          <w:lang w:bidi="en-US"/>
        </w:rPr>
        <w:t>龄结构</w:t>
      </w:r>
      <w:proofErr w:type="gramEnd"/>
      <w:r w:rsidRPr="00251592">
        <w:rPr>
          <w:rFonts w:ascii="宋体" w:hAnsi="宋体" w:cs="Times New Roman"/>
          <w:iCs/>
          <w:sz w:val="21"/>
          <w:szCs w:val="21"/>
          <w:lang w:bidi="en-US"/>
        </w:rPr>
        <w:t>优于同行业上市公司，一年以内应收</w:t>
      </w:r>
      <w:proofErr w:type="gramStart"/>
      <w:r w:rsidRPr="00251592">
        <w:rPr>
          <w:rFonts w:ascii="宋体" w:hAnsi="宋体" w:cs="Times New Roman"/>
          <w:iCs/>
          <w:sz w:val="21"/>
          <w:szCs w:val="21"/>
          <w:lang w:bidi="en-US"/>
        </w:rPr>
        <w:t>账款占比较</w:t>
      </w:r>
      <w:proofErr w:type="gramEnd"/>
      <w:r w:rsidRPr="00251592">
        <w:rPr>
          <w:rFonts w:ascii="宋体" w:hAnsi="宋体" w:cs="Times New Roman"/>
          <w:iCs/>
          <w:sz w:val="21"/>
          <w:szCs w:val="21"/>
          <w:lang w:bidi="en-US"/>
        </w:rPr>
        <w:t>高，应收账款整体质量较好。2020年6月末，公司一年以上账</w:t>
      </w:r>
      <w:proofErr w:type="gramStart"/>
      <w:r w:rsidRPr="00251592">
        <w:rPr>
          <w:rFonts w:ascii="宋体" w:hAnsi="宋体" w:cs="Times New Roman"/>
          <w:iCs/>
          <w:sz w:val="21"/>
          <w:szCs w:val="21"/>
          <w:lang w:bidi="en-US"/>
        </w:rPr>
        <w:t>龄</w:t>
      </w:r>
      <w:proofErr w:type="gramEnd"/>
      <w:r w:rsidRPr="00251592">
        <w:rPr>
          <w:rFonts w:ascii="宋体" w:hAnsi="宋体" w:cs="Times New Roman"/>
          <w:iCs/>
          <w:sz w:val="21"/>
          <w:szCs w:val="21"/>
          <w:lang w:bidi="en-US"/>
        </w:rPr>
        <w:t>应收</w:t>
      </w:r>
      <w:proofErr w:type="gramStart"/>
      <w:r w:rsidRPr="00251592">
        <w:rPr>
          <w:rFonts w:ascii="宋体" w:hAnsi="宋体" w:cs="Times New Roman"/>
          <w:iCs/>
          <w:sz w:val="21"/>
          <w:szCs w:val="21"/>
          <w:lang w:bidi="en-US"/>
        </w:rPr>
        <w:t>账款占</w:t>
      </w:r>
      <w:proofErr w:type="gramEnd"/>
      <w:r w:rsidRPr="00251592">
        <w:rPr>
          <w:rFonts w:ascii="宋体" w:hAnsi="宋体" w:cs="Times New Roman"/>
          <w:iCs/>
          <w:sz w:val="21"/>
          <w:szCs w:val="21"/>
          <w:lang w:bidi="en-US"/>
        </w:rPr>
        <w:t>比为26.68%，而同行业上市公司占比均高于40%，公司一年以上账</w:t>
      </w:r>
      <w:proofErr w:type="gramStart"/>
      <w:r w:rsidRPr="00251592">
        <w:rPr>
          <w:rFonts w:ascii="宋体" w:hAnsi="宋体" w:cs="Times New Roman"/>
          <w:iCs/>
          <w:sz w:val="21"/>
          <w:szCs w:val="21"/>
          <w:lang w:bidi="en-US"/>
        </w:rPr>
        <w:t>龄</w:t>
      </w:r>
      <w:proofErr w:type="gramEnd"/>
      <w:r w:rsidRPr="00251592">
        <w:rPr>
          <w:rFonts w:ascii="宋体" w:hAnsi="宋体" w:cs="Times New Roman"/>
          <w:iCs/>
          <w:sz w:val="21"/>
          <w:szCs w:val="21"/>
          <w:lang w:bidi="en-US"/>
        </w:rPr>
        <w:t>应收</w:t>
      </w:r>
      <w:proofErr w:type="gramStart"/>
      <w:r w:rsidRPr="00251592">
        <w:rPr>
          <w:rFonts w:ascii="宋体" w:hAnsi="宋体" w:cs="Times New Roman"/>
          <w:iCs/>
          <w:sz w:val="21"/>
          <w:szCs w:val="21"/>
          <w:lang w:bidi="en-US"/>
        </w:rPr>
        <w:t>账款占比显著</w:t>
      </w:r>
      <w:proofErr w:type="gramEnd"/>
      <w:r w:rsidRPr="00251592">
        <w:rPr>
          <w:rFonts w:ascii="宋体" w:hAnsi="宋体" w:cs="Times New Roman"/>
          <w:iCs/>
          <w:sz w:val="21"/>
          <w:szCs w:val="21"/>
          <w:lang w:bidi="en-US"/>
        </w:rPr>
        <w:t>低于同行业上市公司，账</w:t>
      </w:r>
      <w:proofErr w:type="gramStart"/>
      <w:r w:rsidRPr="00251592">
        <w:rPr>
          <w:rFonts w:ascii="宋体" w:hAnsi="宋体" w:cs="Times New Roman"/>
          <w:iCs/>
          <w:sz w:val="21"/>
          <w:szCs w:val="21"/>
          <w:lang w:bidi="en-US"/>
        </w:rPr>
        <w:t>龄结构</w:t>
      </w:r>
      <w:proofErr w:type="gramEnd"/>
      <w:r w:rsidRPr="00251592">
        <w:rPr>
          <w:rFonts w:ascii="宋体" w:hAnsi="宋体" w:cs="Times New Roman"/>
          <w:iCs/>
          <w:sz w:val="21"/>
          <w:szCs w:val="21"/>
          <w:lang w:bidi="en-US"/>
        </w:rPr>
        <w:t>较好。</w:t>
      </w:r>
      <w:bookmarkEnd w:id="14"/>
    </w:p>
    <w:p w14:paraId="1193705A" w14:textId="77777777" w:rsidR="00C17BBD" w:rsidRPr="00251592" w:rsidRDefault="00C17BBD" w:rsidP="00C17BBD">
      <w:pPr>
        <w:pStyle w:val="14"/>
        <w:ind w:firstLine="420"/>
        <w:rPr>
          <w:rFonts w:ascii="宋体" w:hAnsi="宋体"/>
          <w:iCs/>
          <w:sz w:val="21"/>
          <w:szCs w:val="21"/>
          <w:lang w:bidi="en-US"/>
        </w:rPr>
      </w:pPr>
      <w:r w:rsidRPr="00251592">
        <w:rPr>
          <w:rFonts w:ascii="宋体" w:hAnsi="宋体"/>
          <w:sz w:val="21"/>
          <w:szCs w:val="21"/>
        </w:rPr>
        <w:t>报告期各期末，</w:t>
      </w:r>
      <w:r w:rsidRPr="00251592">
        <w:rPr>
          <w:rFonts w:ascii="宋体" w:hAnsi="宋体"/>
          <w:iCs/>
          <w:sz w:val="21"/>
          <w:szCs w:val="21"/>
          <w:lang w:bidi="en-US"/>
        </w:rPr>
        <w:t>公司账龄一年以上应收账款金额分别为584.20万元、3,609.20万元和7,918.76万元，占各期末应收账款余额比例分别为5.99%、17.00%和24.26%</w:t>
      </w:r>
      <w:r w:rsidRPr="00251592">
        <w:rPr>
          <w:rFonts w:ascii="宋体" w:hAnsi="宋体"/>
          <w:sz w:val="21"/>
          <w:szCs w:val="21"/>
        </w:rPr>
        <w:t>。</w:t>
      </w:r>
    </w:p>
    <w:p w14:paraId="6049F05B"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kern w:val="0"/>
          <w:szCs w:val="21"/>
          <w:lang w:bidi="en-US"/>
        </w:rPr>
        <w:t>2019年、2020年以来，账龄一年以上的应收款大幅增长的原因为：第一，2018年、2019年，发行人账龄一年以上的应收款的基数相对较低，应收</w:t>
      </w:r>
      <w:proofErr w:type="gramStart"/>
      <w:r w:rsidRPr="00251592">
        <w:rPr>
          <w:rFonts w:ascii="宋体" w:eastAsia="宋体" w:hAnsi="宋体" w:cs="Times New Roman"/>
          <w:iCs/>
          <w:kern w:val="0"/>
          <w:szCs w:val="21"/>
          <w:lang w:bidi="en-US"/>
        </w:rPr>
        <w:t>款结构</w:t>
      </w:r>
      <w:proofErr w:type="gramEnd"/>
      <w:r w:rsidRPr="00251592">
        <w:rPr>
          <w:rFonts w:ascii="宋体" w:eastAsia="宋体" w:hAnsi="宋体" w:cs="Times New Roman"/>
          <w:iCs/>
          <w:kern w:val="0"/>
          <w:szCs w:val="21"/>
          <w:lang w:bidi="en-US"/>
        </w:rPr>
        <w:t>情况优于同行业公司。2018年、2019年账龄一年以上的应收款占比仅为5.99%、17.00%，而同行业可比公司杰恩设计、</w:t>
      </w:r>
      <w:proofErr w:type="gramStart"/>
      <w:r w:rsidRPr="00251592">
        <w:rPr>
          <w:rFonts w:ascii="宋体" w:eastAsia="宋体" w:hAnsi="宋体" w:cs="Times New Roman"/>
          <w:iCs/>
          <w:kern w:val="0"/>
          <w:szCs w:val="21"/>
          <w:lang w:bidi="en-US"/>
        </w:rPr>
        <w:lastRenderedPageBreak/>
        <w:t>筑博设计</w:t>
      </w:r>
      <w:proofErr w:type="gramEnd"/>
      <w:r w:rsidRPr="00251592">
        <w:rPr>
          <w:rFonts w:ascii="宋体" w:eastAsia="宋体" w:hAnsi="宋体" w:cs="Times New Roman"/>
          <w:iCs/>
          <w:kern w:val="0"/>
          <w:szCs w:val="21"/>
          <w:lang w:bidi="en-US"/>
        </w:rPr>
        <w:t>、华阳国际、山鼎设计、尤安设计账龄一年以上的应收款占比普遍在30%-40%之间，发行人账龄一年以上的应收款占比低于同行业可比公司，因而以2018年、2019年为基础计算的2018年至2019年、2019年至2020年的账龄一年以上的应收款的增幅较大；第二，报告期内，随着发行人下游房地产行业调控政策的持续深化，房地产行业融资渠道持续趋紧、监管趋严、融资成本进一步上升，以及2020年受疫情影响，房地产开发商生产经营受一定影响，复工复产时间较晚、内部资金付款审批有所放缓，使得发行人销售回款进一步放缓，使得期末应收账款增幅较快、账</w:t>
      </w:r>
      <w:proofErr w:type="gramStart"/>
      <w:r w:rsidRPr="00251592">
        <w:rPr>
          <w:rFonts w:ascii="宋体" w:eastAsia="宋体" w:hAnsi="宋体" w:cs="Times New Roman"/>
          <w:iCs/>
          <w:kern w:val="0"/>
          <w:szCs w:val="21"/>
          <w:lang w:bidi="en-US"/>
        </w:rPr>
        <w:t>龄结构</w:t>
      </w:r>
      <w:proofErr w:type="gramEnd"/>
      <w:r w:rsidRPr="00251592">
        <w:rPr>
          <w:rFonts w:ascii="宋体" w:eastAsia="宋体" w:hAnsi="宋体" w:cs="Times New Roman"/>
          <w:iCs/>
          <w:kern w:val="0"/>
          <w:szCs w:val="21"/>
          <w:lang w:bidi="en-US"/>
        </w:rPr>
        <w:t>拉长，账龄一年以上的应收款占</w:t>
      </w:r>
      <w:proofErr w:type="gramStart"/>
      <w:r w:rsidRPr="00251592">
        <w:rPr>
          <w:rFonts w:ascii="宋体" w:eastAsia="宋体" w:hAnsi="宋体" w:cs="Times New Roman"/>
          <w:iCs/>
          <w:kern w:val="0"/>
          <w:szCs w:val="21"/>
          <w:lang w:bidi="en-US"/>
        </w:rPr>
        <w:t>比逐步趋</w:t>
      </w:r>
      <w:proofErr w:type="gramEnd"/>
      <w:r w:rsidRPr="00251592">
        <w:rPr>
          <w:rFonts w:ascii="宋体" w:eastAsia="宋体" w:hAnsi="宋体" w:cs="Times New Roman"/>
          <w:iCs/>
          <w:kern w:val="0"/>
          <w:szCs w:val="21"/>
          <w:lang w:bidi="en-US"/>
        </w:rPr>
        <w:t>近于行业普遍水平；第三，2020年末，公司一年以上账</w:t>
      </w:r>
      <w:proofErr w:type="gramStart"/>
      <w:r w:rsidRPr="00251592">
        <w:rPr>
          <w:rFonts w:ascii="宋体" w:eastAsia="宋体" w:hAnsi="宋体" w:cs="Times New Roman"/>
          <w:iCs/>
          <w:kern w:val="0"/>
          <w:szCs w:val="21"/>
          <w:lang w:bidi="en-US"/>
        </w:rPr>
        <w:t>龄</w:t>
      </w:r>
      <w:proofErr w:type="gramEnd"/>
      <w:r w:rsidRPr="00251592">
        <w:rPr>
          <w:rFonts w:ascii="宋体" w:eastAsia="宋体" w:hAnsi="宋体" w:cs="Times New Roman"/>
          <w:iCs/>
          <w:kern w:val="0"/>
          <w:szCs w:val="21"/>
          <w:lang w:bidi="en-US"/>
        </w:rPr>
        <w:t>应收</w:t>
      </w:r>
      <w:proofErr w:type="gramStart"/>
      <w:r w:rsidRPr="00251592">
        <w:rPr>
          <w:rFonts w:ascii="宋体" w:eastAsia="宋体" w:hAnsi="宋体" w:cs="Times New Roman"/>
          <w:iCs/>
          <w:kern w:val="0"/>
          <w:szCs w:val="21"/>
          <w:lang w:bidi="en-US"/>
        </w:rPr>
        <w:t>账款占</w:t>
      </w:r>
      <w:proofErr w:type="gramEnd"/>
      <w:r w:rsidRPr="00251592">
        <w:rPr>
          <w:rFonts w:ascii="宋体" w:eastAsia="宋体" w:hAnsi="宋体" w:cs="Times New Roman"/>
          <w:iCs/>
          <w:kern w:val="0"/>
          <w:szCs w:val="21"/>
          <w:lang w:bidi="en-US"/>
        </w:rPr>
        <w:t>比为24.26%，公司一年以上账</w:t>
      </w:r>
      <w:proofErr w:type="gramStart"/>
      <w:r w:rsidRPr="00251592">
        <w:rPr>
          <w:rFonts w:ascii="宋体" w:eastAsia="宋体" w:hAnsi="宋体" w:cs="Times New Roman"/>
          <w:iCs/>
          <w:kern w:val="0"/>
          <w:szCs w:val="21"/>
          <w:lang w:bidi="en-US"/>
        </w:rPr>
        <w:t>龄</w:t>
      </w:r>
      <w:proofErr w:type="gramEnd"/>
      <w:r w:rsidRPr="00251592">
        <w:rPr>
          <w:rFonts w:ascii="宋体" w:eastAsia="宋体" w:hAnsi="宋体" w:cs="Times New Roman"/>
          <w:iCs/>
          <w:kern w:val="0"/>
          <w:szCs w:val="21"/>
          <w:lang w:bidi="en-US"/>
        </w:rPr>
        <w:t>应收</w:t>
      </w:r>
      <w:proofErr w:type="gramStart"/>
      <w:r w:rsidRPr="00251592">
        <w:rPr>
          <w:rFonts w:ascii="宋体" w:eastAsia="宋体" w:hAnsi="宋体" w:cs="Times New Roman"/>
          <w:iCs/>
          <w:kern w:val="0"/>
          <w:szCs w:val="21"/>
          <w:lang w:bidi="en-US"/>
        </w:rPr>
        <w:t>账款占</w:t>
      </w:r>
      <w:proofErr w:type="gramEnd"/>
      <w:r w:rsidRPr="00251592">
        <w:rPr>
          <w:rFonts w:ascii="宋体" w:eastAsia="宋体" w:hAnsi="宋体" w:cs="Times New Roman"/>
          <w:iCs/>
          <w:kern w:val="0"/>
          <w:szCs w:val="21"/>
          <w:lang w:bidi="en-US"/>
        </w:rPr>
        <w:t>比低于同行业上市公司，账</w:t>
      </w:r>
      <w:proofErr w:type="gramStart"/>
      <w:r w:rsidRPr="00251592">
        <w:rPr>
          <w:rFonts w:ascii="宋体" w:eastAsia="宋体" w:hAnsi="宋体" w:cs="Times New Roman"/>
          <w:iCs/>
          <w:kern w:val="0"/>
          <w:szCs w:val="21"/>
          <w:lang w:bidi="en-US"/>
        </w:rPr>
        <w:t>龄结构</w:t>
      </w:r>
      <w:proofErr w:type="gramEnd"/>
      <w:r w:rsidRPr="00251592">
        <w:rPr>
          <w:rFonts w:ascii="宋体" w:eastAsia="宋体" w:hAnsi="宋体" w:cs="Times New Roman"/>
          <w:iCs/>
          <w:kern w:val="0"/>
          <w:szCs w:val="21"/>
          <w:lang w:bidi="en-US"/>
        </w:rPr>
        <w:t>较好。</w:t>
      </w:r>
    </w:p>
    <w:bookmarkEnd w:id="15"/>
    <w:p w14:paraId="0F96ADBA"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（二）</w:t>
      </w:r>
      <w:r w:rsidRPr="00251592">
        <w:rPr>
          <w:rFonts w:ascii="宋体" w:eastAsia="宋体" w:hAnsi="宋体"/>
          <w:sz w:val="21"/>
          <w:szCs w:val="21"/>
        </w:rPr>
        <w:t>补充披露报告期内涉及第一大客户保利的相关应收账款情况，包括但不限于金额、占比及变动情况、是否存在较大回收风险等，说明核销的两笔涉及保利的应收账款具体情况、核销的具体原因</w:t>
      </w:r>
    </w:p>
    <w:p w14:paraId="229363CE"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1、</w:t>
      </w:r>
      <w:bookmarkStart w:id="16" w:name="_Hlk55333303"/>
      <w:r w:rsidRPr="00251592">
        <w:rPr>
          <w:rFonts w:ascii="宋体" w:eastAsia="宋体" w:hAnsi="宋体"/>
          <w:szCs w:val="21"/>
        </w:rPr>
        <w:t>报告期内涉及第一大客户保利的相关应收账款情况，包括但不限于金额、占比及变动情况、是否存在较大回收风险</w:t>
      </w:r>
      <w:bookmarkEnd w:id="16"/>
    </w:p>
    <w:p w14:paraId="490BBE53" w14:textId="2283F5C4" w:rsidR="00C17BBD" w:rsidRPr="00251592" w:rsidRDefault="00C17BBD" w:rsidP="00C17BBD">
      <w:pPr>
        <w:widowControl/>
        <w:adjustRightInd w:val="0"/>
        <w:spacing w:beforeLines="50" w:before="156" w:afterLines="50" w:after="156" w:line="360" w:lineRule="auto"/>
        <w:ind w:firstLineChars="200" w:firstLine="420"/>
        <w:rPr>
          <w:rFonts w:ascii="宋体" w:eastAsia="宋体" w:hAnsi="宋体" w:cs="Times New Roman"/>
          <w:szCs w:val="21"/>
        </w:rPr>
      </w:pPr>
      <w:bookmarkStart w:id="17" w:name="_Hlk55654454"/>
      <w:r w:rsidRPr="00251592">
        <w:rPr>
          <w:rFonts w:ascii="宋体" w:eastAsia="宋体" w:hAnsi="宋体" w:cs="Times New Roman"/>
          <w:szCs w:val="21"/>
        </w:rPr>
        <w:t xml:space="preserve"> 保利的相关应收账款情况，是否存在较大回收风险</w:t>
      </w:r>
    </w:p>
    <w:p w14:paraId="62914187" w14:textId="77777777" w:rsidR="00C17BBD" w:rsidRPr="00251592" w:rsidRDefault="00C17BBD" w:rsidP="00C17BBD">
      <w:pPr>
        <w:pStyle w:val="14"/>
        <w:ind w:firstLine="420"/>
        <w:rPr>
          <w:rFonts w:ascii="宋体" w:hAnsi="宋体"/>
          <w:iCs/>
          <w:sz w:val="21"/>
          <w:szCs w:val="21"/>
          <w:lang w:bidi="en-US"/>
        </w:rPr>
      </w:pPr>
      <w:r w:rsidRPr="00251592">
        <w:rPr>
          <w:rFonts w:ascii="宋体" w:hAnsi="宋体" w:hint="eastAsia"/>
          <w:iCs/>
          <w:sz w:val="21"/>
          <w:szCs w:val="21"/>
          <w:lang w:bidi="en-US"/>
        </w:rPr>
        <w:t>报告期各期，</w:t>
      </w:r>
      <w:r w:rsidRPr="00251592">
        <w:rPr>
          <w:rFonts w:ascii="宋体" w:hAnsi="宋体"/>
          <w:iCs/>
          <w:sz w:val="21"/>
          <w:szCs w:val="21"/>
          <w:lang w:bidi="en-US"/>
        </w:rPr>
        <w:t>公司</w:t>
      </w:r>
      <w:proofErr w:type="gramStart"/>
      <w:r w:rsidRPr="00251592">
        <w:rPr>
          <w:rFonts w:ascii="宋体" w:hAnsi="宋体"/>
          <w:iCs/>
          <w:sz w:val="21"/>
          <w:szCs w:val="21"/>
          <w:lang w:bidi="en-US"/>
        </w:rPr>
        <w:t>对保利</w:t>
      </w:r>
      <w:proofErr w:type="gramEnd"/>
      <w:r w:rsidRPr="00251592">
        <w:rPr>
          <w:rFonts w:ascii="宋体" w:hAnsi="宋体"/>
          <w:iCs/>
          <w:sz w:val="21"/>
          <w:szCs w:val="21"/>
          <w:lang w:bidi="en-US"/>
        </w:rPr>
        <w:t>的应收账款余额分别为3,610.27万元、9,382.07万元和</w:t>
      </w:r>
      <w:r w:rsidRPr="00251592">
        <w:rPr>
          <w:rFonts w:ascii="宋体" w:hAnsi="宋体" w:hint="eastAsia"/>
          <w:iCs/>
          <w:sz w:val="21"/>
          <w:szCs w:val="21"/>
          <w:lang w:bidi="en-US"/>
        </w:rPr>
        <w:t>15,873.62</w:t>
      </w:r>
      <w:r w:rsidRPr="00251592">
        <w:rPr>
          <w:rFonts w:ascii="宋体" w:hAnsi="宋体"/>
          <w:iCs/>
          <w:sz w:val="21"/>
          <w:szCs w:val="21"/>
          <w:lang w:bidi="en-US"/>
        </w:rPr>
        <w:t>万元，随着公司与保利业务规模的扩大而呈现逐年上升态势，占当期应收账款余额的比例分比为37.02%、44.18%和</w:t>
      </w:r>
      <w:r w:rsidRPr="00251592">
        <w:rPr>
          <w:rFonts w:ascii="宋体" w:hAnsi="宋体" w:hint="eastAsia"/>
          <w:iCs/>
          <w:sz w:val="21"/>
          <w:szCs w:val="21"/>
          <w:lang w:bidi="en-US"/>
        </w:rPr>
        <w:t>48.63%</w:t>
      </w:r>
      <w:r w:rsidRPr="00251592">
        <w:rPr>
          <w:rFonts w:ascii="宋体" w:hAnsi="宋体"/>
          <w:iCs/>
          <w:sz w:val="21"/>
          <w:szCs w:val="21"/>
          <w:lang w:bidi="en-US"/>
        </w:rPr>
        <w:t>，整体</w:t>
      </w:r>
      <w:proofErr w:type="gramStart"/>
      <w:r w:rsidRPr="00251592">
        <w:rPr>
          <w:rFonts w:ascii="宋体" w:hAnsi="宋体"/>
          <w:iCs/>
          <w:sz w:val="21"/>
          <w:szCs w:val="21"/>
          <w:lang w:bidi="en-US"/>
        </w:rPr>
        <w:t>占比较</w:t>
      </w:r>
      <w:proofErr w:type="gramEnd"/>
      <w:r w:rsidRPr="00251592">
        <w:rPr>
          <w:rFonts w:ascii="宋体" w:hAnsi="宋体"/>
          <w:iCs/>
          <w:sz w:val="21"/>
          <w:szCs w:val="21"/>
          <w:lang w:bidi="en-US"/>
        </w:rPr>
        <w:t>高，变动趋势整体与保利的收入占比变动趋势一致。</w:t>
      </w:r>
    </w:p>
    <w:p w14:paraId="798BCDE7" w14:textId="77777777" w:rsidR="00C17BBD" w:rsidRPr="00251592" w:rsidRDefault="00C17BBD" w:rsidP="00C17BBD">
      <w:pPr>
        <w:pStyle w:val="14"/>
        <w:ind w:firstLine="420"/>
        <w:rPr>
          <w:rFonts w:ascii="宋体" w:hAnsi="宋体" w:cs="Times New Roman"/>
          <w:iCs/>
          <w:sz w:val="21"/>
          <w:szCs w:val="21"/>
          <w:lang w:bidi="en-US"/>
        </w:rPr>
      </w:pPr>
      <w:r w:rsidRPr="00251592">
        <w:rPr>
          <w:rFonts w:ascii="宋体" w:hAnsi="宋体" w:cs="Times New Roman"/>
          <w:iCs/>
          <w:sz w:val="21"/>
          <w:szCs w:val="21"/>
          <w:lang w:bidi="en-US"/>
        </w:rPr>
        <w:t>上述应收账款回收风险较低，主要原因为：保利是国内龙头房地产开发商，主体信用等级常年保持在AAA，在近期出台的有关“三道红线”的融资新</w:t>
      </w:r>
      <w:proofErr w:type="gramStart"/>
      <w:r w:rsidRPr="00251592">
        <w:rPr>
          <w:rFonts w:ascii="宋体" w:hAnsi="宋体" w:cs="Times New Roman"/>
          <w:iCs/>
          <w:sz w:val="21"/>
          <w:szCs w:val="21"/>
          <w:lang w:bidi="en-US"/>
        </w:rPr>
        <w:t>规</w:t>
      </w:r>
      <w:proofErr w:type="gramEnd"/>
      <w:r w:rsidRPr="00251592">
        <w:rPr>
          <w:rFonts w:ascii="宋体" w:hAnsi="宋体" w:cs="Times New Roman"/>
          <w:iCs/>
          <w:sz w:val="21"/>
          <w:szCs w:val="21"/>
          <w:lang w:bidi="en-US"/>
        </w:rPr>
        <w:t>中，保利的</w:t>
      </w:r>
      <w:r w:rsidRPr="00251592">
        <w:rPr>
          <w:rFonts w:ascii="宋体" w:hAnsi="宋体" w:cs="Times New Roman"/>
          <w:sz w:val="21"/>
          <w:szCs w:val="21"/>
        </w:rPr>
        <w:t>“三线”均未超出阈值，归为绿档，总体经营稳健、指标健康，资金状况及偿债能力总体良好。</w:t>
      </w:r>
    </w:p>
    <w:bookmarkEnd w:id="17"/>
    <w:p w14:paraId="03670C69"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2、</w:t>
      </w:r>
      <w:r w:rsidRPr="00251592">
        <w:rPr>
          <w:rFonts w:ascii="宋体" w:eastAsia="宋体" w:hAnsi="宋体"/>
          <w:szCs w:val="21"/>
        </w:rPr>
        <w:t>说明核销的两笔涉及保利的应收账款具体情况、核销的具体原因</w:t>
      </w:r>
    </w:p>
    <w:p w14:paraId="2353C46E" w14:textId="77777777" w:rsidR="00C17BBD" w:rsidRPr="00251592" w:rsidRDefault="00C17BBD" w:rsidP="00C17BBD">
      <w:pPr>
        <w:pStyle w:val="14"/>
        <w:ind w:firstLine="420"/>
        <w:rPr>
          <w:rFonts w:ascii="宋体" w:hAnsi="宋体" w:cs="Times New Roman"/>
          <w:sz w:val="21"/>
          <w:szCs w:val="21"/>
        </w:rPr>
      </w:pPr>
      <w:r w:rsidRPr="00251592">
        <w:rPr>
          <w:rFonts w:ascii="宋体" w:hAnsi="宋体" w:hint="eastAsia"/>
          <w:sz w:val="21"/>
          <w:szCs w:val="21"/>
        </w:rPr>
        <w:t>2019年，发行人核销的两笔涉及保利的应收账款具体情况、核销的具体原因如下：</w:t>
      </w:r>
    </w:p>
    <w:p w14:paraId="5FA370D9" w14:textId="77777777" w:rsidR="00C17BBD" w:rsidRPr="00251592" w:rsidRDefault="00C17BBD" w:rsidP="00C17BBD">
      <w:pPr>
        <w:pStyle w:val="14"/>
        <w:spacing w:afterLines="0"/>
        <w:ind w:firstLine="420"/>
        <w:jc w:val="right"/>
        <w:rPr>
          <w:rFonts w:ascii="宋体" w:hAnsi="宋体" w:cs="Times New Roman"/>
          <w:sz w:val="21"/>
          <w:szCs w:val="21"/>
        </w:rPr>
      </w:pPr>
      <w:r w:rsidRPr="00251592">
        <w:rPr>
          <w:rFonts w:ascii="宋体" w:hAnsi="宋体" w:cs="Times New Roman"/>
          <w:sz w:val="21"/>
          <w:szCs w:val="21"/>
        </w:rPr>
        <w:t>单位：万元</w:t>
      </w:r>
    </w:p>
    <w:tbl>
      <w:tblPr>
        <w:tblW w:w="10485" w:type="dxa"/>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980"/>
        <w:gridCol w:w="1559"/>
        <w:gridCol w:w="1134"/>
        <w:gridCol w:w="851"/>
        <w:gridCol w:w="4961"/>
      </w:tblGrid>
      <w:tr w:rsidR="00C17BBD" w:rsidRPr="00251592" w14:paraId="3C4519D5" w14:textId="77777777" w:rsidTr="00622023">
        <w:trPr>
          <w:trHeight w:val="397"/>
          <w:jc w:val="center"/>
        </w:trPr>
        <w:tc>
          <w:tcPr>
            <w:tcW w:w="1980" w:type="dxa"/>
            <w:shd w:val="clear" w:color="auto" w:fill="auto"/>
            <w:noWrap/>
            <w:vAlign w:val="center"/>
            <w:hideMark/>
          </w:tcPr>
          <w:p w14:paraId="1C2D1A36"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单位名称</w:t>
            </w:r>
          </w:p>
        </w:tc>
        <w:tc>
          <w:tcPr>
            <w:tcW w:w="1559" w:type="dxa"/>
            <w:vAlign w:val="center"/>
          </w:tcPr>
          <w:p w14:paraId="09535A3E"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项目名称</w:t>
            </w:r>
          </w:p>
        </w:tc>
        <w:tc>
          <w:tcPr>
            <w:tcW w:w="1134" w:type="dxa"/>
            <w:shd w:val="clear" w:color="auto" w:fill="auto"/>
            <w:noWrap/>
            <w:vAlign w:val="center"/>
            <w:hideMark/>
          </w:tcPr>
          <w:p w14:paraId="5DB9C115"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核销金额</w:t>
            </w:r>
          </w:p>
        </w:tc>
        <w:tc>
          <w:tcPr>
            <w:tcW w:w="851" w:type="dxa"/>
            <w:shd w:val="clear" w:color="auto" w:fill="auto"/>
            <w:noWrap/>
            <w:vAlign w:val="center"/>
            <w:hideMark/>
          </w:tcPr>
          <w:p w14:paraId="3A31243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账龄</w:t>
            </w:r>
          </w:p>
        </w:tc>
        <w:tc>
          <w:tcPr>
            <w:tcW w:w="4961" w:type="dxa"/>
            <w:vAlign w:val="center"/>
          </w:tcPr>
          <w:p w14:paraId="0A460BF3"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核销具体原因</w:t>
            </w:r>
          </w:p>
        </w:tc>
      </w:tr>
      <w:tr w:rsidR="00C17BBD" w:rsidRPr="00251592" w14:paraId="320B6112" w14:textId="77777777" w:rsidTr="00622023">
        <w:trPr>
          <w:trHeight w:val="397"/>
          <w:jc w:val="center"/>
        </w:trPr>
        <w:tc>
          <w:tcPr>
            <w:tcW w:w="1980" w:type="dxa"/>
            <w:shd w:val="clear" w:color="auto" w:fill="auto"/>
            <w:noWrap/>
            <w:vAlign w:val="center"/>
          </w:tcPr>
          <w:p w14:paraId="41FCCED4"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lastRenderedPageBreak/>
              <w:t>保利（北京）房地产开发有限公司</w:t>
            </w:r>
          </w:p>
        </w:tc>
        <w:tc>
          <w:tcPr>
            <w:tcW w:w="1559" w:type="dxa"/>
            <w:vAlign w:val="center"/>
          </w:tcPr>
          <w:p w14:paraId="1A977BAD" w14:textId="77777777" w:rsidR="00C17BBD" w:rsidRPr="00251592" w:rsidRDefault="00C17BBD" w:rsidP="008A2055">
            <w:pPr>
              <w:widowControl/>
              <w:jc w:val="center"/>
              <w:rPr>
                <w:rFonts w:ascii="宋体" w:eastAsia="宋体" w:hAnsi="宋体" w:cs="Times New Roman"/>
                <w:color w:val="000000"/>
                <w:sz w:val="18"/>
                <w:szCs w:val="18"/>
              </w:rPr>
            </w:pPr>
            <w:r w:rsidRPr="00251592">
              <w:rPr>
                <w:rFonts w:ascii="宋体" w:eastAsia="宋体" w:hAnsi="宋体" w:cs="Times New Roman"/>
                <w:color w:val="000000"/>
                <w:sz w:val="18"/>
                <w:szCs w:val="18"/>
              </w:rPr>
              <w:t>北京市沙河高教园区D-23-2地块建设工程设计咨询</w:t>
            </w:r>
          </w:p>
        </w:tc>
        <w:tc>
          <w:tcPr>
            <w:tcW w:w="1134" w:type="dxa"/>
            <w:shd w:val="clear" w:color="auto" w:fill="auto"/>
            <w:noWrap/>
            <w:vAlign w:val="center"/>
          </w:tcPr>
          <w:p w14:paraId="40705B76"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122.88</w:t>
            </w:r>
          </w:p>
        </w:tc>
        <w:tc>
          <w:tcPr>
            <w:tcW w:w="851" w:type="dxa"/>
            <w:shd w:val="clear" w:color="auto" w:fill="auto"/>
            <w:noWrap/>
            <w:vAlign w:val="center"/>
          </w:tcPr>
          <w:p w14:paraId="31719FE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2-3年</w:t>
            </w:r>
          </w:p>
        </w:tc>
        <w:tc>
          <w:tcPr>
            <w:tcW w:w="4961" w:type="dxa"/>
            <w:vAlign w:val="center"/>
          </w:tcPr>
          <w:p w14:paraId="6F0F1E54" w14:textId="77777777" w:rsidR="00C17BBD" w:rsidRPr="00251592" w:rsidRDefault="00C17BBD" w:rsidP="008A2055">
            <w:pPr>
              <w:widowControl/>
              <w:jc w:val="center"/>
              <w:rPr>
                <w:rFonts w:ascii="宋体" w:eastAsia="宋体" w:hAnsi="宋体" w:cs="Times New Roman"/>
                <w:color w:val="000000"/>
                <w:sz w:val="18"/>
                <w:szCs w:val="18"/>
              </w:rPr>
            </w:pPr>
            <w:r w:rsidRPr="00251592">
              <w:rPr>
                <w:rFonts w:ascii="宋体" w:eastAsia="宋体" w:hAnsi="宋体" w:cs="Times New Roman"/>
                <w:color w:val="000000"/>
                <w:sz w:val="18"/>
                <w:szCs w:val="18"/>
              </w:rPr>
              <w:t>该项应收账款于2017年形成，已完成概念和中期方案设计，但因客户原因，项目开发计划推迟，后续经反复催收，公司预期款项收回的可能性较低</w:t>
            </w:r>
          </w:p>
        </w:tc>
      </w:tr>
      <w:tr w:rsidR="00C17BBD" w:rsidRPr="00251592" w14:paraId="7E5BE36F" w14:textId="77777777" w:rsidTr="00622023">
        <w:trPr>
          <w:trHeight w:val="397"/>
          <w:jc w:val="center"/>
        </w:trPr>
        <w:tc>
          <w:tcPr>
            <w:tcW w:w="1980" w:type="dxa"/>
            <w:shd w:val="clear" w:color="auto" w:fill="auto"/>
            <w:noWrap/>
            <w:vAlign w:val="center"/>
          </w:tcPr>
          <w:p w14:paraId="7997C062"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江门保利宏信房地产开发有限公司</w:t>
            </w:r>
          </w:p>
        </w:tc>
        <w:tc>
          <w:tcPr>
            <w:tcW w:w="1559" w:type="dxa"/>
            <w:vAlign w:val="center"/>
          </w:tcPr>
          <w:p w14:paraId="4DBC6F6E" w14:textId="77777777" w:rsidR="00C17BBD" w:rsidRPr="00251592" w:rsidRDefault="00C17BBD" w:rsidP="008A2055">
            <w:pPr>
              <w:widowControl/>
              <w:jc w:val="center"/>
              <w:rPr>
                <w:rFonts w:ascii="宋体" w:eastAsia="宋体" w:hAnsi="宋体" w:cs="Times New Roman"/>
                <w:color w:val="000000"/>
                <w:sz w:val="18"/>
                <w:szCs w:val="18"/>
              </w:rPr>
            </w:pPr>
            <w:r w:rsidRPr="00251592">
              <w:rPr>
                <w:rFonts w:ascii="宋体" w:eastAsia="宋体" w:hAnsi="宋体" w:cs="Times New Roman"/>
                <w:color w:val="000000"/>
                <w:sz w:val="18"/>
                <w:szCs w:val="18"/>
              </w:rPr>
              <w:t>江门保利台山项目</w:t>
            </w:r>
          </w:p>
        </w:tc>
        <w:tc>
          <w:tcPr>
            <w:tcW w:w="1134" w:type="dxa"/>
            <w:shd w:val="clear" w:color="auto" w:fill="auto"/>
            <w:noWrap/>
            <w:vAlign w:val="center"/>
          </w:tcPr>
          <w:p w14:paraId="510BA44E"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35.80</w:t>
            </w:r>
          </w:p>
        </w:tc>
        <w:tc>
          <w:tcPr>
            <w:tcW w:w="851" w:type="dxa"/>
            <w:shd w:val="clear" w:color="auto" w:fill="auto"/>
            <w:noWrap/>
            <w:vAlign w:val="center"/>
          </w:tcPr>
          <w:p w14:paraId="46AB19E7"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sz w:val="18"/>
                <w:szCs w:val="18"/>
              </w:rPr>
              <w:t>3年以上</w:t>
            </w:r>
          </w:p>
        </w:tc>
        <w:tc>
          <w:tcPr>
            <w:tcW w:w="4961" w:type="dxa"/>
            <w:vAlign w:val="center"/>
          </w:tcPr>
          <w:p w14:paraId="2D0D9D64" w14:textId="77777777" w:rsidR="00C17BBD" w:rsidRPr="00251592" w:rsidRDefault="00C17BBD" w:rsidP="008A2055">
            <w:pPr>
              <w:widowControl/>
              <w:jc w:val="center"/>
              <w:rPr>
                <w:rFonts w:ascii="宋体" w:eastAsia="宋体" w:hAnsi="宋体" w:cs="Times New Roman"/>
                <w:color w:val="000000"/>
                <w:sz w:val="18"/>
                <w:szCs w:val="18"/>
              </w:rPr>
            </w:pPr>
            <w:r w:rsidRPr="00251592">
              <w:rPr>
                <w:rFonts w:ascii="宋体" w:eastAsia="宋体" w:hAnsi="宋体" w:cs="Times New Roman"/>
                <w:color w:val="000000"/>
                <w:sz w:val="18"/>
                <w:szCs w:val="18"/>
              </w:rPr>
              <w:t>该项应收账款于2016年形成，因客户未如期取得土地，项目终止，后续经反复催收，公司预期款项收回的可能性较低</w:t>
            </w:r>
          </w:p>
        </w:tc>
      </w:tr>
    </w:tbl>
    <w:p w14:paraId="26311EEC" w14:textId="77777777" w:rsidR="00C17BBD" w:rsidRPr="00251592" w:rsidRDefault="00C17BBD" w:rsidP="00C17BBD">
      <w:pPr>
        <w:pStyle w:val="af9"/>
        <w:ind w:firstLine="420"/>
        <w:rPr>
          <w:rFonts w:ascii="宋体" w:eastAsia="宋体" w:hAnsi="宋体"/>
          <w:b w:val="0"/>
          <w:bCs w:val="0"/>
          <w:sz w:val="21"/>
          <w:szCs w:val="21"/>
        </w:rPr>
      </w:pPr>
      <w:r w:rsidRPr="00251592">
        <w:rPr>
          <w:rFonts w:ascii="宋体" w:eastAsia="宋体" w:hAnsi="宋体" w:hint="eastAsia"/>
          <w:b w:val="0"/>
          <w:bCs w:val="0"/>
          <w:sz w:val="21"/>
          <w:szCs w:val="21"/>
        </w:rPr>
        <w:t>（三）</w:t>
      </w:r>
      <w:r w:rsidRPr="00251592">
        <w:rPr>
          <w:rFonts w:ascii="宋体" w:eastAsia="宋体" w:hAnsi="宋体"/>
          <w:b w:val="0"/>
          <w:bCs w:val="0"/>
          <w:sz w:val="21"/>
          <w:szCs w:val="21"/>
        </w:rPr>
        <w:t>结合上述情况、应收</w:t>
      </w:r>
      <w:r w:rsidRPr="00251592">
        <w:rPr>
          <w:rFonts w:ascii="宋体" w:eastAsia="宋体" w:hAnsi="宋体" w:hint="eastAsia"/>
          <w:b w:val="0"/>
          <w:bCs w:val="0"/>
          <w:sz w:val="21"/>
          <w:szCs w:val="21"/>
        </w:rPr>
        <w:t>账款</w:t>
      </w:r>
      <w:r w:rsidRPr="00251592">
        <w:rPr>
          <w:rFonts w:ascii="宋体" w:eastAsia="宋体" w:hAnsi="宋体"/>
          <w:b w:val="0"/>
          <w:bCs w:val="0"/>
          <w:sz w:val="21"/>
          <w:szCs w:val="21"/>
        </w:rPr>
        <w:t>区域分布情况，充分披露发行人可能面临的应收账款风险、房地产区域调整风险，是否对发行人持续经营能力构成重大不利影响</w:t>
      </w:r>
    </w:p>
    <w:p w14:paraId="457C187A"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1、房地产行业调控风险</w:t>
      </w:r>
    </w:p>
    <w:p w14:paraId="2B162BBA"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公司所属的建筑设计行业与房地产行业密切相关。房地产行业具有一定的周期性，受宏观经济形势、产业政策调控影响明显。近年来，我国政府针对房地产行业出台了一系列调控政策，如“新国五条”，2018年4月央行、银保监会、证监会、外汇局联合发布《关于规范金融机构资产管理业务的指导意见》（“资管新规”），2019年5月银保监会发布《关于开展“巩固治乱象成果 促进合规建设”工作的通知》（“23号文”）等，上述政策从限制房地产企业融资规模、增加保障性住房和普通商品住房有效供给、抑制投资投机性购房需求、促进供应土地的及时开发利用等多个方面进行调控。同时，政府推出的限购、提高交易税费等短期调控政策，也直接影响了商品住宅的短期需求，一定程度上造成了房地产市场成交量的下降。这些经济政策都会对公司业务发展构成一定影响。在上述政策背景下，2019年度公司实现营业收入26,664.14万元，净利润6,366.53万元，增速有所放缓，同时当年经营回款情况有所下降，当年应收账款及应收票据占营业收入比例80.71%，较以前年度有所上升。</w:t>
      </w:r>
    </w:p>
    <w:p w14:paraId="0C9859B0" w14:textId="77777777" w:rsidR="00C17BBD" w:rsidRPr="00251592" w:rsidRDefault="00C17BBD" w:rsidP="00C17BBD">
      <w:pPr>
        <w:pStyle w:val="af7"/>
        <w:ind w:firstLine="420"/>
        <w:rPr>
          <w:rFonts w:ascii="宋体" w:eastAsia="宋体" w:hAnsi="宋体"/>
          <w:b w:val="0"/>
          <w:bCs w:val="0"/>
          <w:sz w:val="21"/>
          <w:szCs w:val="21"/>
        </w:rPr>
      </w:pPr>
      <w:bookmarkStart w:id="18" w:name="_Hlk55654598"/>
      <w:r w:rsidRPr="00251592">
        <w:rPr>
          <w:rFonts w:ascii="宋体" w:eastAsia="宋体" w:hAnsi="宋体"/>
          <w:b w:val="0"/>
          <w:bCs w:val="0"/>
          <w:sz w:val="21"/>
          <w:szCs w:val="21"/>
        </w:rPr>
        <w:t>同时，2020年8月，监管部门出台房地产融资新</w:t>
      </w:r>
      <w:proofErr w:type="gramStart"/>
      <w:r w:rsidRPr="00251592">
        <w:rPr>
          <w:rFonts w:ascii="宋体" w:eastAsia="宋体" w:hAnsi="宋体"/>
          <w:b w:val="0"/>
          <w:bCs w:val="0"/>
          <w:sz w:val="21"/>
          <w:szCs w:val="21"/>
        </w:rPr>
        <w:t>规</w:t>
      </w:r>
      <w:proofErr w:type="gramEnd"/>
      <w:r w:rsidRPr="00251592">
        <w:rPr>
          <w:rFonts w:ascii="宋体" w:eastAsia="宋体" w:hAnsi="宋体"/>
          <w:b w:val="0"/>
          <w:bCs w:val="0"/>
          <w:sz w:val="21"/>
          <w:szCs w:val="21"/>
        </w:rPr>
        <w:t>，设置“三道红线”控制房地产企业有息债务的增长，旨在保障地产行业的持续健康发展，通过</w:t>
      </w:r>
      <w:proofErr w:type="gramStart"/>
      <w:r w:rsidRPr="00251592">
        <w:rPr>
          <w:rFonts w:ascii="宋体" w:eastAsia="宋体" w:hAnsi="宋体"/>
          <w:b w:val="0"/>
          <w:bCs w:val="0"/>
          <w:sz w:val="21"/>
          <w:szCs w:val="21"/>
        </w:rPr>
        <w:t>控制房企有息</w:t>
      </w:r>
      <w:proofErr w:type="gramEnd"/>
      <w:r w:rsidRPr="00251592">
        <w:rPr>
          <w:rFonts w:ascii="宋体" w:eastAsia="宋体" w:hAnsi="宋体"/>
          <w:b w:val="0"/>
          <w:bCs w:val="0"/>
          <w:sz w:val="21"/>
          <w:szCs w:val="21"/>
        </w:rPr>
        <w:t>负债规模增长速度，对地产行业融资供给进行结构性调控。其中，公司报告期内的主要客户，保利、</w:t>
      </w:r>
      <w:proofErr w:type="gramStart"/>
      <w:r w:rsidRPr="00251592">
        <w:rPr>
          <w:rFonts w:ascii="宋体" w:eastAsia="宋体" w:hAnsi="宋体"/>
          <w:b w:val="0"/>
          <w:bCs w:val="0"/>
          <w:sz w:val="21"/>
          <w:szCs w:val="21"/>
        </w:rPr>
        <w:t>世</w:t>
      </w:r>
      <w:proofErr w:type="gramEnd"/>
      <w:r w:rsidRPr="00251592">
        <w:rPr>
          <w:rFonts w:ascii="宋体" w:eastAsia="宋体" w:hAnsi="宋体"/>
          <w:b w:val="0"/>
          <w:bCs w:val="0"/>
          <w:sz w:val="21"/>
          <w:szCs w:val="21"/>
        </w:rPr>
        <w:t>茂归入绿色档，未触及红线，其他客户例如绿地、阳光城、北辰等，根据触及红线数量的不同，相应被归入黄、橙、红三档。在上述融资政策调整预期下，可能会导致该等客户的融资难度有所增加，从而给公司带来应收账款回款周期延长、发生坏账损失的可能性增加等经营风险。若公司上述主要客户未能较好地应对包括“三道红线”在内的房地产宏观调控政策，将会对公司的经营业绩构成冲击。</w:t>
      </w:r>
      <w:bookmarkEnd w:id="18"/>
    </w:p>
    <w:p w14:paraId="4BB5639E"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目前，房地产行业调控政策已趋于稳定，但若政府进一步加大对房地产市场调控，可能</w:t>
      </w:r>
      <w:r w:rsidRPr="00251592">
        <w:rPr>
          <w:rFonts w:ascii="宋体" w:eastAsia="宋体" w:hAnsi="宋体" w:cs="Times New Roman" w:hint="eastAsia"/>
          <w:iCs/>
          <w:szCs w:val="21"/>
          <w:lang w:bidi="en-US"/>
        </w:rPr>
        <w:lastRenderedPageBreak/>
        <w:t>导致房地产开发企业调整长期经营部署、减少土地投资、推迟项目开发、延长付款周期，对公司现有业务的推进、未来市场的开拓以及资金的及时回收造成不利影响，进而使得公司业绩增速有所放缓、经营活动现金流量有所下降。</w:t>
      </w:r>
    </w:p>
    <w:p w14:paraId="08BB8476"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2、应收账款风险</w:t>
      </w:r>
    </w:p>
    <w:p w14:paraId="3E9508B2"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报告期内，公司应收账款账面价值分别为9,217.23万元、19,941.49万元和</w:t>
      </w:r>
      <w:r w:rsidRPr="00251592">
        <w:rPr>
          <w:rFonts w:ascii="宋体" w:eastAsia="宋体" w:hAnsi="宋体" w:cs="Times New Roman"/>
          <w:iCs/>
          <w:kern w:val="0"/>
          <w:szCs w:val="21"/>
          <w:lang w:bidi="en-US"/>
        </w:rPr>
        <w:t>29,903.53万元</w:t>
      </w:r>
      <w:r w:rsidRPr="00251592">
        <w:rPr>
          <w:rFonts w:ascii="宋体" w:eastAsia="宋体" w:hAnsi="宋体" w:cs="Times New Roman"/>
          <w:iCs/>
          <w:szCs w:val="21"/>
          <w:lang w:bidi="en-US"/>
        </w:rPr>
        <w:t>，占同期营业收入的比例分别为38.17%、74.79%和</w:t>
      </w:r>
      <w:r w:rsidRPr="00251592">
        <w:rPr>
          <w:rFonts w:ascii="宋体" w:eastAsia="宋体" w:hAnsi="宋体" w:cs="Times New Roman"/>
          <w:iCs/>
          <w:kern w:val="0"/>
          <w:szCs w:val="21"/>
          <w:lang w:bidi="en-US"/>
        </w:rPr>
        <w:t>93.98%</w:t>
      </w:r>
      <w:r w:rsidRPr="00251592">
        <w:rPr>
          <w:rFonts w:ascii="宋体" w:eastAsia="宋体" w:hAnsi="宋体" w:cs="Times New Roman"/>
          <w:iCs/>
          <w:szCs w:val="21"/>
          <w:lang w:bidi="en-US"/>
        </w:rPr>
        <w:t>。一方面，随着公司业务规模的增加，应收账款余额增幅较快，2018年、2019年</w:t>
      </w:r>
      <w:r w:rsidRPr="00251592">
        <w:rPr>
          <w:rFonts w:ascii="宋体" w:eastAsia="宋体" w:hAnsi="宋体" w:cs="Times New Roman" w:hint="eastAsia"/>
          <w:iCs/>
          <w:kern w:val="0"/>
          <w:szCs w:val="21"/>
          <w:lang w:bidi="en-US"/>
        </w:rPr>
        <w:t>、2</w:t>
      </w:r>
      <w:r w:rsidRPr="00251592">
        <w:rPr>
          <w:rFonts w:ascii="宋体" w:eastAsia="宋体" w:hAnsi="宋体" w:cs="Times New Roman"/>
          <w:iCs/>
          <w:kern w:val="0"/>
          <w:szCs w:val="21"/>
          <w:lang w:bidi="en-US"/>
        </w:rPr>
        <w:t>020</w:t>
      </w:r>
      <w:r w:rsidRPr="00251592">
        <w:rPr>
          <w:rFonts w:ascii="宋体" w:eastAsia="宋体" w:hAnsi="宋体" w:cs="Times New Roman" w:hint="eastAsia"/>
          <w:iCs/>
          <w:kern w:val="0"/>
          <w:szCs w:val="21"/>
          <w:lang w:bidi="en-US"/>
        </w:rPr>
        <w:t>年</w:t>
      </w:r>
      <w:r w:rsidRPr="00251592">
        <w:rPr>
          <w:rFonts w:ascii="宋体" w:eastAsia="宋体" w:hAnsi="宋体" w:cs="Times New Roman"/>
          <w:iCs/>
          <w:szCs w:val="21"/>
          <w:lang w:bidi="en-US"/>
        </w:rPr>
        <w:t>，应收账款账面价值增幅同比分别达到184.67%、116.35%</w:t>
      </w:r>
      <w:r w:rsidRPr="00251592">
        <w:rPr>
          <w:rFonts w:ascii="宋体" w:eastAsia="宋体" w:hAnsi="宋体" w:cs="Times New Roman" w:hint="eastAsia"/>
          <w:iCs/>
          <w:szCs w:val="21"/>
          <w:lang w:bidi="en-US"/>
        </w:rPr>
        <w:t>、</w:t>
      </w:r>
      <w:r w:rsidRPr="00251592">
        <w:rPr>
          <w:rFonts w:ascii="宋体" w:eastAsia="宋体" w:hAnsi="宋体" w:cs="Times New Roman"/>
          <w:iCs/>
          <w:kern w:val="0"/>
          <w:szCs w:val="21"/>
          <w:lang w:bidi="en-US"/>
        </w:rPr>
        <w:t>49.96%</w:t>
      </w:r>
      <w:r w:rsidRPr="00251592">
        <w:rPr>
          <w:rFonts w:ascii="宋体" w:eastAsia="宋体" w:hAnsi="宋体" w:cs="Times New Roman"/>
          <w:iCs/>
          <w:szCs w:val="21"/>
          <w:lang w:bidi="en-US"/>
        </w:rPr>
        <w:t>，另一方面，账</w:t>
      </w:r>
      <w:proofErr w:type="gramStart"/>
      <w:r w:rsidRPr="00251592">
        <w:rPr>
          <w:rFonts w:ascii="宋体" w:eastAsia="宋体" w:hAnsi="宋体" w:cs="Times New Roman"/>
          <w:iCs/>
          <w:szCs w:val="21"/>
          <w:lang w:bidi="en-US"/>
        </w:rPr>
        <w:t>龄结构</w:t>
      </w:r>
      <w:proofErr w:type="gramEnd"/>
      <w:r w:rsidRPr="00251592">
        <w:rPr>
          <w:rFonts w:ascii="宋体" w:eastAsia="宋体" w:hAnsi="宋体" w:cs="Times New Roman"/>
          <w:iCs/>
          <w:szCs w:val="21"/>
          <w:lang w:bidi="en-US"/>
        </w:rPr>
        <w:t>有所延长，报告期各期末，公司账龄一年以上应收账款金额分别为584.20万元、3,609.20万元和</w:t>
      </w:r>
      <w:r w:rsidRPr="00251592">
        <w:rPr>
          <w:rFonts w:ascii="宋体" w:eastAsia="宋体" w:hAnsi="宋体" w:cs="Times New Roman"/>
          <w:iCs/>
          <w:kern w:val="0"/>
          <w:szCs w:val="21"/>
          <w:lang w:bidi="en-US"/>
        </w:rPr>
        <w:t>7,918.76万元</w:t>
      </w:r>
      <w:r w:rsidRPr="00251592">
        <w:rPr>
          <w:rFonts w:ascii="宋体" w:eastAsia="宋体" w:hAnsi="宋体" w:cs="Times New Roman"/>
          <w:iCs/>
          <w:szCs w:val="21"/>
          <w:lang w:bidi="en-US"/>
        </w:rPr>
        <w:t>，占各期末应收账款余额比例分别为5.99%、17.00%和</w:t>
      </w:r>
      <w:r w:rsidRPr="00251592">
        <w:rPr>
          <w:rFonts w:ascii="宋体" w:eastAsia="宋体" w:hAnsi="宋体" w:cs="Times New Roman"/>
          <w:iCs/>
          <w:kern w:val="0"/>
          <w:szCs w:val="21"/>
          <w:lang w:bidi="en-US"/>
        </w:rPr>
        <w:t>24.26%</w:t>
      </w:r>
      <w:r w:rsidRPr="00251592">
        <w:rPr>
          <w:rFonts w:ascii="宋体" w:eastAsia="宋体" w:hAnsi="宋体" w:cs="Times New Roman"/>
          <w:iCs/>
          <w:szCs w:val="21"/>
          <w:lang w:bidi="en-US"/>
        </w:rPr>
        <w:t>，，</w:t>
      </w:r>
      <w:proofErr w:type="gramStart"/>
      <w:r w:rsidRPr="00251592">
        <w:rPr>
          <w:rFonts w:ascii="宋体" w:eastAsia="宋体" w:hAnsi="宋体" w:cs="Times New Roman"/>
          <w:iCs/>
          <w:szCs w:val="21"/>
          <w:lang w:bidi="en-US"/>
        </w:rPr>
        <w:t>占比较</w:t>
      </w:r>
      <w:proofErr w:type="gramEnd"/>
      <w:r w:rsidRPr="00251592">
        <w:rPr>
          <w:rFonts w:ascii="宋体" w:eastAsia="宋体" w:hAnsi="宋体" w:cs="Times New Roman"/>
          <w:iCs/>
          <w:szCs w:val="21"/>
          <w:lang w:bidi="en-US"/>
        </w:rPr>
        <w:t>高。</w:t>
      </w:r>
      <w:r w:rsidRPr="00251592">
        <w:rPr>
          <w:rFonts w:ascii="宋体" w:eastAsia="宋体" w:hAnsi="宋体" w:cs="Times New Roman"/>
          <w:szCs w:val="21"/>
        </w:rPr>
        <w:t>2020年上半年，公司应收账款余额相比2019年持续上升，其中，1年以内应收</w:t>
      </w:r>
      <w:proofErr w:type="gramStart"/>
      <w:r w:rsidRPr="00251592">
        <w:rPr>
          <w:rFonts w:ascii="宋体" w:eastAsia="宋体" w:hAnsi="宋体" w:cs="Times New Roman"/>
          <w:szCs w:val="21"/>
        </w:rPr>
        <w:t>账款占比显著</w:t>
      </w:r>
      <w:proofErr w:type="gramEnd"/>
      <w:r w:rsidRPr="00251592">
        <w:rPr>
          <w:rFonts w:ascii="宋体" w:eastAsia="宋体" w:hAnsi="宋体" w:cs="Times New Roman"/>
          <w:szCs w:val="21"/>
        </w:rPr>
        <w:t>下降，1年以上应收账款快速上升。</w:t>
      </w:r>
      <w:r w:rsidRPr="00251592">
        <w:rPr>
          <w:rFonts w:ascii="宋体" w:eastAsia="宋体" w:hAnsi="宋体" w:cs="Times New Roman"/>
          <w:iCs/>
          <w:szCs w:val="21"/>
          <w:lang w:bidi="en-US"/>
        </w:rPr>
        <w:t>同时，报告期各期末，公司存在账龄三年以上的应收账款情形，该类应收账款回款风险相对较大，存在一定的回款风险。</w:t>
      </w:r>
      <w:r w:rsidRPr="00251592">
        <w:rPr>
          <w:rFonts w:ascii="宋体" w:eastAsia="宋体" w:hAnsi="宋体" w:cs="Times New Roman" w:hint="eastAsia"/>
          <w:iCs/>
          <w:szCs w:val="21"/>
          <w:lang w:bidi="en-US"/>
        </w:rPr>
        <w:t>截止目前，</w:t>
      </w:r>
      <w:r w:rsidRPr="00251592">
        <w:rPr>
          <w:rFonts w:ascii="宋体" w:eastAsia="宋体" w:hAnsi="宋体" w:cs="Times New Roman"/>
          <w:iCs/>
          <w:szCs w:val="21"/>
          <w:lang w:bidi="en-US"/>
        </w:rPr>
        <w:t>公司</w:t>
      </w:r>
      <w:r w:rsidRPr="00251592">
        <w:rPr>
          <w:rFonts w:ascii="宋体" w:eastAsia="宋体" w:hAnsi="宋体" w:cs="Times New Roman" w:hint="eastAsia"/>
          <w:iCs/>
          <w:szCs w:val="21"/>
          <w:lang w:bidi="en-US"/>
        </w:rPr>
        <w:t>仍然</w:t>
      </w:r>
      <w:r w:rsidRPr="00251592">
        <w:rPr>
          <w:rFonts w:ascii="宋体" w:eastAsia="宋体" w:hAnsi="宋体" w:cs="Times New Roman"/>
          <w:iCs/>
          <w:szCs w:val="21"/>
          <w:lang w:bidi="en-US"/>
        </w:rPr>
        <w:t>存在账龄一年以上应收账款未能收回的</w:t>
      </w:r>
      <w:r w:rsidRPr="00251592">
        <w:rPr>
          <w:rFonts w:ascii="宋体" w:eastAsia="宋体" w:hAnsi="宋体" w:cs="Times New Roman" w:hint="eastAsia"/>
          <w:iCs/>
          <w:szCs w:val="21"/>
          <w:lang w:bidi="en-US"/>
        </w:rPr>
        <w:t>情况，</w:t>
      </w:r>
      <w:proofErr w:type="gramStart"/>
      <w:r w:rsidRPr="00251592">
        <w:rPr>
          <w:rFonts w:ascii="宋体" w:eastAsia="宋体" w:hAnsi="宋体" w:cs="Times New Roman" w:hint="eastAsia"/>
          <w:iCs/>
          <w:szCs w:val="21"/>
          <w:lang w:bidi="en-US"/>
        </w:rPr>
        <w:t>且报告</w:t>
      </w:r>
      <w:proofErr w:type="gramEnd"/>
      <w:r w:rsidRPr="00251592">
        <w:rPr>
          <w:rFonts w:ascii="宋体" w:eastAsia="宋体" w:hAnsi="宋体" w:cs="Times New Roman" w:hint="eastAsia"/>
          <w:iCs/>
          <w:szCs w:val="21"/>
          <w:lang w:bidi="en-US"/>
        </w:rPr>
        <w:t>期内逐年增长，主要原因包括客户</w:t>
      </w:r>
      <w:r w:rsidRPr="00251592">
        <w:rPr>
          <w:rFonts w:ascii="宋体" w:eastAsia="宋体" w:hAnsi="宋体" w:cs="Times New Roman"/>
          <w:iCs/>
          <w:szCs w:val="21"/>
          <w:lang w:bidi="en-US"/>
        </w:rPr>
        <w:t>内部付款审批程序较长</w:t>
      </w:r>
      <w:r w:rsidRPr="00251592">
        <w:rPr>
          <w:rFonts w:ascii="宋体" w:eastAsia="宋体" w:hAnsi="宋体" w:cs="Times New Roman" w:hint="eastAsia"/>
          <w:iCs/>
          <w:szCs w:val="21"/>
          <w:lang w:bidi="en-US"/>
        </w:rPr>
        <w:t>、受</w:t>
      </w:r>
      <w:r w:rsidRPr="00251592">
        <w:rPr>
          <w:rFonts w:ascii="宋体" w:eastAsia="宋体" w:hAnsi="宋体" w:cs="Times New Roman"/>
          <w:iCs/>
          <w:szCs w:val="21"/>
          <w:lang w:bidi="en-US"/>
        </w:rPr>
        <w:t>房地产行业调控政策</w:t>
      </w:r>
      <w:r w:rsidRPr="00251592">
        <w:rPr>
          <w:rFonts w:ascii="宋体" w:eastAsia="宋体" w:hAnsi="宋体" w:cs="Times New Roman" w:hint="eastAsia"/>
          <w:iCs/>
          <w:szCs w:val="21"/>
          <w:lang w:bidi="en-US"/>
        </w:rPr>
        <w:t>影响而阶段性资金面收紧以及2020年疫情因素影响，存在一定的回款风险。</w:t>
      </w:r>
    </w:p>
    <w:p w14:paraId="767B5B9E"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报告期各期，公司</w:t>
      </w:r>
      <w:proofErr w:type="gramStart"/>
      <w:r w:rsidRPr="00251592">
        <w:rPr>
          <w:rFonts w:ascii="宋体" w:eastAsia="宋体" w:hAnsi="宋体" w:cs="Times New Roman"/>
          <w:iCs/>
          <w:szCs w:val="21"/>
          <w:lang w:bidi="en-US"/>
        </w:rPr>
        <w:t>对保利</w:t>
      </w:r>
      <w:proofErr w:type="gramEnd"/>
      <w:r w:rsidRPr="00251592">
        <w:rPr>
          <w:rFonts w:ascii="宋体" w:eastAsia="宋体" w:hAnsi="宋体" w:cs="Times New Roman"/>
          <w:iCs/>
          <w:szCs w:val="21"/>
          <w:lang w:bidi="en-US"/>
        </w:rPr>
        <w:t>的应收账款余额分别为3,610.27万元、</w:t>
      </w:r>
      <w:r w:rsidRPr="00251592">
        <w:rPr>
          <w:rFonts w:ascii="宋体" w:eastAsia="宋体" w:hAnsi="宋体" w:cs="Times New Roman"/>
          <w:iCs/>
          <w:kern w:val="0"/>
          <w:szCs w:val="21"/>
          <w:lang w:bidi="en-US"/>
        </w:rPr>
        <w:t>9,382.07</w:t>
      </w:r>
      <w:r w:rsidRPr="00251592">
        <w:rPr>
          <w:rFonts w:ascii="宋体" w:eastAsia="宋体" w:hAnsi="宋体" w:cs="Times New Roman"/>
          <w:iCs/>
          <w:szCs w:val="21"/>
          <w:lang w:bidi="en-US"/>
        </w:rPr>
        <w:t>万元和</w:t>
      </w:r>
      <w:r w:rsidRPr="00251592">
        <w:rPr>
          <w:rFonts w:ascii="宋体" w:eastAsia="宋体" w:hAnsi="宋体" w:cs="Times New Roman"/>
          <w:iCs/>
          <w:kern w:val="0"/>
          <w:szCs w:val="21"/>
          <w:lang w:bidi="en-US"/>
        </w:rPr>
        <w:t>15,873.62万元</w:t>
      </w:r>
      <w:r w:rsidRPr="00251592">
        <w:rPr>
          <w:rFonts w:ascii="宋体" w:eastAsia="宋体" w:hAnsi="宋体" w:cs="Times New Roman"/>
          <w:iCs/>
          <w:szCs w:val="21"/>
          <w:lang w:bidi="en-US"/>
        </w:rPr>
        <w:t>，占当期应收账款余额的比例分比为37.02%、44.18%和</w:t>
      </w:r>
      <w:r w:rsidRPr="00251592">
        <w:rPr>
          <w:rFonts w:ascii="宋体" w:eastAsia="宋体" w:hAnsi="宋体" w:cs="Times New Roman"/>
          <w:iCs/>
          <w:kern w:val="0"/>
          <w:szCs w:val="21"/>
          <w:lang w:bidi="en-US"/>
        </w:rPr>
        <w:t>48.63%</w:t>
      </w:r>
      <w:r w:rsidRPr="00251592">
        <w:rPr>
          <w:rFonts w:ascii="宋体" w:eastAsia="宋体" w:hAnsi="宋体" w:cs="Times New Roman"/>
          <w:iCs/>
          <w:szCs w:val="21"/>
          <w:lang w:bidi="en-US"/>
        </w:rPr>
        <w:t>，整体</w:t>
      </w:r>
      <w:proofErr w:type="gramStart"/>
      <w:r w:rsidRPr="00251592">
        <w:rPr>
          <w:rFonts w:ascii="宋体" w:eastAsia="宋体" w:hAnsi="宋体" w:cs="Times New Roman"/>
          <w:iCs/>
          <w:szCs w:val="21"/>
          <w:lang w:bidi="en-US"/>
        </w:rPr>
        <w:t>占比较</w:t>
      </w:r>
      <w:proofErr w:type="gramEnd"/>
      <w:r w:rsidRPr="00251592">
        <w:rPr>
          <w:rFonts w:ascii="宋体" w:eastAsia="宋体" w:hAnsi="宋体" w:cs="Times New Roman"/>
          <w:iCs/>
          <w:szCs w:val="21"/>
          <w:lang w:bidi="en-US"/>
        </w:rPr>
        <w:t>高</w:t>
      </w:r>
      <w:r w:rsidRPr="00251592">
        <w:rPr>
          <w:rFonts w:ascii="宋体" w:eastAsia="宋体" w:hAnsi="宋体" w:cs="Times New Roman"/>
          <w:szCs w:val="21"/>
        </w:rPr>
        <w:t>。</w:t>
      </w:r>
    </w:p>
    <w:p w14:paraId="7576BD1F"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iCs/>
          <w:szCs w:val="21"/>
          <w:lang w:bidi="en-US"/>
        </w:rPr>
        <w:t>公司客户主要为房地产开发商，随着公司的收入规模不断扩大，未来如果客户出现财务状况恶化导致其无法按期付款的情况或者公司的应收</w:t>
      </w:r>
      <w:proofErr w:type="gramStart"/>
      <w:r w:rsidRPr="00251592">
        <w:rPr>
          <w:rFonts w:ascii="宋体" w:eastAsia="宋体" w:hAnsi="宋体" w:cs="Times New Roman"/>
          <w:iCs/>
          <w:szCs w:val="21"/>
          <w:lang w:bidi="en-US"/>
        </w:rPr>
        <w:t>账款管</w:t>
      </w:r>
      <w:proofErr w:type="gramEnd"/>
      <w:r w:rsidRPr="00251592">
        <w:rPr>
          <w:rFonts w:ascii="宋体" w:eastAsia="宋体" w:hAnsi="宋体" w:cs="Times New Roman"/>
          <w:iCs/>
          <w:szCs w:val="21"/>
          <w:lang w:bidi="en-US"/>
        </w:rPr>
        <w:t>控措施不力，将会使本公司面临坏账损失的风险，并对公司的资金周转和利润水平产生一定的不利影响。</w:t>
      </w:r>
    </w:p>
    <w:p w14:paraId="674250DC"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3、</w:t>
      </w:r>
      <w:bookmarkStart w:id="19" w:name="_Hlk55654931"/>
      <w:r w:rsidRPr="00251592">
        <w:rPr>
          <w:rFonts w:ascii="宋体" w:eastAsia="宋体" w:hAnsi="宋体" w:cs="Times New Roman" w:hint="eastAsia"/>
          <w:iCs/>
          <w:szCs w:val="21"/>
          <w:lang w:bidi="en-US"/>
        </w:rPr>
        <w:t>房地产区域调整风险</w:t>
      </w:r>
      <w:bookmarkEnd w:id="19"/>
    </w:p>
    <w:p w14:paraId="036B1FAF"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kern w:val="0"/>
          <w:szCs w:val="21"/>
        </w:rPr>
      </w:pPr>
      <w:bookmarkStart w:id="20" w:name="_Hlk55654848"/>
      <w:r w:rsidRPr="00251592">
        <w:rPr>
          <w:rFonts w:ascii="宋体" w:eastAsia="宋体" w:hAnsi="宋体" w:cs="Times New Roman"/>
          <w:kern w:val="0"/>
          <w:szCs w:val="21"/>
        </w:rPr>
        <w:t>近年来，房地产行业延续“从严”调控思路，中央表态“不将房地产作为短期刺激经济的手段”，调控力度未见放松。2019年5月起，金融市场对房地产融资全面收紧，行业环境、资金面等逐步承压，土地市场成交波动明显，区域结构呈现冷热不均的特点。各地围绕稳地价、稳房价、稳预期的调控目标，因城施策，分区域看，重点城市销售面积总体保持增长，三四线城市销售面积有所下滑。在上述背景下，房地产企业区域层面收缩变革、调整组织架</w:t>
      </w:r>
      <w:r w:rsidRPr="00251592">
        <w:rPr>
          <w:rFonts w:ascii="宋体" w:eastAsia="宋体" w:hAnsi="宋体" w:cs="Times New Roman"/>
          <w:kern w:val="0"/>
          <w:szCs w:val="21"/>
        </w:rPr>
        <w:lastRenderedPageBreak/>
        <w:t>构，以提升经营管理效率，同时，</w:t>
      </w:r>
      <w:proofErr w:type="gramStart"/>
      <w:r w:rsidRPr="00251592">
        <w:rPr>
          <w:rFonts w:ascii="宋体" w:eastAsia="宋体" w:hAnsi="宋体" w:cs="Times New Roman"/>
          <w:kern w:val="0"/>
          <w:szCs w:val="21"/>
        </w:rPr>
        <w:t>多数房企选择</w:t>
      </w:r>
      <w:proofErr w:type="gramEnd"/>
      <w:r w:rsidRPr="00251592">
        <w:rPr>
          <w:rFonts w:ascii="宋体" w:eastAsia="宋体" w:hAnsi="宋体" w:cs="Times New Roman"/>
          <w:kern w:val="0"/>
          <w:szCs w:val="21"/>
        </w:rPr>
        <w:t>收敛三四线城市布局或是战略性回归</w:t>
      </w:r>
      <w:proofErr w:type="gramStart"/>
      <w:r w:rsidRPr="00251592">
        <w:rPr>
          <w:rFonts w:ascii="宋体" w:eastAsia="宋体" w:hAnsi="宋体" w:cs="Times New Roman"/>
          <w:kern w:val="0"/>
          <w:szCs w:val="21"/>
        </w:rPr>
        <w:t>一</w:t>
      </w:r>
      <w:proofErr w:type="gramEnd"/>
      <w:r w:rsidRPr="00251592">
        <w:rPr>
          <w:rFonts w:ascii="宋体" w:eastAsia="宋体" w:hAnsi="宋体" w:cs="Times New Roman"/>
          <w:kern w:val="0"/>
          <w:szCs w:val="21"/>
        </w:rPr>
        <w:t>二线城市。</w:t>
      </w:r>
    </w:p>
    <w:p w14:paraId="3FAB2C74"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报告期内，公司主要项目收入及相应应收款项分布于华东、华南等经济发达区域，但若未来公司的经营管理策略未能适应下游房地产行业区域调整的动态变化，则可能会对公司的经营业绩构成不利影响。</w:t>
      </w:r>
      <w:bookmarkEnd w:id="20"/>
    </w:p>
    <w:p w14:paraId="24D53A9B" w14:textId="77777777" w:rsidR="00C17BBD" w:rsidRPr="00251592" w:rsidRDefault="00C17BBD" w:rsidP="00C17BBD">
      <w:pPr>
        <w:autoSpaceDE w:val="0"/>
        <w:autoSpaceDN w:val="0"/>
        <w:adjustRightInd w:val="0"/>
        <w:spacing w:beforeLines="50" w:before="156" w:afterLines="50" w:after="156" w:line="360" w:lineRule="auto"/>
        <w:ind w:firstLineChars="200" w:firstLine="420"/>
        <w:rPr>
          <w:rFonts w:ascii="宋体" w:eastAsia="宋体" w:hAnsi="宋体" w:cs="Times New Roman"/>
          <w:iCs/>
          <w:szCs w:val="21"/>
          <w:lang w:bidi="en-US"/>
        </w:rPr>
      </w:pPr>
      <w:r w:rsidRPr="00251592">
        <w:rPr>
          <w:rFonts w:ascii="宋体" w:eastAsia="宋体" w:hAnsi="宋体" w:cs="Times New Roman" w:hint="eastAsia"/>
          <w:iCs/>
          <w:szCs w:val="21"/>
          <w:lang w:bidi="en-US"/>
        </w:rPr>
        <w:t>4、上述风险不会对</w:t>
      </w:r>
      <w:r w:rsidRPr="00251592">
        <w:rPr>
          <w:rFonts w:ascii="宋体" w:eastAsia="宋体" w:hAnsi="宋体" w:cs="Times New Roman"/>
          <w:iCs/>
          <w:szCs w:val="21"/>
          <w:lang w:bidi="en-US"/>
        </w:rPr>
        <w:t>发行人持续经营能力构成重大不利影响</w:t>
      </w:r>
    </w:p>
    <w:p w14:paraId="23360555" w14:textId="77777777" w:rsidR="00C17BBD" w:rsidRPr="00251592" w:rsidRDefault="00C17BBD" w:rsidP="00C17BBD">
      <w:pPr>
        <w:pStyle w:val="14"/>
        <w:ind w:firstLine="420"/>
        <w:rPr>
          <w:rFonts w:ascii="宋体" w:hAnsi="宋体" w:cs="Times New Roman"/>
          <w:iCs/>
          <w:sz w:val="21"/>
          <w:szCs w:val="21"/>
          <w:lang w:bidi="en-US"/>
        </w:rPr>
      </w:pPr>
      <w:bookmarkStart w:id="21" w:name="_Hlk55655045"/>
      <w:r w:rsidRPr="00251592">
        <w:rPr>
          <w:rFonts w:ascii="宋体" w:hAnsi="宋体" w:cs="Times New Roman" w:hint="eastAsia"/>
          <w:iCs/>
          <w:sz w:val="21"/>
          <w:szCs w:val="21"/>
          <w:lang w:bidi="en-US"/>
        </w:rPr>
        <w:t>上述风险不会对</w:t>
      </w:r>
      <w:r w:rsidRPr="00251592">
        <w:rPr>
          <w:rFonts w:ascii="宋体" w:hAnsi="宋体" w:cs="Times New Roman"/>
          <w:iCs/>
          <w:sz w:val="21"/>
          <w:szCs w:val="21"/>
          <w:lang w:bidi="en-US"/>
        </w:rPr>
        <w:t>发行人持续经营能力构成重大不利影响</w:t>
      </w:r>
      <w:r w:rsidRPr="00251592">
        <w:rPr>
          <w:rFonts w:ascii="宋体" w:hAnsi="宋体" w:cs="Times New Roman" w:hint="eastAsia"/>
          <w:iCs/>
          <w:sz w:val="21"/>
          <w:szCs w:val="21"/>
          <w:lang w:bidi="en-US"/>
        </w:rPr>
        <w:t>，主要原因为：第一，长期来看，中国城镇化进程仍未完成，资源、人口向核心城市和重点城市群迁移的发展趋势仍</w:t>
      </w:r>
      <w:r w:rsidRPr="00251592">
        <w:rPr>
          <w:rFonts w:ascii="宋体" w:hAnsi="宋体" w:cs="Times New Roman"/>
          <w:iCs/>
          <w:sz w:val="21"/>
          <w:szCs w:val="21"/>
          <w:lang w:bidi="en-US"/>
        </w:rPr>
        <w:t>在推进，房地产行业发展的根本驱动力没有改变。房地产在国民经济中的重要性十分突出，作为宏观经济的“调节器”，房地产行业调控的主基调仍以稳地价、稳房价、稳预期的政策为核心，坚持“房住不炒”的行业定位不动摇</w:t>
      </w:r>
      <w:r w:rsidRPr="00251592">
        <w:rPr>
          <w:rFonts w:ascii="宋体" w:hAnsi="宋体" w:cs="Times New Roman" w:hint="eastAsia"/>
          <w:iCs/>
          <w:sz w:val="21"/>
          <w:szCs w:val="21"/>
          <w:lang w:bidi="en-US"/>
        </w:rPr>
        <w:t>；第二，发行人凭借其在建筑方案领域的核心竞争优势，已经与保利等</w:t>
      </w:r>
      <w:proofErr w:type="gramStart"/>
      <w:r w:rsidRPr="00251592">
        <w:rPr>
          <w:rFonts w:ascii="宋体" w:hAnsi="宋体" w:cs="Times New Roman" w:hint="eastAsia"/>
          <w:iCs/>
          <w:sz w:val="21"/>
          <w:szCs w:val="21"/>
          <w:lang w:bidi="en-US"/>
        </w:rPr>
        <w:t>龙头房企</w:t>
      </w:r>
      <w:proofErr w:type="gramEnd"/>
      <w:r w:rsidRPr="00251592">
        <w:rPr>
          <w:rFonts w:ascii="宋体" w:hAnsi="宋体" w:cs="Times New Roman" w:hint="eastAsia"/>
          <w:iCs/>
          <w:sz w:val="21"/>
          <w:szCs w:val="21"/>
          <w:lang w:bidi="en-US"/>
        </w:rPr>
        <w:t>建立了长期、稳固的合作关系，有力的保障了发行人的持续经营能力。</w:t>
      </w:r>
    </w:p>
    <w:bookmarkEnd w:id="21"/>
    <w:p w14:paraId="6A774A1E"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7D636299"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68CA7187" w14:textId="3B7836AC"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eastAsia="zh-TW" w:bidi="en-US"/>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执行了如下核查程序：</w:t>
      </w:r>
    </w:p>
    <w:p w14:paraId="39724240"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color w:val="000000"/>
          <w:kern w:val="0"/>
          <w:szCs w:val="21"/>
          <w:u w:color="000000"/>
          <w:lang w:bidi="en-US"/>
        </w:rPr>
        <w:t>1</w:t>
      </w:r>
      <w:r w:rsidRPr="00251592">
        <w:rPr>
          <w:rFonts w:ascii="宋体" w:eastAsia="宋体" w:hAnsi="宋体" w:cs="宋体" w:hint="eastAsia"/>
          <w:color w:val="000000"/>
          <w:kern w:val="0"/>
          <w:szCs w:val="21"/>
          <w:u w:color="000000"/>
          <w:lang w:bidi="en-US"/>
        </w:rPr>
        <w:t>、查阅了发行人应收账款有关数据、同行业公司公开披露信息，对</w:t>
      </w:r>
      <w:r w:rsidRPr="00251592">
        <w:rPr>
          <w:rFonts w:ascii="宋体" w:eastAsia="宋体" w:hAnsi="宋体" w:cs="宋体"/>
          <w:color w:val="000000"/>
          <w:kern w:val="0"/>
          <w:szCs w:val="21"/>
          <w:u w:color="000000"/>
          <w:lang w:bidi="en-US"/>
        </w:rPr>
        <w:t>2020年上半年发行人应收账款余额相比2019年持续上升</w:t>
      </w:r>
      <w:r w:rsidRPr="00251592">
        <w:rPr>
          <w:rFonts w:ascii="宋体" w:eastAsia="宋体" w:hAnsi="宋体" w:cs="宋体" w:hint="eastAsia"/>
          <w:color w:val="000000"/>
          <w:kern w:val="0"/>
          <w:szCs w:val="21"/>
          <w:u w:color="000000"/>
          <w:lang w:bidi="en-US"/>
        </w:rPr>
        <w:t>、</w:t>
      </w:r>
      <w:r w:rsidRPr="00251592">
        <w:rPr>
          <w:rFonts w:ascii="宋体" w:eastAsia="宋体" w:hAnsi="宋体" w:cs="宋体"/>
          <w:color w:val="000000"/>
          <w:kern w:val="0"/>
          <w:szCs w:val="21"/>
          <w:u w:color="000000"/>
          <w:lang w:bidi="en-US"/>
        </w:rPr>
        <w:t>1年以内应收</w:t>
      </w:r>
      <w:proofErr w:type="gramStart"/>
      <w:r w:rsidRPr="00251592">
        <w:rPr>
          <w:rFonts w:ascii="宋体" w:eastAsia="宋体" w:hAnsi="宋体" w:cs="宋体"/>
          <w:color w:val="000000"/>
          <w:kern w:val="0"/>
          <w:szCs w:val="21"/>
          <w:u w:color="000000"/>
          <w:lang w:bidi="en-US"/>
        </w:rPr>
        <w:t>账款占比显著</w:t>
      </w:r>
      <w:proofErr w:type="gramEnd"/>
      <w:r w:rsidRPr="00251592">
        <w:rPr>
          <w:rFonts w:ascii="宋体" w:eastAsia="宋体" w:hAnsi="宋体" w:cs="宋体"/>
          <w:color w:val="000000"/>
          <w:kern w:val="0"/>
          <w:szCs w:val="21"/>
          <w:u w:color="000000"/>
          <w:lang w:bidi="en-US"/>
        </w:rPr>
        <w:t>下降</w:t>
      </w:r>
      <w:r w:rsidRPr="00251592">
        <w:rPr>
          <w:rFonts w:ascii="宋体" w:eastAsia="宋体" w:hAnsi="宋体" w:cs="宋体" w:hint="eastAsia"/>
          <w:color w:val="000000"/>
          <w:kern w:val="0"/>
          <w:szCs w:val="21"/>
          <w:u w:color="000000"/>
          <w:lang w:bidi="en-US"/>
        </w:rPr>
        <w:t>、</w:t>
      </w:r>
      <w:r w:rsidRPr="00251592">
        <w:rPr>
          <w:rFonts w:ascii="宋体" w:eastAsia="宋体" w:hAnsi="宋体" w:cs="宋体"/>
          <w:color w:val="000000"/>
          <w:kern w:val="0"/>
          <w:szCs w:val="21"/>
          <w:u w:color="000000"/>
          <w:lang w:bidi="en-US"/>
        </w:rPr>
        <w:t>1年以上应收账款快速上升</w:t>
      </w:r>
      <w:r w:rsidRPr="00251592">
        <w:rPr>
          <w:rFonts w:ascii="宋体" w:eastAsia="宋体" w:hAnsi="宋体" w:cs="宋体" w:hint="eastAsia"/>
          <w:color w:val="000000"/>
          <w:kern w:val="0"/>
          <w:szCs w:val="21"/>
          <w:u w:color="000000"/>
          <w:lang w:bidi="en-US"/>
        </w:rPr>
        <w:t>的原因进行了分析；</w:t>
      </w:r>
    </w:p>
    <w:p w14:paraId="6F6474E7"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2、查阅了</w:t>
      </w:r>
      <w:r w:rsidRPr="00251592">
        <w:rPr>
          <w:rFonts w:ascii="宋体" w:eastAsia="宋体" w:hAnsi="宋体" w:cs="宋体"/>
          <w:color w:val="000000"/>
          <w:kern w:val="0"/>
          <w:szCs w:val="21"/>
          <w:u w:color="000000"/>
          <w:lang w:bidi="en-US"/>
        </w:rPr>
        <w:t>保利的相关应收账款情况，包括但不限于金额、占比及变动情况</w:t>
      </w:r>
      <w:r w:rsidRPr="00251592">
        <w:rPr>
          <w:rFonts w:ascii="宋体" w:eastAsia="宋体" w:hAnsi="宋体" w:cs="宋体" w:hint="eastAsia"/>
          <w:color w:val="000000"/>
          <w:kern w:val="0"/>
          <w:szCs w:val="21"/>
          <w:u w:color="000000"/>
          <w:lang w:bidi="en-US"/>
        </w:rPr>
        <w:t>，对</w:t>
      </w:r>
      <w:r w:rsidRPr="00251592">
        <w:rPr>
          <w:rFonts w:ascii="宋体" w:eastAsia="宋体" w:hAnsi="宋体" w:cs="宋体"/>
          <w:color w:val="000000"/>
          <w:kern w:val="0"/>
          <w:szCs w:val="21"/>
          <w:u w:color="000000"/>
          <w:lang w:bidi="en-US"/>
        </w:rPr>
        <w:t>是否存在较大回收风险</w:t>
      </w:r>
      <w:r w:rsidRPr="00251592">
        <w:rPr>
          <w:rFonts w:ascii="宋体" w:eastAsia="宋体" w:hAnsi="宋体" w:cs="宋体" w:hint="eastAsia"/>
          <w:color w:val="000000"/>
          <w:kern w:val="0"/>
          <w:szCs w:val="21"/>
          <w:u w:color="000000"/>
          <w:lang w:bidi="en-US"/>
        </w:rPr>
        <w:t>进行了分析。查阅了</w:t>
      </w:r>
      <w:r w:rsidRPr="00251592">
        <w:rPr>
          <w:rFonts w:ascii="宋体" w:eastAsia="宋体" w:hAnsi="宋体" w:cs="宋体"/>
          <w:color w:val="000000"/>
          <w:kern w:val="0"/>
          <w:szCs w:val="21"/>
          <w:u w:color="000000"/>
          <w:lang w:bidi="en-US"/>
        </w:rPr>
        <w:t>核销的两笔涉及保利的应收账款</w:t>
      </w:r>
      <w:r w:rsidRPr="00251592">
        <w:rPr>
          <w:rFonts w:ascii="宋体" w:eastAsia="宋体" w:hAnsi="宋体" w:cs="宋体" w:hint="eastAsia"/>
          <w:color w:val="000000"/>
          <w:kern w:val="0"/>
          <w:szCs w:val="21"/>
          <w:u w:color="000000"/>
          <w:lang w:bidi="en-US"/>
        </w:rPr>
        <w:t>的</w:t>
      </w:r>
      <w:r w:rsidRPr="00251592">
        <w:rPr>
          <w:rFonts w:ascii="宋体" w:eastAsia="宋体" w:hAnsi="宋体" w:cs="宋体"/>
          <w:color w:val="000000"/>
          <w:kern w:val="0"/>
          <w:szCs w:val="21"/>
          <w:u w:color="000000"/>
          <w:lang w:bidi="en-US"/>
        </w:rPr>
        <w:t>具体情况</w:t>
      </w:r>
      <w:r w:rsidRPr="00251592">
        <w:rPr>
          <w:rFonts w:ascii="宋体" w:eastAsia="宋体" w:hAnsi="宋体" w:cs="宋体" w:hint="eastAsia"/>
          <w:color w:val="000000"/>
          <w:kern w:val="0"/>
          <w:szCs w:val="21"/>
          <w:u w:color="000000"/>
          <w:lang w:bidi="en-US"/>
        </w:rPr>
        <w:t>，了解</w:t>
      </w:r>
      <w:r w:rsidRPr="00251592">
        <w:rPr>
          <w:rFonts w:ascii="宋体" w:eastAsia="宋体" w:hAnsi="宋体" w:cs="宋体"/>
          <w:color w:val="000000"/>
          <w:kern w:val="0"/>
          <w:szCs w:val="21"/>
          <w:u w:color="000000"/>
          <w:lang w:bidi="en-US"/>
        </w:rPr>
        <w:t>核销的具体原因</w:t>
      </w:r>
      <w:r w:rsidRPr="00251592">
        <w:rPr>
          <w:rFonts w:ascii="宋体" w:eastAsia="宋体" w:hAnsi="宋体" w:cs="宋体" w:hint="eastAsia"/>
          <w:color w:val="000000"/>
          <w:kern w:val="0"/>
          <w:szCs w:val="21"/>
          <w:u w:color="000000"/>
          <w:lang w:bidi="en-US"/>
        </w:rPr>
        <w:t>；</w:t>
      </w:r>
    </w:p>
    <w:p w14:paraId="7BE5B215"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3、查阅了有关行业资料，结合前述情况，对</w:t>
      </w:r>
      <w:r w:rsidRPr="00251592">
        <w:rPr>
          <w:rFonts w:ascii="宋体" w:eastAsia="宋体" w:hAnsi="宋体" w:cs="宋体"/>
          <w:color w:val="000000"/>
          <w:kern w:val="0"/>
          <w:szCs w:val="21"/>
          <w:u w:color="000000"/>
          <w:lang w:bidi="en-US"/>
        </w:rPr>
        <w:t>发行人可能面临的应收账款风险、房地产区域调整风险</w:t>
      </w:r>
      <w:r w:rsidRPr="00251592">
        <w:rPr>
          <w:rFonts w:ascii="宋体" w:eastAsia="宋体" w:hAnsi="宋体" w:cs="宋体" w:hint="eastAsia"/>
          <w:color w:val="000000"/>
          <w:kern w:val="0"/>
          <w:szCs w:val="21"/>
          <w:u w:color="000000"/>
          <w:lang w:bidi="en-US"/>
        </w:rPr>
        <w:t>进行了分析</w:t>
      </w:r>
      <w:r w:rsidRPr="00251592">
        <w:rPr>
          <w:rFonts w:ascii="宋体" w:eastAsia="宋体" w:hAnsi="宋体" w:cs="宋体"/>
          <w:color w:val="000000"/>
          <w:kern w:val="0"/>
          <w:szCs w:val="21"/>
          <w:u w:color="000000"/>
          <w:lang w:bidi="en-US"/>
        </w:rPr>
        <w:t>，</w:t>
      </w:r>
      <w:r w:rsidRPr="00251592">
        <w:rPr>
          <w:rFonts w:ascii="宋体" w:eastAsia="宋体" w:hAnsi="宋体" w:cs="宋体" w:hint="eastAsia"/>
          <w:color w:val="000000"/>
          <w:kern w:val="0"/>
          <w:szCs w:val="21"/>
          <w:u w:color="000000"/>
          <w:lang w:bidi="en-US"/>
        </w:rPr>
        <w:t>对</w:t>
      </w:r>
      <w:r w:rsidRPr="00251592">
        <w:rPr>
          <w:rFonts w:ascii="宋体" w:eastAsia="宋体" w:hAnsi="宋体" w:cs="宋体"/>
          <w:color w:val="000000"/>
          <w:kern w:val="0"/>
          <w:szCs w:val="21"/>
          <w:u w:color="000000"/>
          <w:lang w:bidi="en-US"/>
        </w:rPr>
        <w:t>是否对发行人持续经营能力构成重大不利影响</w:t>
      </w:r>
      <w:r w:rsidRPr="00251592">
        <w:rPr>
          <w:rFonts w:ascii="宋体" w:eastAsia="宋体" w:hAnsi="宋体" w:cs="宋体" w:hint="eastAsia"/>
          <w:color w:val="000000"/>
          <w:kern w:val="0"/>
          <w:szCs w:val="21"/>
          <w:u w:color="000000"/>
          <w:lang w:bidi="en-US"/>
        </w:rPr>
        <w:t>进行了分析。</w:t>
      </w:r>
    </w:p>
    <w:p w14:paraId="35EDCCAF"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7ED2358E" w14:textId="0DD62F7E"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615D7C93"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lastRenderedPageBreak/>
        <w:t>1、</w:t>
      </w:r>
      <w:r w:rsidRPr="00251592">
        <w:rPr>
          <w:rFonts w:ascii="宋体" w:eastAsia="宋体" w:hAnsi="宋体" w:cs="Times New Roman"/>
          <w:szCs w:val="21"/>
        </w:rPr>
        <w:t>2020年上半年，发行人应收账款余额相比2019年持续上升，发行人1年以内应收</w:t>
      </w:r>
      <w:proofErr w:type="gramStart"/>
      <w:r w:rsidRPr="00251592">
        <w:rPr>
          <w:rFonts w:ascii="宋体" w:eastAsia="宋体" w:hAnsi="宋体" w:cs="Times New Roman"/>
          <w:szCs w:val="21"/>
        </w:rPr>
        <w:t>账款占比显著</w:t>
      </w:r>
      <w:proofErr w:type="gramEnd"/>
      <w:r w:rsidRPr="00251592">
        <w:rPr>
          <w:rFonts w:ascii="宋体" w:eastAsia="宋体" w:hAnsi="宋体" w:cs="Times New Roman"/>
          <w:szCs w:val="21"/>
        </w:rPr>
        <w:t>下降</w:t>
      </w:r>
      <w:r w:rsidRPr="00251592">
        <w:rPr>
          <w:rFonts w:ascii="宋体" w:eastAsia="宋体" w:hAnsi="宋体" w:cs="Times New Roman" w:hint="eastAsia"/>
          <w:szCs w:val="21"/>
        </w:rPr>
        <w:t>、</w:t>
      </w:r>
      <w:r w:rsidRPr="00251592">
        <w:rPr>
          <w:rFonts w:ascii="宋体" w:eastAsia="宋体" w:hAnsi="宋体" w:cs="Times New Roman"/>
          <w:szCs w:val="21"/>
        </w:rPr>
        <w:t>1年以上应收账款快速上升。</w:t>
      </w:r>
      <w:r w:rsidRPr="00251592">
        <w:rPr>
          <w:rFonts w:ascii="宋体" w:eastAsia="宋体" w:hAnsi="宋体" w:cs="Times New Roman" w:hint="eastAsia"/>
          <w:szCs w:val="21"/>
        </w:rPr>
        <w:t>上述情况具有合理原因；</w:t>
      </w:r>
    </w:p>
    <w:p w14:paraId="5A80F422"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2、保利的相关应收账款情况，包括但不限于金额、占比及变动情况等有关信息真实、准确，不存在较大回收风险。两笔涉及保利的应收账款的核销具有合理原因；</w:t>
      </w:r>
    </w:p>
    <w:p w14:paraId="2022A94D"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hint="eastAsia"/>
          <w:szCs w:val="21"/>
        </w:rPr>
        <w:t>3、发行人已披露了</w:t>
      </w:r>
      <w:r w:rsidRPr="00251592">
        <w:rPr>
          <w:rFonts w:ascii="宋体" w:eastAsia="宋体" w:hAnsi="宋体" w:cs="Times New Roman"/>
          <w:szCs w:val="21"/>
        </w:rPr>
        <w:t>可能面临的应收账款风险、房地产区域调整风险</w:t>
      </w:r>
      <w:r w:rsidRPr="00251592">
        <w:rPr>
          <w:rFonts w:ascii="宋体" w:eastAsia="宋体" w:hAnsi="宋体" w:cs="Times New Roman" w:hint="eastAsia"/>
          <w:szCs w:val="21"/>
        </w:rPr>
        <w:t>等有关风险</w:t>
      </w:r>
      <w:r w:rsidRPr="00251592">
        <w:rPr>
          <w:rFonts w:ascii="宋体" w:eastAsia="宋体" w:hAnsi="宋体" w:cs="Times New Roman"/>
          <w:szCs w:val="21"/>
        </w:rPr>
        <w:t>，</w:t>
      </w:r>
      <w:r w:rsidRPr="00251592">
        <w:rPr>
          <w:rFonts w:ascii="宋体" w:eastAsia="宋体" w:hAnsi="宋体" w:cs="Times New Roman" w:hint="eastAsia"/>
          <w:szCs w:val="21"/>
        </w:rPr>
        <w:t>相关表述真实、准确，上述风险</w:t>
      </w:r>
      <w:r w:rsidRPr="00251592">
        <w:rPr>
          <w:rFonts w:ascii="宋体" w:eastAsia="宋体" w:hAnsi="宋体" w:cs="Times New Roman"/>
          <w:szCs w:val="21"/>
        </w:rPr>
        <w:t>对发行人持续经营能力</w:t>
      </w:r>
      <w:r w:rsidRPr="00251592">
        <w:rPr>
          <w:rFonts w:ascii="宋体" w:eastAsia="宋体" w:hAnsi="宋体" w:cs="Times New Roman" w:hint="eastAsia"/>
          <w:szCs w:val="21"/>
        </w:rPr>
        <w:t>不</w:t>
      </w:r>
      <w:r w:rsidRPr="00251592">
        <w:rPr>
          <w:rFonts w:ascii="宋体" w:eastAsia="宋体" w:hAnsi="宋体" w:cs="Times New Roman"/>
          <w:szCs w:val="21"/>
        </w:rPr>
        <w:t>构成重大不利影响</w:t>
      </w:r>
      <w:r w:rsidRPr="00251592">
        <w:rPr>
          <w:rFonts w:ascii="宋体" w:eastAsia="宋体" w:hAnsi="宋体" w:cs="Times New Roman" w:hint="eastAsia"/>
          <w:szCs w:val="21"/>
        </w:rPr>
        <w:t>。</w:t>
      </w:r>
    </w:p>
    <w:p w14:paraId="6CC5A67E" w14:textId="77777777" w:rsidR="00C17BBD" w:rsidRPr="00251592" w:rsidRDefault="00C17BBD" w:rsidP="00C17BBD">
      <w:pPr>
        <w:pStyle w:val="af7"/>
        <w:ind w:firstLine="420"/>
        <w:rPr>
          <w:rFonts w:ascii="宋体" w:eastAsia="宋体" w:hAnsi="宋体"/>
          <w:b w:val="0"/>
          <w:bCs w:val="0"/>
          <w:sz w:val="21"/>
          <w:szCs w:val="21"/>
        </w:rPr>
      </w:pPr>
    </w:p>
    <w:p w14:paraId="75912076" w14:textId="77777777" w:rsidR="00C17BBD" w:rsidRPr="00251592" w:rsidRDefault="00C17BBD" w:rsidP="00C17BBD">
      <w:pPr>
        <w:topLinePunct/>
        <w:adjustRightInd w:val="0"/>
        <w:snapToGrid w:val="0"/>
        <w:spacing w:line="560" w:lineRule="exact"/>
        <w:ind w:firstLine="482"/>
        <w:outlineLvl w:val="0"/>
        <w:rPr>
          <w:rFonts w:ascii="宋体" w:eastAsia="宋体" w:hAnsi="宋体"/>
          <w:b/>
          <w:bCs/>
          <w:color w:val="000000"/>
          <w:szCs w:val="21"/>
        </w:rPr>
      </w:pPr>
      <w:bookmarkStart w:id="22" w:name="_Toc55861289"/>
      <w:r w:rsidRPr="00251592">
        <w:rPr>
          <w:rFonts w:ascii="宋体" w:eastAsia="宋体" w:hAnsi="宋体" w:hint="eastAsia"/>
          <w:b/>
          <w:bCs/>
          <w:color w:val="000000"/>
          <w:szCs w:val="21"/>
        </w:rPr>
        <w:t>问题12</w:t>
      </w:r>
      <w:bookmarkEnd w:id="22"/>
    </w:p>
    <w:p w14:paraId="5B975643"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hint="eastAsia"/>
          <w:sz w:val="21"/>
          <w:szCs w:val="21"/>
        </w:rPr>
        <w:t>12.</w:t>
      </w:r>
      <w:r w:rsidRPr="00251592">
        <w:rPr>
          <w:rFonts w:ascii="宋体" w:eastAsia="宋体" w:hAnsi="宋体"/>
          <w:sz w:val="21"/>
          <w:szCs w:val="21"/>
        </w:rPr>
        <w:t xml:space="preserve"> 根据审核问询回复，发行人未针对性回复2017年申报财务报表调减营业收入554.35万元的具体原因，请发行人予以回复并补充披露。</w:t>
      </w:r>
    </w:p>
    <w:p w14:paraId="57D52ADF"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请保荐人、申报会计师发表明确意见。</w:t>
      </w:r>
    </w:p>
    <w:p w14:paraId="27DA8162"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6A60B2BC"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kern w:val="0"/>
          <w:szCs w:val="21"/>
        </w:rPr>
      </w:pPr>
      <w:bookmarkStart w:id="23" w:name="_Hlk55655134"/>
      <w:r w:rsidRPr="00251592">
        <w:rPr>
          <w:rFonts w:ascii="宋体" w:eastAsia="宋体" w:hAnsi="宋体" w:cs="Times New Roman"/>
          <w:szCs w:val="21"/>
        </w:rPr>
        <w:t>公司2017年申报财务报表调减营业收入554.35万元，调减涉及的项目具体情况如下：</w:t>
      </w:r>
    </w:p>
    <w:p w14:paraId="1AB5D0A8" w14:textId="77777777" w:rsidR="00C17BBD" w:rsidRPr="00251592" w:rsidRDefault="00C17BBD" w:rsidP="00C17BBD">
      <w:pPr>
        <w:widowControl/>
        <w:ind w:firstLineChars="200" w:firstLine="420"/>
        <w:jc w:val="right"/>
        <w:rPr>
          <w:rFonts w:ascii="宋体" w:eastAsia="宋体" w:hAnsi="宋体" w:cs="Times New Roman"/>
          <w:kern w:val="0"/>
          <w:szCs w:val="21"/>
        </w:rPr>
      </w:pPr>
      <w:r w:rsidRPr="00251592">
        <w:rPr>
          <w:rFonts w:ascii="宋体" w:eastAsia="宋体" w:hAnsi="宋体" w:cs="Times New Roman"/>
          <w:kern w:val="0"/>
          <w:szCs w:val="21"/>
        </w:rPr>
        <w:t>单位：万元</w:t>
      </w:r>
    </w:p>
    <w:tbl>
      <w:tblPr>
        <w:tblW w:w="10910" w:type="dxa"/>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428"/>
        <w:gridCol w:w="1983"/>
        <w:gridCol w:w="2115"/>
        <w:gridCol w:w="1063"/>
        <w:gridCol w:w="643"/>
        <w:gridCol w:w="1276"/>
        <w:gridCol w:w="3402"/>
      </w:tblGrid>
      <w:tr w:rsidR="00C17BBD" w:rsidRPr="00251592" w14:paraId="6B9849E8" w14:textId="77777777" w:rsidTr="00622023">
        <w:trPr>
          <w:trHeight w:val="654"/>
          <w:jc w:val="center"/>
        </w:trPr>
        <w:tc>
          <w:tcPr>
            <w:tcW w:w="428" w:type="dxa"/>
            <w:shd w:val="clear" w:color="auto" w:fill="auto"/>
            <w:vAlign w:val="center"/>
            <w:hideMark/>
          </w:tcPr>
          <w:p w14:paraId="4C128842"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序</w:t>
            </w:r>
          </w:p>
          <w:p w14:paraId="7E0233E6"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号</w:t>
            </w:r>
          </w:p>
        </w:tc>
        <w:tc>
          <w:tcPr>
            <w:tcW w:w="1983" w:type="dxa"/>
            <w:shd w:val="clear" w:color="auto" w:fill="auto"/>
            <w:vAlign w:val="center"/>
            <w:hideMark/>
          </w:tcPr>
          <w:p w14:paraId="358DFC49"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客户名称</w:t>
            </w:r>
          </w:p>
        </w:tc>
        <w:tc>
          <w:tcPr>
            <w:tcW w:w="2115" w:type="dxa"/>
            <w:shd w:val="clear" w:color="auto" w:fill="auto"/>
            <w:vAlign w:val="center"/>
            <w:hideMark/>
          </w:tcPr>
          <w:p w14:paraId="23144E9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项目名称</w:t>
            </w:r>
          </w:p>
        </w:tc>
        <w:tc>
          <w:tcPr>
            <w:tcW w:w="1063" w:type="dxa"/>
            <w:shd w:val="clear" w:color="auto" w:fill="auto"/>
            <w:vAlign w:val="center"/>
            <w:hideMark/>
          </w:tcPr>
          <w:p w14:paraId="5D16E68B"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 xml:space="preserve"> 合同总金额 </w:t>
            </w:r>
          </w:p>
        </w:tc>
        <w:tc>
          <w:tcPr>
            <w:tcW w:w="643" w:type="dxa"/>
            <w:shd w:val="clear" w:color="auto" w:fill="auto"/>
            <w:vAlign w:val="center"/>
            <w:hideMark/>
          </w:tcPr>
          <w:p w14:paraId="5297427A"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项目性质</w:t>
            </w:r>
          </w:p>
        </w:tc>
        <w:tc>
          <w:tcPr>
            <w:tcW w:w="1276" w:type="dxa"/>
            <w:shd w:val="clear" w:color="auto" w:fill="auto"/>
            <w:noWrap/>
            <w:vAlign w:val="center"/>
            <w:hideMark/>
          </w:tcPr>
          <w:p w14:paraId="0FDE365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2017年调整收入金额</w:t>
            </w:r>
          </w:p>
        </w:tc>
        <w:tc>
          <w:tcPr>
            <w:tcW w:w="3402" w:type="dxa"/>
            <w:vAlign w:val="center"/>
          </w:tcPr>
          <w:p w14:paraId="5AD6556E"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调整原因</w:t>
            </w:r>
          </w:p>
        </w:tc>
      </w:tr>
      <w:tr w:rsidR="00C17BBD" w:rsidRPr="00251592" w14:paraId="2A312A28" w14:textId="77777777" w:rsidTr="00622023">
        <w:trPr>
          <w:trHeight w:val="795"/>
          <w:jc w:val="center"/>
        </w:trPr>
        <w:tc>
          <w:tcPr>
            <w:tcW w:w="428" w:type="dxa"/>
            <w:shd w:val="clear" w:color="auto" w:fill="auto"/>
            <w:noWrap/>
            <w:vAlign w:val="center"/>
            <w:hideMark/>
          </w:tcPr>
          <w:p w14:paraId="4C58272A"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1</w:t>
            </w:r>
          </w:p>
        </w:tc>
        <w:tc>
          <w:tcPr>
            <w:tcW w:w="1983" w:type="dxa"/>
            <w:shd w:val="clear" w:color="auto" w:fill="auto"/>
            <w:vAlign w:val="center"/>
            <w:hideMark/>
          </w:tcPr>
          <w:p w14:paraId="6CE36706"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东莞保利松山湖实业投资有限公司</w:t>
            </w:r>
          </w:p>
        </w:tc>
        <w:tc>
          <w:tcPr>
            <w:tcW w:w="2115" w:type="dxa"/>
            <w:shd w:val="clear" w:color="auto" w:fill="auto"/>
            <w:vAlign w:val="center"/>
            <w:hideMark/>
          </w:tcPr>
          <w:p w14:paraId="6AF4392E"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粤东保利东莞生态园项目建设工程设计咨询合同</w:t>
            </w:r>
          </w:p>
        </w:tc>
        <w:tc>
          <w:tcPr>
            <w:tcW w:w="1063" w:type="dxa"/>
            <w:shd w:val="clear" w:color="auto" w:fill="auto"/>
            <w:vAlign w:val="center"/>
          </w:tcPr>
          <w:p w14:paraId="3642780C"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288.59 </w:t>
            </w:r>
          </w:p>
        </w:tc>
        <w:tc>
          <w:tcPr>
            <w:tcW w:w="643" w:type="dxa"/>
            <w:shd w:val="clear" w:color="auto" w:fill="auto"/>
            <w:vAlign w:val="center"/>
            <w:hideMark/>
          </w:tcPr>
          <w:p w14:paraId="2F043236"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公建</w:t>
            </w:r>
          </w:p>
        </w:tc>
        <w:tc>
          <w:tcPr>
            <w:tcW w:w="1276" w:type="dxa"/>
            <w:shd w:val="clear" w:color="auto" w:fill="auto"/>
            <w:noWrap/>
            <w:vAlign w:val="center"/>
          </w:tcPr>
          <w:p w14:paraId="4F0710E4"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-122.64 </w:t>
            </w:r>
          </w:p>
        </w:tc>
        <w:tc>
          <w:tcPr>
            <w:tcW w:w="3402" w:type="dxa"/>
            <w:vMerge w:val="restart"/>
            <w:vAlign w:val="center"/>
          </w:tcPr>
          <w:p w14:paraId="5D1FDB69"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发行人在原始报表中，结合实际工作量投入情况、对当期已完成合同金额进行预估，并确认收入。但</w:t>
            </w:r>
            <w:proofErr w:type="gramStart"/>
            <w:r w:rsidRPr="00251592">
              <w:rPr>
                <w:rFonts w:ascii="宋体" w:eastAsia="宋体" w:hAnsi="宋体" w:cs="Times New Roman"/>
                <w:sz w:val="18"/>
                <w:szCs w:val="18"/>
              </w:rPr>
              <w:t>因相应</w:t>
            </w:r>
            <w:proofErr w:type="gramEnd"/>
            <w:r w:rsidRPr="00251592">
              <w:rPr>
                <w:rFonts w:ascii="宋体" w:eastAsia="宋体" w:hAnsi="宋体" w:cs="Times New Roman"/>
                <w:sz w:val="18"/>
                <w:szCs w:val="18"/>
              </w:rPr>
              <w:t>客户</w:t>
            </w:r>
            <w:proofErr w:type="gramStart"/>
            <w:r w:rsidRPr="00251592">
              <w:rPr>
                <w:rFonts w:ascii="宋体" w:eastAsia="宋体" w:hAnsi="宋体" w:cs="Times New Roman"/>
                <w:sz w:val="18"/>
                <w:szCs w:val="18"/>
              </w:rPr>
              <w:t>确认函于期</w:t>
            </w:r>
            <w:proofErr w:type="gramEnd"/>
            <w:r w:rsidRPr="00251592">
              <w:rPr>
                <w:rFonts w:ascii="宋体" w:eastAsia="宋体" w:hAnsi="宋体" w:cs="Times New Roman"/>
                <w:sz w:val="18"/>
                <w:szCs w:val="18"/>
              </w:rPr>
              <w:t>后取得，出于谨慎性考虑，申报会计师在申报报表中调减相应收入。</w:t>
            </w:r>
          </w:p>
        </w:tc>
      </w:tr>
      <w:tr w:rsidR="00C17BBD" w:rsidRPr="00251592" w14:paraId="656E6E53" w14:textId="77777777" w:rsidTr="00622023">
        <w:trPr>
          <w:trHeight w:val="780"/>
          <w:jc w:val="center"/>
        </w:trPr>
        <w:tc>
          <w:tcPr>
            <w:tcW w:w="428" w:type="dxa"/>
            <w:shd w:val="clear" w:color="auto" w:fill="auto"/>
            <w:noWrap/>
            <w:vAlign w:val="center"/>
            <w:hideMark/>
          </w:tcPr>
          <w:p w14:paraId="3B2B004C" w14:textId="77777777" w:rsidR="00C17BBD" w:rsidRPr="00251592" w:rsidRDefault="00C17BBD" w:rsidP="008A2055">
            <w:pPr>
              <w:widowControl/>
              <w:jc w:val="center"/>
              <w:rPr>
                <w:rFonts w:ascii="宋体" w:eastAsia="宋体" w:hAnsi="宋体" w:cs="Times New Roman"/>
                <w:color w:val="000000" w:themeColor="text1"/>
                <w:kern w:val="0"/>
                <w:sz w:val="18"/>
                <w:szCs w:val="18"/>
              </w:rPr>
            </w:pPr>
            <w:r w:rsidRPr="00251592">
              <w:rPr>
                <w:rFonts w:ascii="宋体" w:eastAsia="宋体" w:hAnsi="宋体" w:cs="Times New Roman"/>
                <w:color w:val="000000" w:themeColor="text1"/>
                <w:kern w:val="0"/>
                <w:sz w:val="18"/>
                <w:szCs w:val="18"/>
              </w:rPr>
              <w:t>2</w:t>
            </w:r>
          </w:p>
        </w:tc>
        <w:tc>
          <w:tcPr>
            <w:tcW w:w="1983" w:type="dxa"/>
            <w:shd w:val="clear" w:color="auto" w:fill="auto"/>
            <w:vAlign w:val="center"/>
            <w:hideMark/>
          </w:tcPr>
          <w:p w14:paraId="7BB72D30" w14:textId="77777777" w:rsidR="00C17BBD" w:rsidRPr="00251592" w:rsidRDefault="00C17BBD" w:rsidP="008A2055">
            <w:pPr>
              <w:widowControl/>
              <w:jc w:val="left"/>
              <w:rPr>
                <w:rFonts w:ascii="宋体" w:eastAsia="宋体" w:hAnsi="宋体" w:cs="Times New Roman"/>
                <w:color w:val="000000" w:themeColor="text1"/>
                <w:kern w:val="0"/>
                <w:sz w:val="18"/>
                <w:szCs w:val="18"/>
              </w:rPr>
            </w:pPr>
            <w:r w:rsidRPr="00251592">
              <w:rPr>
                <w:rFonts w:ascii="宋体" w:eastAsia="宋体" w:hAnsi="宋体" w:cs="Times New Roman"/>
                <w:color w:val="000000" w:themeColor="text1"/>
                <w:kern w:val="0"/>
                <w:sz w:val="18"/>
                <w:szCs w:val="18"/>
              </w:rPr>
              <w:t>莆田中涵房地产开发有限公司</w:t>
            </w:r>
          </w:p>
        </w:tc>
        <w:tc>
          <w:tcPr>
            <w:tcW w:w="2115" w:type="dxa"/>
            <w:shd w:val="clear" w:color="auto" w:fill="auto"/>
            <w:vAlign w:val="center"/>
            <w:hideMark/>
          </w:tcPr>
          <w:p w14:paraId="3D4D7283" w14:textId="77777777" w:rsidR="00C17BBD" w:rsidRPr="00251592" w:rsidRDefault="00C17BBD" w:rsidP="008A2055">
            <w:pPr>
              <w:widowControl/>
              <w:jc w:val="left"/>
              <w:rPr>
                <w:rFonts w:ascii="宋体" w:eastAsia="宋体" w:hAnsi="宋体" w:cs="Times New Roman"/>
                <w:color w:val="000000" w:themeColor="text1"/>
                <w:kern w:val="0"/>
                <w:sz w:val="18"/>
                <w:szCs w:val="18"/>
              </w:rPr>
            </w:pPr>
            <w:r w:rsidRPr="00251592">
              <w:rPr>
                <w:rFonts w:ascii="宋体" w:eastAsia="宋体" w:hAnsi="宋体" w:cs="Times New Roman"/>
                <w:color w:val="000000" w:themeColor="text1"/>
                <w:kern w:val="0"/>
                <w:sz w:val="18"/>
                <w:szCs w:val="18"/>
              </w:rPr>
              <w:t>莆田保利涵</w:t>
            </w:r>
            <w:proofErr w:type="gramStart"/>
            <w:r w:rsidRPr="00251592">
              <w:rPr>
                <w:rFonts w:ascii="宋体" w:eastAsia="宋体" w:hAnsi="宋体" w:cs="Times New Roman"/>
                <w:color w:val="000000" w:themeColor="text1"/>
                <w:kern w:val="0"/>
                <w:sz w:val="18"/>
                <w:szCs w:val="18"/>
              </w:rPr>
              <w:t>江霞江</w:t>
            </w:r>
            <w:proofErr w:type="gramEnd"/>
            <w:r w:rsidRPr="00251592">
              <w:rPr>
                <w:rFonts w:ascii="宋体" w:eastAsia="宋体" w:hAnsi="宋体" w:cs="Times New Roman"/>
                <w:color w:val="000000" w:themeColor="text1"/>
                <w:kern w:val="0"/>
                <w:sz w:val="18"/>
                <w:szCs w:val="18"/>
              </w:rPr>
              <w:t>片区三个地块项目</w:t>
            </w:r>
          </w:p>
        </w:tc>
        <w:tc>
          <w:tcPr>
            <w:tcW w:w="1063" w:type="dxa"/>
            <w:shd w:val="clear" w:color="auto" w:fill="auto"/>
            <w:noWrap/>
            <w:vAlign w:val="center"/>
          </w:tcPr>
          <w:p w14:paraId="5F2EF0F7"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themeColor="text1"/>
                <w:sz w:val="18"/>
                <w:szCs w:val="18"/>
              </w:rPr>
              <w:t xml:space="preserve"> 450.01 </w:t>
            </w:r>
          </w:p>
        </w:tc>
        <w:tc>
          <w:tcPr>
            <w:tcW w:w="643" w:type="dxa"/>
            <w:shd w:val="clear" w:color="auto" w:fill="auto"/>
            <w:noWrap/>
            <w:vAlign w:val="center"/>
            <w:hideMark/>
          </w:tcPr>
          <w:p w14:paraId="26DF2AB8" w14:textId="77777777" w:rsidR="00C17BBD" w:rsidRPr="00251592" w:rsidRDefault="00C17BBD" w:rsidP="008A2055">
            <w:pPr>
              <w:widowControl/>
              <w:jc w:val="left"/>
              <w:rPr>
                <w:rFonts w:ascii="宋体" w:eastAsia="宋体" w:hAnsi="宋体" w:cs="Times New Roman"/>
                <w:color w:val="000000" w:themeColor="text1"/>
                <w:kern w:val="0"/>
                <w:sz w:val="18"/>
                <w:szCs w:val="18"/>
              </w:rPr>
            </w:pPr>
            <w:r w:rsidRPr="00251592">
              <w:rPr>
                <w:rFonts w:ascii="宋体" w:eastAsia="宋体" w:hAnsi="宋体" w:cs="Times New Roman"/>
                <w:color w:val="000000" w:themeColor="text1"/>
                <w:kern w:val="0"/>
                <w:sz w:val="18"/>
                <w:szCs w:val="18"/>
              </w:rPr>
              <w:t>住宅</w:t>
            </w:r>
          </w:p>
        </w:tc>
        <w:tc>
          <w:tcPr>
            <w:tcW w:w="1276" w:type="dxa"/>
            <w:shd w:val="clear" w:color="auto" w:fill="auto"/>
            <w:noWrap/>
            <w:vAlign w:val="center"/>
          </w:tcPr>
          <w:p w14:paraId="5A769967" w14:textId="77777777" w:rsidR="00C17BBD" w:rsidRPr="00251592" w:rsidRDefault="00C17BBD" w:rsidP="008A2055">
            <w:pPr>
              <w:widowControl/>
              <w:jc w:val="right"/>
              <w:rPr>
                <w:rFonts w:ascii="宋体" w:eastAsia="宋体" w:hAnsi="宋体" w:cs="Times New Roman"/>
                <w:color w:val="000000" w:themeColor="text1"/>
                <w:kern w:val="0"/>
                <w:sz w:val="18"/>
                <w:szCs w:val="18"/>
              </w:rPr>
            </w:pPr>
            <w:r w:rsidRPr="00251592">
              <w:rPr>
                <w:rFonts w:ascii="宋体" w:eastAsia="宋体" w:hAnsi="宋体" w:cs="Times New Roman"/>
                <w:color w:val="000000" w:themeColor="text1"/>
                <w:sz w:val="18"/>
                <w:szCs w:val="18"/>
              </w:rPr>
              <w:t xml:space="preserve"> -110.66 </w:t>
            </w:r>
          </w:p>
        </w:tc>
        <w:tc>
          <w:tcPr>
            <w:tcW w:w="3402" w:type="dxa"/>
            <w:vMerge/>
            <w:vAlign w:val="center"/>
          </w:tcPr>
          <w:p w14:paraId="12E7E5FA" w14:textId="77777777" w:rsidR="00C17BBD" w:rsidRPr="00251592" w:rsidRDefault="00C17BBD" w:rsidP="008A2055">
            <w:pPr>
              <w:widowControl/>
              <w:jc w:val="left"/>
              <w:rPr>
                <w:rFonts w:ascii="宋体" w:eastAsia="宋体" w:hAnsi="宋体" w:cs="Times New Roman"/>
                <w:color w:val="000000" w:themeColor="text1"/>
                <w:sz w:val="18"/>
                <w:szCs w:val="18"/>
              </w:rPr>
            </w:pPr>
          </w:p>
        </w:tc>
      </w:tr>
      <w:tr w:rsidR="00C17BBD" w:rsidRPr="00251592" w14:paraId="0056DE7C" w14:textId="77777777" w:rsidTr="00622023">
        <w:trPr>
          <w:trHeight w:val="780"/>
          <w:jc w:val="center"/>
        </w:trPr>
        <w:tc>
          <w:tcPr>
            <w:tcW w:w="428" w:type="dxa"/>
            <w:shd w:val="clear" w:color="auto" w:fill="auto"/>
            <w:noWrap/>
            <w:vAlign w:val="center"/>
            <w:hideMark/>
          </w:tcPr>
          <w:p w14:paraId="588B636E"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3</w:t>
            </w:r>
          </w:p>
        </w:tc>
        <w:tc>
          <w:tcPr>
            <w:tcW w:w="1983" w:type="dxa"/>
            <w:shd w:val="clear" w:color="auto" w:fill="auto"/>
            <w:vAlign w:val="center"/>
            <w:hideMark/>
          </w:tcPr>
          <w:p w14:paraId="767267C5"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天水市宁远置业有限责任公司</w:t>
            </w:r>
          </w:p>
        </w:tc>
        <w:tc>
          <w:tcPr>
            <w:tcW w:w="2115" w:type="dxa"/>
            <w:shd w:val="clear" w:color="auto" w:fill="auto"/>
            <w:vAlign w:val="center"/>
            <w:hideMark/>
          </w:tcPr>
          <w:p w14:paraId="1E03F797"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天水宁远文体中心北5-1地块项目</w:t>
            </w:r>
          </w:p>
        </w:tc>
        <w:tc>
          <w:tcPr>
            <w:tcW w:w="1063" w:type="dxa"/>
            <w:shd w:val="clear" w:color="auto" w:fill="auto"/>
            <w:noWrap/>
            <w:vAlign w:val="center"/>
          </w:tcPr>
          <w:p w14:paraId="193E1B9F"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204.00 </w:t>
            </w:r>
          </w:p>
        </w:tc>
        <w:tc>
          <w:tcPr>
            <w:tcW w:w="643" w:type="dxa"/>
            <w:shd w:val="clear" w:color="auto" w:fill="auto"/>
            <w:noWrap/>
            <w:vAlign w:val="center"/>
            <w:hideMark/>
          </w:tcPr>
          <w:p w14:paraId="7EB66C56"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住宅</w:t>
            </w:r>
          </w:p>
        </w:tc>
        <w:tc>
          <w:tcPr>
            <w:tcW w:w="1276" w:type="dxa"/>
            <w:shd w:val="clear" w:color="auto" w:fill="auto"/>
            <w:noWrap/>
            <w:vAlign w:val="center"/>
          </w:tcPr>
          <w:p w14:paraId="37672DAF"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38.49 </w:t>
            </w:r>
          </w:p>
        </w:tc>
        <w:tc>
          <w:tcPr>
            <w:tcW w:w="3402" w:type="dxa"/>
            <w:vAlign w:val="center"/>
          </w:tcPr>
          <w:p w14:paraId="0C505198"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当期该项目执行至建筑单体初步设计阶段，原始报表中遗漏将已收取的定金结转收入，申报会计师在申报报表中予以调整。</w:t>
            </w:r>
          </w:p>
        </w:tc>
      </w:tr>
      <w:tr w:rsidR="00C17BBD" w:rsidRPr="00251592" w14:paraId="2B227046" w14:textId="77777777" w:rsidTr="00622023">
        <w:trPr>
          <w:trHeight w:val="780"/>
          <w:jc w:val="center"/>
        </w:trPr>
        <w:tc>
          <w:tcPr>
            <w:tcW w:w="428" w:type="dxa"/>
            <w:shd w:val="clear" w:color="auto" w:fill="auto"/>
            <w:noWrap/>
            <w:vAlign w:val="center"/>
            <w:hideMark/>
          </w:tcPr>
          <w:p w14:paraId="1FA1D93F"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4</w:t>
            </w:r>
          </w:p>
        </w:tc>
        <w:tc>
          <w:tcPr>
            <w:tcW w:w="1983" w:type="dxa"/>
            <w:shd w:val="clear" w:color="auto" w:fill="auto"/>
            <w:vAlign w:val="center"/>
            <w:hideMark/>
          </w:tcPr>
          <w:p w14:paraId="1F180115"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保利（梅州）房地产开发有限公司</w:t>
            </w:r>
          </w:p>
        </w:tc>
        <w:tc>
          <w:tcPr>
            <w:tcW w:w="2115" w:type="dxa"/>
            <w:shd w:val="clear" w:color="auto" w:fill="auto"/>
            <w:vAlign w:val="center"/>
            <w:hideMark/>
          </w:tcPr>
          <w:p w14:paraId="76EE5785"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粤东保利梅州</w:t>
            </w:r>
            <w:proofErr w:type="gramStart"/>
            <w:r w:rsidRPr="00251592">
              <w:rPr>
                <w:rFonts w:ascii="宋体" w:eastAsia="宋体" w:hAnsi="宋体" w:cs="Times New Roman"/>
                <w:color w:val="000000"/>
                <w:kern w:val="0"/>
                <w:sz w:val="18"/>
                <w:szCs w:val="18"/>
              </w:rPr>
              <w:t>剑英湖项目</w:t>
            </w:r>
            <w:proofErr w:type="gramEnd"/>
            <w:r w:rsidRPr="00251592">
              <w:rPr>
                <w:rFonts w:ascii="宋体" w:eastAsia="宋体" w:hAnsi="宋体" w:cs="Times New Roman"/>
                <w:color w:val="000000"/>
                <w:kern w:val="0"/>
                <w:sz w:val="18"/>
                <w:szCs w:val="18"/>
              </w:rPr>
              <w:t xml:space="preserve"> </w:t>
            </w:r>
          </w:p>
        </w:tc>
        <w:tc>
          <w:tcPr>
            <w:tcW w:w="1063" w:type="dxa"/>
            <w:shd w:val="clear" w:color="auto" w:fill="auto"/>
            <w:noWrap/>
            <w:vAlign w:val="center"/>
          </w:tcPr>
          <w:p w14:paraId="30A081CD"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689.97 </w:t>
            </w:r>
          </w:p>
        </w:tc>
        <w:tc>
          <w:tcPr>
            <w:tcW w:w="643" w:type="dxa"/>
            <w:shd w:val="clear" w:color="auto" w:fill="auto"/>
            <w:noWrap/>
            <w:vAlign w:val="center"/>
            <w:hideMark/>
          </w:tcPr>
          <w:p w14:paraId="18A07250"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住宅</w:t>
            </w:r>
          </w:p>
        </w:tc>
        <w:tc>
          <w:tcPr>
            <w:tcW w:w="1276" w:type="dxa"/>
            <w:shd w:val="clear" w:color="auto" w:fill="auto"/>
            <w:noWrap/>
            <w:vAlign w:val="center"/>
          </w:tcPr>
          <w:p w14:paraId="5E4E1C8F"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-97.64 </w:t>
            </w:r>
          </w:p>
        </w:tc>
        <w:tc>
          <w:tcPr>
            <w:tcW w:w="3402" w:type="dxa"/>
            <w:vMerge w:val="restart"/>
            <w:vAlign w:val="center"/>
          </w:tcPr>
          <w:p w14:paraId="75AA8E4F"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当期仅收取定金，原始报表中误确认为收入，申报会计师在申报报表中予以调减、转入预收账款。</w:t>
            </w:r>
          </w:p>
        </w:tc>
      </w:tr>
      <w:tr w:rsidR="00C17BBD" w:rsidRPr="00251592" w14:paraId="383D4E59" w14:textId="77777777" w:rsidTr="00622023">
        <w:trPr>
          <w:trHeight w:val="780"/>
          <w:jc w:val="center"/>
        </w:trPr>
        <w:tc>
          <w:tcPr>
            <w:tcW w:w="428" w:type="dxa"/>
            <w:shd w:val="clear" w:color="auto" w:fill="auto"/>
            <w:noWrap/>
            <w:vAlign w:val="center"/>
            <w:hideMark/>
          </w:tcPr>
          <w:p w14:paraId="633A05C5"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5</w:t>
            </w:r>
          </w:p>
        </w:tc>
        <w:tc>
          <w:tcPr>
            <w:tcW w:w="1983" w:type="dxa"/>
            <w:shd w:val="clear" w:color="auto" w:fill="auto"/>
            <w:vAlign w:val="center"/>
            <w:hideMark/>
          </w:tcPr>
          <w:p w14:paraId="43FC3653"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三亚广兴实业开发有限公司</w:t>
            </w:r>
          </w:p>
        </w:tc>
        <w:tc>
          <w:tcPr>
            <w:tcW w:w="2115" w:type="dxa"/>
            <w:shd w:val="clear" w:color="auto" w:fill="auto"/>
            <w:vAlign w:val="center"/>
            <w:hideMark/>
          </w:tcPr>
          <w:p w14:paraId="3DBCED3D"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海南保利崖州湾b01,b27地块项目</w:t>
            </w:r>
          </w:p>
        </w:tc>
        <w:tc>
          <w:tcPr>
            <w:tcW w:w="1063" w:type="dxa"/>
            <w:shd w:val="clear" w:color="auto" w:fill="auto"/>
            <w:noWrap/>
            <w:vAlign w:val="center"/>
          </w:tcPr>
          <w:p w14:paraId="13E603E5"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333.79 </w:t>
            </w:r>
          </w:p>
        </w:tc>
        <w:tc>
          <w:tcPr>
            <w:tcW w:w="643" w:type="dxa"/>
            <w:shd w:val="clear" w:color="auto" w:fill="auto"/>
            <w:noWrap/>
            <w:vAlign w:val="center"/>
            <w:hideMark/>
          </w:tcPr>
          <w:p w14:paraId="7A302DA6"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住宅</w:t>
            </w:r>
          </w:p>
        </w:tc>
        <w:tc>
          <w:tcPr>
            <w:tcW w:w="1276" w:type="dxa"/>
            <w:shd w:val="clear" w:color="auto" w:fill="auto"/>
            <w:noWrap/>
            <w:vAlign w:val="center"/>
          </w:tcPr>
          <w:p w14:paraId="255421C2"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-31.49 </w:t>
            </w:r>
          </w:p>
        </w:tc>
        <w:tc>
          <w:tcPr>
            <w:tcW w:w="3402" w:type="dxa"/>
            <w:vMerge/>
            <w:vAlign w:val="center"/>
          </w:tcPr>
          <w:p w14:paraId="279FCB0C" w14:textId="77777777" w:rsidR="00C17BBD" w:rsidRPr="00251592" w:rsidRDefault="00C17BBD" w:rsidP="008A2055">
            <w:pPr>
              <w:widowControl/>
              <w:jc w:val="left"/>
              <w:rPr>
                <w:rFonts w:ascii="宋体" w:eastAsia="宋体" w:hAnsi="宋体" w:cs="Times New Roman"/>
                <w:sz w:val="18"/>
                <w:szCs w:val="18"/>
              </w:rPr>
            </w:pPr>
          </w:p>
        </w:tc>
      </w:tr>
      <w:tr w:rsidR="00C17BBD" w:rsidRPr="00251592" w14:paraId="75BB6066" w14:textId="77777777" w:rsidTr="00622023">
        <w:trPr>
          <w:trHeight w:val="780"/>
          <w:jc w:val="center"/>
        </w:trPr>
        <w:tc>
          <w:tcPr>
            <w:tcW w:w="428" w:type="dxa"/>
            <w:shd w:val="clear" w:color="auto" w:fill="auto"/>
            <w:noWrap/>
            <w:vAlign w:val="center"/>
            <w:hideMark/>
          </w:tcPr>
          <w:p w14:paraId="22F36EA5"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lastRenderedPageBreak/>
              <w:t>6</w:t>
            </w:r>
          </w:p>
        </w:tc>
        <w:tc>
          <w:tcPr>
            <w:tcW w:w="1983" w:type="dxa"/>
            <w:shd w:val="clear" w:color="auto" w:fill="auto"/>
            <w:vAlign w:val="center"/>
            <w:hideMark/>
          </w:tcPr>
          <w:p w14:paraId="6FE88043"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赤峰市群安房地产开发有限公司</w:t>
            </w:r>
          </w:p>
        </w:tc>
        <w:tc>
          <w:tcPr>
            <w:tcW w:w="2115" w:type="dxa"/>
            <w:shd w:val="clear" w:color="auto" w:fill="auto"/>
            <w:vAlign w:val="center"/>
            <w:hideMark/>
          </w:tcPr>
          <w:p w14:paraId="458D7FC1"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赤峰春城房地产赤峰项目</w:t>
            </w:r>
          </w:p>
        </w:tc>
        <w:tc>
          <w:tcPr>
            <w:tcW w:w="1063" w:type="dxa"/>
            <w:shd w:val="clear" w:color="auto" w:fill="auto"/>
            <w:noWrap/>
            <w:vAlign w:val="center"/>
          </w:tcPr>
          <w:p w14:paraId="606ADADD"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149.57 </w:t>
            </w:r>
          </w:p>
        </w:tc>
        <w:tc>
          <w:tcPr>
            <w:tcW w:w="643" w:type="dxa"/>
            <w:shd w:val="clear" w:color="auto" w:fill="auto"/>
            <w:noWrap/>
            <w:vAlign w:val="center"/>
            <w:hideMark/>
          </w:tcPr>
          <w:p w14:paraId="7E5B429F"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住宅</w:t>
            </w:r>
          </w:p>
        </w:tc>
        <w:tc>
          <w:tcPr>
            <w:tcW w:w="1276" w:type="dxa"/>
            <w:shd w:val="clear" w:color="auto" w:fill="auto"/>
            <w:noWrap/>
            <w:vAlign w:val="center"/>
          </w:tcPr>
          <w:p w14:paraId="0E17D503"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-38.92 </w:t>
            </w:r>
          </w:p>
        </w:tc>
        <w:tc>
          <w:tcPr>
            <w:tcW w:w="3402" w:type="dxa"/>
            <w:vMerge/>
            <w:vAlign w:val="center"/>
          </w:tcPr>
          <w:p w14:paraId="43538252" w14:textId="77777777" w:rsidR="00C17BBD" w:rsidRPr="00251592" w:rsidRDefault="00C17BBD" w:rsidP="008A2055">
            <w:pPr>
              <w:widowControl/>
              <w:jc w:val="left"/>
              <w:rPr>
                <w:rFonts w:ascii="宋体" w:eastAsia="宋体" w:hAnsi="宋体" w:cs="Times New Roman"/>
                <w:sz w:val="18"/>
                <w:szCs w:val="18"/>
              </w:rPr>
            </w:pPr>
          </w:p>
        </w:tc>
      </w:tr>
      <w:tr w:rsidR="00C17BBD" w:rsidRPr="00251592" w14:paraId="1C5E553A" w14:textId="77777777" w:rsidTr="00622023">
        <w:trPr>
          <w:trHeight w:val="525"/>
          <w:jc w:val="center"/>
        </w:trPr>
        <w:tc>
          <w:tcPr>
            <w:tcW w:w="428" w:type="dxa"/>
            <w:shd w:val="clear" w:color="auto" w:fill="auto"/>
            <w:noWrap/>
            <w:vAlign w:val="center"/>
            <w:hideMark/>
          </w:tcPr>
          <w:p w14:paraId="306E1660"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7</w:t>
            </w:r>
          </w:p>
        </w:tc>
        <w:tc>
          <w:tcPr>
            <w:tcW w:w="1983" w:type="dxa"/>
            <w:shd w:val="clear" w:color="auto" w:fill="auto"/>
            <w:vAlign w:val="center"/>
            <w:hideMark/>
          </w:tcPr>
          <w:p w14:paraId="0A5D3B51"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赤峰正</w:t>
            </w:r>
            <w:proofErr w:type="gramStart"/>
            <w:r w:rsidRPr="00251592">
              <w:rPr>
                <w:rFonts w:ascii="宋体" w:eastAsia="宋体" w:hAnsi="宋体" w:cs="Times New Roman"/>
                <w:color w:val="000000"/>
                <w:kern w:val="0"/>
                <w:sz w:val="18"/>
                <w:szCs w:val="18"/>
              </w:rPr>
              <w:t>浩</w:t>
            </w:r>
            <w:proofErr w:type="gramEnd"/>
            <w:r w:rsidRPr="00251592">
              <w:rPr>
                <w:rFonts w:ascii="宋体" w:eastAsia="宋体" w:hAnsi="宋体" w:cs="Times New Roman"/>
                <w:color w:val="000000"/>
                <w:kern w:val="0"/>
                <w:sz w:val="18"/>
                <w:szCs w:val="18"/>
              </w:rPr>
              <w:t>房地产开发有限责任公司</w:t>
            </w:r>
          </w:p>
        </w:tc>
        <w:tc>
          <w:tcPr>
            <w:tcW w:w="2115" w:type="dxa"/>
            <w:shd w:val="clear" w:color="auto" w:fill="auto"/>
            <w:vAlign w:val="center"/>
            <w:hideMark/>
          </w:tcPr>
          <w:p w14:paraId="35B94F1E"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赤峰春城房地产赤峰八家片区西区C03-04地块项目</w:t>
            </w:r>
          </w:p>
        </w:tc>
        <w:tc>
          <w:tcPr>
            <w:tcW w:w="1063" w:type="dxa"/>
            <w:shd w:val="clear" w:color="auto" w:fill="auto"/>
            <w:noWrap/>
            <w:vAlign w:val="center"/>
          </w:tcPr>
          <w:p w14:paraId="211D10AF"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195.04 </w:t>
            </w:r>
          </w:p>
        </w:tc>
        <w:tc>
          <w:tcPr>
            <w:tcW w:w="643" w:type="dxa"/>
            <w:shd w:val="clear" w:color="auto" w:fill="auto"/>
            <w:noWrap/>
            <w:vAlign w:val="center"/>
            <w:hideMark/>
          </w:tcPr>
          <w:p w14:paraId="7315DACB"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住宅</w:t>
            </w:r>
          </w:p>
        </w:tc>
        <w:tc>
          <w:tcPr>
            <w:tcW w:w="1276" w:type="dxa"/>
            <w:shd w:val="clear" w:color="auto" w:fill="auto"/>
            <w:noWrap/>
            <w:vAlign w:val="center"/>
          </w:tcPr>
          <w:p w14:paraId="28779A0E"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-36.79 </w:t>
            </w:r>
          </w:p>
        </w:tc>
        <w:tc>
          <w:tcPr>
            <w:tcW w:w="3402" w:type="dxa"/>
            <w:vMerge/>
            <w:vAlign w:val="center"/>
          </w:tcPr>
          <w:p w14:paraId="0F5DCBC1" w14:textId="77777777" w:rsidR="00C17BBD" w:rsidRPr="00251592" w:rsidRDefault="00C17BBD" w:rsidP="008A2055">
            <w:pPr>
              <w:widowControl/>
              <w:jc w:val="left"/>
              <w:rPr>
                <w:rFonts w:ascii="宋体" w:eastAsia="宋体" w:hAnsi="宋体" w:cs="Times New Roman"/>
                <w:sz w:val="18"/>
                <w:szCs w:val="18"/>
              </w:rPr>
            </w:pPr>
          </w:p>
        </w:tc>
      </w:tr>
      <w:tr w:rsidR="00C17BBD" w:rsidRPr="00251592" w14:paraId="31F74C08" w14:textId="77777777" w:rsidTr="00622023">
        <w:trPr>
          <w:trHeight w:val="525"/>
          <w:jc w:val="center"/>
        </w:trPr>
        <w:tc>
          <w:tcPr>
            <w:tcW w:w="428" w:type="dxa"/>
            <w:shd w:val="clear" w:color="auto" w:fill="auto"/>
            <w:noWrap/>
            <w:vAlign w:val="center"/>
            <w:hideMark/>
          </w:tcPr>
          <w:p w14:paraId="69F848B1" w14:textId="77777777" w:rsidR="00C17BBD" w:rsidRPr="00251592" w:rsidRDefault="00C17BBD" w:rsidP="008A2055">
            <w:pPr>
              <w:widowControl/>
              <w:jc w:val="center"/>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8</w:t>
            </w:r>
          </w:p>
        </w:tc>
        <w:tc>
          <w:tcPr>
            <w:tcW w:w="1983" w:type="dxa"/>
            <w:shd w:val="clear" w:color="auto" w:fill="auto"/>
            <w:vAlign w:val="center"/>
            <w:hideMark/>
          </w:tcPr>
          <w:p w14:paraId="75099819"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天水</w:t>
            </w:r>
            <w:proofErr w:type="gramStart"/>
            <w:r w:rsidRPr="00251592">
              <w:rPr>
                <w:rFonts w:ascii="宋体" w:eastAsia="宋体" w:hAnsi="宋体" w:cs="Times New Roman"/>
                <w:color w:val="000000"/>
                <w:kern w:val="0"/>
                <w:sz w:val="18"/>
                <w:szCs w:val="18"/>
              </w:rPr>
              <w:t>颐</w:t>
            </w:r>
            <w:proofErr w:type="gramEnd"/>
            <w:r w:rsidRPr="00251592">
              <w:rPr>
                <w:rFonts w:ascii="宋体" w:eastAsia="宋体" w:hAnsi="宋体" w:cs="Times New Roman"/>
                <w:color w:val="000000"/>
                <w:kern w:val="0"/>
                <w:sz w:val="18"/>
                <w:szCs w:val="18"/>
              </w:rPr>
              <w:t>达房地产开发有限公司</w:t>
            </w:r>
          </w:p>
        </w:tc>
        <w:tc>
          <w:tcPr>
            <w:tcW w:w="2115" w:type="dxa"/>
            <w:shd w:val="clear" w:color="auto" w:fill="auto"/>
            <w:vAlign w:val="center"/>
            <w:hideMark/>
          </w:tcPr>
          <w:p w14:paraId="0C1CE335"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甘肃秦安县郑川村旅游地产项目一期设计总包</w:t>
            </w:r>
          </w:p>
        </w:tc>
        <w:tc>
          <w:tcPr>
            <w:tcW w:w="1063" w:type="dxa"/>
            <w:shd w:val="clear" w:color="auto" w:fill="auto"/>
            <w:noWrap/>
            <w:vAlign w:val="center"/>
          </w:tcPr>
          <w:p w14:paraId="4B451FED"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1,197.97 </w:t>
            </w:r>
          </w:p>
        </w:tc>
        <w:tc>
          <w:tcPr>
            <w:tcW w:w="643" w:type="dxa"/>
            <w:shd w:val="clear" w:color="auto" w:fill="auto"/>
            <w:noWrap/>
            <w:vAlign w:val="center"/>
            <w:hideMark/>
          </w:tcPr>
          <w:p w14:paraId="35E69F5D"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住宅</w:t>
            </w:r>
          </w:p>
        </w:tc>
        <w:tc>
          <w:tcPr>
            <w:tcW w:w="1276" w:type="dxa"/>
            <w:shd w:val="clear" w:color="auto" w:fill="auto"/>
            <w:noWrap/>
            <w:vAlign w:val="center"/>
          </w:tcPr>
          <w:p w14:paraId="6B7C8B93"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-154.69 </w:t>
            </w:r>
          </w:p>
        </w:tc>
        <w:tc>
          <w:tcPr>
            <w:tcW w:w="3402" w:type="dxa"/>
            <w:vAlign w:val="center"/>
          </w:tcPr>
          <w:p w14:paraId="2403699C"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该项目在期后发生合同金额调减，申报会计师根据期后取得的有关合同调减的相关证据，追溯调整前期收入。</w:t>
            </w:r>
          </w:p>
        </w:tc>
      </w:tr>
      <w:tr w:rsidR="00C17BBD" w:rsidRPr="00251592" w14:paraId="0FDDF416" w14:textId="77777777" w:rsidTr="00622023">
        <w:trPr>
          <w:trHeight w:val="397"/>
          <w:jc w:val="center"/>
        </w:trPr>
        <w:tc>
          <w:tcPr>
            <w:tcW w:w="4526" w:type="dxa"/>
            <w:gridSpan w:val="3"/>
            <w:shd w:val="clear" w:color="auto" w:fill="auto"/>
            <w:noWrap/>
            <w:vAlign w:val="center"/>
            <w:hideMark/>
          </w:tcPr>
          <w:p w14:paraId="772C97E2" w14:textId="77777777" w:rsidR="00C17BBD" w:rsidRPr="00251592" w:rsidRDefault="00C17BBD" w:rsidP="008A2055">
            <w:pPr>
              <w:widowControl/>
              <w:jc w:val="center"/>
              <w:rPr>
                <w:rFonts w:ascii="宋体" w:eastAsia="宋体" w:hAnsi="宋体" w:cs="Times New Roman"/>
                <w:kern w:val="0"/>
                <w:sz w:val="18"/>
                <w:szCs w:val="18"/>
              </w:rPr>
            </w:pPr>
            <w:r w:rsidRPr="00251592">
              <w:rPr>
                <w:rFonts w:ascii="宋体" w:eastAsia="宋体" w:hAnsi="宋体" w:cs="Times New Roman"/>
                <w:kern w:val="0"/>
                <w:sz w:val="18"/>
                <w:szCs w:val="18"/>
              </w:rPr>
              <w:t>合计</w:t>
            </w:r>
          </w:p>
        </w:tc>
        <w:tc>
          <w:tcPr>
            <w:tcW w:w="1063" w:type="dxa"/>
            <w:shd w:val="clear" w:color="auto" w:fill="auto"/>
            <w:noWrap/>
            <w:vAlign w:val="center"/>
            <w:hideMark/>
          </w:tcPr>
          <w:p w14:paraId="04CBB629" w14:textId="77777777" w:rsidR="00C17BBD" w:rsidRPr="00251592" w:rsidRDefault="00C17BBD" w:rsidP="008A2055">
            <w:pPr>
              <w:widowControl/>
              <w:jc w:val="right"/>
              <w:rPr>
                <w:rFonts w:ascii="宋体" w:eastAsia="宋体" w:hAnsi="宋体" w:cs="Times New Roman"/>
                <w:kern w:val="0"/>
                <w:sz w:val="18"/>
                <w:szCs w:val="18"/>
              </w:rPr>
            </w:pPr>
            <w:r w:rsidRPr="00251592">
              <w:rPr>
                <w:rFonts w:ascii="宋体" w:eastAsia="宋体" w:hAnsi="宋体" w:cs="Times New Roman"/>
                <w:kern w:val="0"/>
                <w:sz w:val="18"/>
                <w:szCs w:val="18"/>
              </w:rPr>
              <w:t>3,508.94</w:t>
            </w:r>
          </w:p>
        </w:tc>
        <w:tc>
          <w:tcPr>
            <w:tcW w:w="643" w:type="dxa"/>
            <w:shd w:val="clear" w:color="auto" w:fill="auto"/>
            <w:noWrap/>
            <w:vAlign w:val="center"/>
            <w:hideMark/>
          </w:tcPr>
          <w:p w14:paraId="1617FC84" w14:textId="77777777" w:rsidR="00C17BBD" w:rsidRPr="00251592" w:rsidRDefault="00C17BBD" w:rsidP="008A2055">
            <w:pPr>
              <w:widowControl/>
              <w:jc w:val="left"/>
              <w:rPr>
                <w:rFonts w:ascii="宋体" w:eastAsia="宋体" w:hAnsi="宋体" w:cs="Times New Roman"/>
                <w:color w:val="000000"/>
                <w:kern w:val="0"/>
                <w:sz w:val="18"/>
                <w:szCs w:val="18"/>
              </w:rPr>
            </w:pPr>
            <w:r w:rsidRPr="00251592">
              <w:rPr>
                <w:rFonts w:ascii="宋体" w:eastAsia="宋体" w:hAnsi="宋体" w:cs="Times New Roman"/>
                <w:color w:val="000000"/>
                <w:kern w:val="0"/>
                <w:sz w:val="18"/>
                <w:szCs w:val="18"/>
              </w:rPr>
              <w:t>-</w:t>
            </w:r>
          </w:p>
        </w:tc>
        <w:tc>
          <w:tcPr>
            <w:tcW w:w="1276" w:type="dxa"/>
            <w:shd w:val="clear" w:color="auto" w:fill="auto"/>
            <w:noWrap/>
            <w:vAlign w:val="center"/>
          </w:tcPr>
          <w:p w14:paraId="313F2194" w14:textId="77777777" w:rsidR="00C17BBD" w:rsidRPr="00251592" w:rsidRDefault="00C17BBD" w:rsidP="008A2055">
            <w:pPr>
              <w:widowControl/>
              <w:jc w:val="right"/>
              <w:rPr>
                <w:rFonts w:ascii="宋体" w:eastAsia="宋体" w:hAnsi="宋体" w:cs="Times New Roman"/>
                <w:color w:val="000000"/>
                <w:kern w:val="0"/>
                <w:sz w:val="18"/>
                <w:szCs w:val="18"/>
              </w:rPr>
            </w:pPr>
            <w:r w:rsidRPr="00251592">
              <w:rPr>
                <w:rFonts w:ascii="宋体" w:eastAsia="宋体" w:hAnsi="宋体" w:cs="Times New Roman"/>
                <w:sz w:val="18"/>
                <w:szCs w:val="18"/>
              </w:rPr>
              <w:t xml:space="preserve"> -554.35 </w:t>
            </w:r>
          </w:p>
        </w:tc>
        <w:tc>
          <w:tcPr>
            <w:tcW w:w="3402" w:type="dxa"/>
          </w:tcPr>
          <w:p w14:paraId="5DF80B7F" w14:textId="77777777" w:rsidR="00C17BBD" w:rsidRPr="00251592" w:rsidRDefault="00C17BBD" w:rsidP="008A2055">
            <w:pPr>
              <w:widowControl/>
              <w:jc w:val="right"/>
              <w:rPr>
                <w:rFonts w:ascii="宋体" w:eastAsia="宋体" w:hAnsi="宋体" w:cs="Times New Roman"/>
                <w:sz w:val="18"/>
                <w:szCs w:val="18"/>
              </w:rPr>
            </w:pPr>
          </w:p>
        </w:tc>
      </w:tr>
    </w:tbl>
    <w:p w14:paraId="50E9A783"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szCs w:val="21"/>
        </w:rPr>
        <w:t>综上，2017年，公司申报财务报表调减营业收入554.35万元，主要原因为申报会计师结合当期获取的外部确认函，对原始财务报表中预估不准确或误记的相关收入进行调整，上述调整金额为-554.35万元，仅占当年营业收入的3.44%，占比很小。</w:t>
      </w:r>
    </w:p>
    <w:p w14:paraId="2ECC3D49"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szCs w:val="21"/>
        </w:rPr>
        <w:t>报告期内，公司收入确认政策保持一致，上述调整不涉及公司收入确认一致性问题，不存在影响公司会计基础工作规范性及内控有效性的情形。</w:t>
      </w:r>
    </w:p>
    <w:bookmarkEnd w:id="23"/>
    <w:p w14:paraId="6C57D430"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007417E6"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00C579BF" w14:textId="6CE8A16E"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申报会计师执行了如下核查程序：</w:t>
      </w:r>
    </w:p>
    <w:p w14:paraId="32DC47CA"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查询了发行人2</w:t>
      </w:r>
      <w:r w:rsidRPr="00251592">
        <w:rPr>
          <w:rFonts w:ascii="宋体" w:eastAsia="宋体" w:hAnsi="宋体"/>
          <w:szCs w:val="21"/>
        </w:rPr>
        <w:t>017</w:t>
      </w:r>
      <w:r w:rsidRPr="00251592">
        <w:rPr>
          <w:rFonts w:ascii="宋体" w:eastAsia="宋体" w:hAnsi="宋体" w:hint="eastAsia"/>
          <w:szCs w:val="21"/>
        </w:rPr>
        <w:t>年</w:t>
      </w:r>
      <w:r w:rsidRPr="00251592">
        <w:rPr>
          <w:rFonts w:ascii="宋体" w:eastAsia="宋体" w:hAnsi="宋体"/>
          <w:szCs w:val="21"/>
        </w:rPr>
        <w:t>申报财务报表</w:t>
      </w:r>
      <w:r w:rsidRPr="00251592">
        <w:rPr>
          <w:rFonts w:ascii="宋体" w:eastAsia="宋体" w:hAnsi="宋体" w:hint="eastAsia"/>
          <w:szCs w:val="21"/>
        </w:rPr>
        <w:t>调减营业收入涉及的业务合同及收入确认外部文件，查询了发行人相关业务收入记账凭证及回款情况。</w:t>
      </w:r>
    </w:p>
    <w:p w14:paraId="47BAE696"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682CDDA5" w14:textId="3385DCB1" w:rsidR="00C17BBD" w:rsidRPr="00251592" w:rsidRDefault="00C17BBD" w:rsidP="00C17BBD">
      <w:pPr>
        <w:spacing w:beforeLines="50" w:before="156" w:afterLines="50" w:after="156" w:line="360" w:lineRule="auto"/>
        <w:ind w:firstLineChars="200" w:firstLine="420"/>
        <w:rPr>
          <w:rFonts w:ascii="宋体" w:eastAsia="宋体" w:hAnsi="宋体" w:cs="Times New Roman"/>
          <w:color w:val="000000"/>
          <w:kern w:val="0"/>
          <w:szCs w:val="21"/>
          <w:u w:color="000000"/>
          <w:lang w:bidi="en-US"/>
        </w:rPr>
      </w:pPr>
      <w:r w:rsidRPr="00251592">
        <w:rPr>
          <w:rFonts w:ascii="宋体" w:eastAsia="宋体" w:hAnsi="宋体" w:cs="宋体" w:hint="eastAsia"/>
          <w:color w:val="000000"/>
          <w:kern w:val="0"/>
          <w:szCs w:val="21"/>
          <w:u w:color="000000"/>
          <w:lang w:bidi="en-US"/>
        </w:rPr>
        <w:t>申报会计师核查意见如下：</w:t>
      </w:r>
    </w:p>
    <w:p w14:paraId="1C4000AC" w14:textId="77777777" w:rsidR="00C17BBD" w:rsidRPr="00251592" w:rsidRDefault="00C17BBD" w:rsidP="00C17BBD">
      <w:pPr>
        <w:spacing w:beforeLines="50" w:before="156" w:afterLines="50" w:after="156" w:line="360" w:lineRule="auto"/>
        <w:ind w:firstLineChars="200" w:firstLine="420"/>
        <w:rPr>
          <w:rFonts w:ascii="宋体" w:eastAsia="宋体" w:hAnsi="宋体"/>
          <w:szCs w:val="21"/>
        </w:rPr>
      </w:pPr>
      <w:r w:rsidRPr="00251592">
        <w:rPr>
          <w:rFonts w:ascii="宋体" w:eastAsia="宋体" w:hAnsi="宋体" w:hint="eastAsia"/>
          <w:szCs w:val="21"/>
        </w:rPr>
        <w:t>发行人2</w:t>
      </w:r>
      <w:r w:rsidRPr="00251592">
        <w:rPr>
          <w:rFonts w:ascii="宋体" w:eastAsia="宋体" w:hAnsi="宋体"/>
          <w:szCs w:val="21"/>
        </w:rPr>
        <w:t>017</w:t>
      </w:r>
      <w:r w:rsidRPr="00251592">
        <w:rPr>
          <w:rFonts w:ascii="宋体" w:eastAsia="宋体" w:hAnsi="宋体" w:hint="eastAsia"/>
          <w:szCs w:val="21"/>
        </w:rPr>
        <w:t>年调减营业收入具有合理原因，报告期内收入确认政策保持一致，不存在影响发行人会计基础工作规范性及内控有效性的情形。</w:t>
      </w:r>
    </w:p>
    <w:p w14:paraId="5E669861" w14:textId="77777777" w:rsidR="00C17BBD" w:rsidRPr="00251592" w:rsidRDefault="00C17BBD" w:rsidP="00C17BBD">
      <w:pPr>
        <w:pStyle w:val="af7"/>
        <w:ind w:firstLine="420"/>
        <w:rPr>
          <w:rFonts w:ascii="宋体" w:eastAsia="宋体" w:hAnsi="宋体"/>
          <w:b w:val="0"/>
          <w:bCs w:val="0"/>
          <w:sz w:val="21"/>
          <w:szCs w:val="21"/>
        </w:rPr>
      </w:pPr>
    </w:p>
    <w:p w14:paraId="20F0AF89" w14:textId="77777777" w:rsidR="00C17BBD" w:rsidRPr="00251592" w:rsidRDefault="00C17BBD" w:rsidP="00C17BBD">
      <w:pPr>
        <w:spacing w:beforeLines="50" w:before="156" w:afterLines="50" w:after="156" w:line="360" w:lineRule="auto"/>
        <w:ind w:firstLineChars="200" w:firstLine="422"/>
        <w:outlineLvl w:val="0"/>
        <w:rPr>
          <w:rFonts w:ascii="宋体" w:eastAsia="宋体" w:hAnsi="宋体"/>
          <w:b/>
          <w:bCs/>
          <w:szCs w:val="21"/>
        </w:rPr>
      </w:pPr>
      <w:bookmarkStart w:id="24" w:name="_Toc55861290"/>
      <w:r w:rsidRPr="00251592">
        <w:rPr>
          <w:rFonts w:ascii="宋体" w:eastAsia="宋体" w:hAnsi="宋体" w:hint="eastAsia"/>
          <w:b/>
          <w:bCs/>
          <w:szCs w:val="21"/>
        </w:rPr>
        <w:t>问题1</w:t>
      </w:r>
      <w:r w:rsidRPr="00251592">
        <w:rPr>
          <w:rFonts w:ascii="宋体" w:eastAsia="宋体" w:hAnsi="宋体"/>
          <w:b/>
          <w:bCs/>
          <w:szCs w:val="21"/>
        </w:rPr>
        <w:t>3</w:t>
      </w:r>
      <w:bookmarkEnd w:id="24"/>
    </w:p>
    <w:p w14:paraId="4C8ADCA2"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hint="eastAsia"/>
          <w:sz w:val="21"/>
          <w:szCs w:val="21"/>
        </w:rPr>
        <w:t>13.</w:t>
      </w:r>
      <w:r w:rsidRPr="00251592">
        <w:rPr>
          <w:rFonts w:ascii="宋体" w:eastAsia="宋体" w:hAnsi="宋体"/>
          <w:sz w:val="21"/>
          <w:szCs w:val="21"/>
        </w:rPr>
        <w:t xml:space="preserve"> 关于审计截止日后财务信息及经营状况，请发行人披露：（1）审计截止日后的主要经营状况以及2020年1至9月的业绩情况和审阅报告；（2）2020年1至9月主要会计报表项目与上年年末或同期相比的变动情况，如变动幅度较大的，请分析并披露变动原因</w:t>
      </w:r>
      <w:r w:rsidRPr="00251592">
        <w:rPr>
          <w:rFonts w:ascii="宋体" w:eastAsia="宋体" w:hAnsi="宋体"/>
          <w:sz w:val="21"/>
          <w:szCs w:val="21"/>
        </w:rPr>
        <w:lastRenderedPageBreak/>
        <w:t>以及由此可能产生的影响，相关影响因素是否具有持续性；（3）如2020年1至9月经营业绩下滑的，请在风险因素中进一步量化分析和披露导致业绩下滑的相关影响因素及其变动情况，是否具有持续影响，是否影响持续经营能力，并作重大事项提示；（4）2020年全年业绩预计情况。</w:t>
      </w:r>
    </w:p>
    <w:p w14:paraId="063EFFBB" w14:textId="77777777" w:rsidR="00C17BBD" w:rsidRPr="00251592" w:rsidRDefault="00C17BBD" w:rsidP="00C17BBD">
      <w:pPr>
        <w:pStyle w:val="af7"/>
        <w:ind w:firstLine="422"/>
        <w:rPr>
          <w:rFonts w:ascii="宋体" w:eastAsia="宋体" w:hAnsi="宋体"/>
          <w:sz w:val="21"/>
          <w:szCs w:val="21"/>
        </w:rPr>
      </w:pPr>
      <w:r w:rsidRPr="00251592">
        <w:rPr>
          <w:rFonts w:ascii="宋体" w:eastAsia="宋体" w:hAnsi="宋体"/>
          <w:sz w:val="21"/>
          <w:szCs w:val="21"/>
        </w:rPr>
        <w:t>请保荐人、申报会计师发表明确意见。</w:t>
      </w:r>
    </w:p>
    <w:p w14:paraId="39E56A59" w14:textId="77777777" w:rsidR="00C17BBD" w:rsidRPr="00251592" w:rsidRDefault="00C17BBD" w:rsidP="00C17BBD">
      <w:pPr>
        <w:spacing w:beforeLines="50" w:before="156" w:afterLines="50" w:after="156" w:line="360" w:lineRule="auto"/>
        <w:ind w:firstLineChars="200" w:firstLine="422"/>
        <w:rPr>
          <w:rFonts w:ascii="宋体" w:eastAsia="宋体" w:hAnsi="宋体"/>
          <w:b/>
          <w:bCs/>
          <w:szCs w:val="21"/>
          <w:u w:val="double"/>
        </w:rPr>
      </w:pPr>
      <w:r w:rsidRPr="00251592">
        <w:rPr>
          <w:rFonts w:ascii="宋体" w:eastAsia="宋体" w:hAnsi="宋体" w:hint="eastAsia"/>
          <w:b/>
          <w:bCs/>
          <w:szCs w:val="21"/>
          <w:u w:val="double"/>
        </w:rPr>
        <w:t>答复：</w:t>
      </w:r>
    </w:p>
    <w:p w14:paraId="3EA38FFB"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（一）</w:t>
      </w:r>
      <w:r w:rsidRPr="00251592">
        <w:rPr>
          <w:rFonts w:ascii="宋体" w:eastAsia="宋体" w:hAnsi="宋体"/>
          <w:sz w:val="21"/>
          <w:szCs w:val="21"/>
        </w:rPr>
        <w:t>审计截止日后的主要经营状况以及2020年1至9月的业绩情况和审阅报告</w:t>
      </w:r>
    </w:p>
    <w:p w14:paraId="173F7A0E"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公司经审计财务报表的审计截止日为2020年6月30日。申报会计师对公司2020年9月30日的合并及母公司资产负债表，2020年1-9月的合并及母公司利润表、合并及母公司现金流量表以及财务报表附注进行了审阅，并出具了《审阅报告》</w:t>
      </w:r>
    </w:p>
    <w:p w14:paraId="793A3ACE"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1、审计截止日后的主要经营状况</w:t>
      </w:r>
    </w:p>
    <w:p w14:paraId="49EEFB3A"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自2020年6月30日以来，新冠疫情得到有效控制，公司在既定的战略规划下，积极进行业务拓展、团队建设、技术研发，经营业绩稳步上升。财务报告审计基准日至本回复报告签署日之间，公司经营状况良好，公司主营业务、经营模式未发生重大变化，公司管理层及主要核心业务人员保持稳定，未出现对公司生产经营能力产生重大不利影响的事项，也未出现其他可能影响投资者判断的重大事项。</w:t>
      </w:r>
    </w:p>
    <w:p w14:paraId="7028CCCA"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2、2020年1-9月的经营业绩情况</w:t>
      </w:r>
    </w:p>
    <w:p w14:paraId="684550B9"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2020年1-9月，公司营业收入21,513.68万元，同比增幅19.28%；净利润5,217.59万元，同比增幅33.01%；扣除非经常性损益后归属于母公司所有者的净利润为4,796.24万元，同比增幅29.50%。经营情况良好，经营业绩稳步提升。</w:t>
      </w:r>
    </w:p>
    <w:p w14:paraId="4636C66A"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（二）</w:t>
      </w:r>
      <w:r w:rsidRPr="00251592">
        <w:rPr>
          <w:rFonts w:ascii="宋体" w:eastAsia="宋体" w:hAnsi="宋体"/>
          <w:sz w:val="21"/>
          <w:szCs w:val="21"/>
        </w:rPr>
        <w:t>2020年1至9月主要会计报表项目与上年年末或同期相比的变动情况，如变动幅度较大的，请分析并披露变动原因以及由此可能产生的影响，相关影响因素是否具有持续性</w:t>
      </w:r>
    </w:p>
    <w:p w14:paraId="6C37AA8A" w14:textId="3ACCE245" w:rsidR="00C17BBD" w:rsidRPr="00251592" w:rsidRDefault="00622023" w:rsidP="00C17BBD">
      <w:pPr>
        <w:pStyle w:val="14"/>
        <w:ind w:firstLine="420"/>
        <w:rPr>
          <w:rFonts w:ascii="宋体" w:hAnsi="宋体" w:cs="Times New Roman"/>
          <w:sz w:val="21"/>
          <w:szCs w:val="21"/>
        </w:rPr>
      </w:pPr>
      <w:r w:rsidRPr="00251592">
        <w:rPr>
          <w:rFonts w:ascii="宋体" w:hAnsi="宋体" w:cs="Times New Roman" w:hint="eastAsia"/>
          <w:sz w:val="21"/>
          <w:szCs w:val="21"/>
        </w:rPr>
        <w:t>1</w:t>
      </w:r>
      <w:r w:rsidR="00C17BBD" w:rsidRPr="00251592">
        <w:rPr>
          <w:rFonts w:ascii="宋体" w:hAnsi="宋体" w:cs="Times New Roman"/>
          <w:sz w:val="21"/>
          <w:szCs w:val="21"/>
        </w:rPr>
        <w:t>、2020年1-9月主要会计报表项目与上年年末或同期相比的变动情况</w:t>
      </w:r>
    </w:p>
    <w:p w14:paraId="2E9655AA"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（1）合并资产负债表主要数据</w:t>
      </w:r>
    </w:p>
    <w:p w14:paraId="58611E91" w14:textId="77777777" w:rsidR="00C17BBD" w:rsidRPr="00251592" w:rsidRDefault="00C17BBD" w:rsidP="00C17BBD">
      <w:pPr>
        <w:pStyle w:val="14"/>
        <w:spacing w:afterLines="0" w:line="240" w:lineRule="auto"/>
        <w:ind w:firstLine="420"/>
        <w:jc w:val="right"/>
        <w:rPr>
          <w:rFonts w:ascii="宋体" w:hAnsi="宋体" w:cs="Times New Roman"/>
          <w:sz w:val="21"/>
          <w:szCs w:val="21"/>
        </w:rPr>
      </w:pPr>
      <w:r w:rsidRPr="00251592">
        <w:rPr>
          <w:rFonts w:ascii="宋体" w:hAnsi="宋体" w:cs="Times New Roman"/>
          <w:sz w:val="21"/>
          <w:szCs w:val="21"/>
        </w:rPr>
        <w:lastRenderedPageBreak/>
        <w:t>单位：万元</w:t>
      </w:r>
    </w:p>
    <w:tbl>
      <w:tblPr>
        <w:tblW w:w="5000"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2713"/>
        <w:gridCol w:w="2318"/>
        <w:gridCol w:w="1848"/>
        <w:gridCol w:w="1643"/>
      </w:tblGrid>
      <w:tr w:rsidR="00C17BBD" w:rsidRPr="00251592" w14:paraId="05872C29" w14:textId="77777777" w:rsidTr="00622023">
        <w:trPr>
          <w:trHeight w:val="403"/>
          <w:jc w:val="center"/>
        </w:trPr>
        <w:tc>
          <w:tcPr>
            <w:tcW w:w="1592" w:type="pct"/>
            <w:vAlign w:val="center"/>
          </w:tcPr>
          <w:p w14:paraId="20DE8947" w14:textId="77777777" w:rsidR="00C17BBD" w:rsidRPr="00251592" w:rsidRDefault="00C17BBD" w:rsidP="008A2055">
            <w:pPr>
              <w:widowControl/>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项</w:t>
            </w:r>
            <w:r w:rsidRPr="00251592">
              <w:rPr>
                <w:rFonts w:ascii="宋体" w:eastAsia="宋体" w:hAnsi="宋体" w:cs="Times New Roman"/>
                <w:color w:val="000000"/>
                <w:kern w:val="0"/>
                <w:sz w:val="18"/>
                <w:szCs w:val="18"/>
                <w:lang w:bidi="en-US"/>
              </w:rPr>
              <w:t xml:space="preserve"> </w:t>
            </w:r>
            <w:r w:rsidRPr="00251592">
              <w:rPr>
                <w:rFonts w:ascii="宋体" w:eastAsia="宋体" w:hAnsi="宋体" w:cs="Times New Roman"/>
                <w:color w:val="000000"/>
                <w:kern w:val="0"/>
                <w:sz w:val="18"/>
                <w:szCs w:val="18"/>
                <w:lang w:eastAsia="en-US" w:bidi="en-US"/>
              </w:rPr>
              <w:t>目</w:t>
            </w:r>
          </w:p>
        </w:tc>
        <w:tc>
          <w:tcPr>
            <w:tcW w:w="1360" w:type="pct"/>
            <w:vAlign w:val="center"/>
          </w:tcPr>
          <w:p w14:paraId="14453227"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2020年9月末</w:t>
            </w:r>
          </w:p>
        </w:tc>
        <w:tc>
          <w:tcPr>
            <w:tcW w:w="1084" w:type="pct"/>
            <w:vAlign w:val="center"/>
          </w:tcPr>
          <w:p w14:paraId="3DA1AEFA"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2019年末</w:t>
            </w:r>
          </w:p>
        </w:tc>
        <w:tc>
          <w:tcPr>
            <w:tcW w:w="964" w:type="pct"/>
            <w:vAlign w:val="center"/>
          </w:tcPr>
          <w:p w14:paraId="7EC2781F"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变化率</w:t>
            </w:r>
          </w:p>
        </w:tc>
      </w:tr>
      <w:tr w:rsidR="00C17BBD" w:rsidRPr="00251592" w14:paraId="764EE0C8" w14:textId="77777777" w:rsidTr="00622023">
        <w:trPr>
          <w:trHeight w:val="403"/>
          <w:jc w:val="center"/>
        </w:trPr>
        <w:tc>
          <w:tcPr>
            <w:tcW w:w="1592" w:type="pct"/>
            <w:vAlign w:val="center"/>
          </w:tcPr>
          <w:p w14:paraId="2DB5CDC7"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资产总计</w:t>
            </w:r>
            <w:proofErr w:type="spellEnd"/>
          </w:p>
        </w:tc>
        <w:tc>
          <w:tcPr>
            <w:tcW w:w="1360" w:type="pct"/>
            <w:vAlign w:val="center"/>
          </w:tcPr>
          <w:p w14:paraId="32A41D91"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 xml:space="preserve">  35,889.59 </w:t>
            </w:r>
          </w:p>
        </w:tc>
        <w:tc>
          <w:tcPr>
            <w:tcW w:w="1084" w:type="pct"/>
            <w:vAlign w:val="center"/>
          </w:tcPr>
          <w:p w14:paraId="5D0F0815"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 xml:space="preserve">  30,888.81 </w:t>
            </w:r>
          </w:p>
        </w:tc>
        <w:tc>
          <w:tcPr>
            <w:tcW w:w="964" w:type="pct"/>
            <w:vAlign w:val="center"/>
          </w:tcPr>
          <w:p w14:paraId="24B6079D"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16.19%</w:t>
            </w:r>
          </w:p>
        </w:tc>
      </w:tr>
      <w:tr w:rsidR="00C17BBD" w:rsidRPr="00251592" w14:paraId="375EC5A2" w14:textId="77777777" w:rsidTr="00622023">
        <w:trPr>
          <w:trHeight w:val="403"/>
          <w:jc w:val="center"/>
        </w:trPr>
        <w:tc>
          <w:tcPr>
            <w:tcW w:w="1592" w:type="pct"/>
            <w:vAlign w:val="center"/>
          </w:tcPr>
          <w:p w14:paraId="4B125530"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负债合计</w:t>
            </w:r>
            <w:proofErr w:type="spellEnd"/>
          </w:p>
        </w:tc>
        <w:tc>
          <w:tcPr>
            <w:tcW w:w="1360" w:type="pct"/>
            <w:vAlign w:val="center"/>
          </w:tcPr>
          <w:p w14:paraId="195AE815"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 xml:space="preserve">    5,823.17 </w:t>
            </w:r>
          </w:p>
        </w:tc>
        <w:tc>
          <w:tcPr>
            <w:tcW w:w="1084" w:type="pct"/>
            <w:vAlign w:val="center"/>
          </w:tcPr>
          <w:p w14:paraId="4F8638B5"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 xml:space="preserve">    6,039.98 </w:t>
            </w:r>
          </w:p>
        </w:tc>
        <w:tc>
          <w:tcPr>
            <w:tcW w:w="964" w:type="pct"/>
            <w:vAlign w:val="center"/>
          </w:tcPr>
          <w:p w14:paraId="6B3A51BE"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-3.59%</w:t>
            </w:r>
          </w:p>
        </w:tc>
      </w:tr>
      <w:tr w:rsidR="00C17BBD" w:rsidRPr="00251592" w14:paraId="00F20067" w14:textId="77777777" w:rsidTr="00622023">
        <w:trPr>
          <w:trHeight w:val="403"/>
          <w:jc w:val="center"/>
        </w:trPr>
        <w:tc>
          <w:tcPr>
            <w:tcW w:w="1592" w:type="pct"/>
            <w:vAlign w:val="center"/>
          </w:tcPr>
          <w:p w14:paraId="49D0A900"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所有者权益合计</w:t>
            </w:r>
            <w:proofErr w:type="spellEnd"/>
          </w:p>
        </w:tc>
        <w:tc>
          <w:tcPr>
            <w:tcW w:w="1360" w:type="pct"/>
            <w:vAlign w:val="center"/>
          </w:tcPr>
          <w:p w14:paraId="64F033F9"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 xml:space="preserve">  30,066.42 </w:t>
            </w:r>
          </w:p>
        </w:tc>
        <w:tc>
          <w:tcPr>
            <w:tcW w:w="1084" w:type="pct"/>
            <w:vAlign w:val="center"/>
          </w:tcPr>
          <w:p w14:paraId="6E06C287"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 xml:space="preserve">  24,848.83 </w:t>
            </w:r>
          </w:p>
        </w:tc>
        <w:tc>
          <w:tcPr>
            <w:tcW w:w="964" w:type="pct"/>
            <w:vAlign w:val="center"/>
          </w:tcPr>
          <w:p w14:paraId="1461A48A" w14:textId="77777777" w:rsidR="00C17BBD" w:rsidRPr="00251592" w:rsidRDefault="00C17BBD" w:rsidP="008A2055">
            <w:pPr>
              <w:widowControl/>
              <w:jc w:val="right"/>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21.00%</w:t>
            </w:r>
          </w:p>
        </w:tc>
      </w:tr>
    </w:tbl>
    <w:p w14:paraId="5F0620B8"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2020年9月末，公司资产总额35,889.59万元，较2019年末增加16.19%，主要系应收账款增加所致；负债总额5,823.17万元，较2019年末减少3.59%，主要系应付职工薪</w:t>
      </w:r>
      <w:proofErr w:type="gramStart"/>
      <w:r w:rsidRPr="00251592">
        <w:rPr>
          <w:rFonts w:ascii="宋体" w:hAnsi="宋体" w:cs="Times New Roman"/>
          <w:sz w:val="21"/>
          <w:szCs w:val="21"/>
        </w:rPr>
        <w:t>酬</w:t>
      </w:r>
      <w:proofErr w:type="gramEnd"/>
      <w:r w:rsidRPr="00251592">
        <w:rPr>
          <w:rFonts w:ascii="宋体" w:hAnsi="宋体" w:cs="Times New Roman"/>
          <w:sz w:val="21"/>
          <w:szCs w:val="21"/>
        </w:rPr>
        <w:t>减少所致；所有者权益总额30,066.42万元，较上年末增长21.00%，主要系未分配利润增加所致。</w:t>
      </w:r>
    </w:p>
    <w:p w14:paraId="0922209E"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合并资产负债表中变化率超过30.00%的主要科目的变动原因具体如下：</w:t>
      </w:r>
    </w:p>
    <w:p w14:paraId="7D4A104E" w14:textId="77777777" w:rsidR="00C17BBD" w:rsidRPr="00251592" w:rsidRDefault="00C17BBD" w:rsidP="00C17BBD">
      <w:pPr>
        <w:pStyle w:val="14"/>
        <w:spacing w:afterLines="0" w:line="240" w:lineRule="auto"/>
        <w:ind w:firstLine="420"/>
        <w:jc w:val="right"/>
        <w:rPr>
          <w:rFonts w:ascii="宋体" w:hAnsi="宋体" w:cs="Times New Roman"/>
          <w:sz w:val="21"/>
          <w:szCs w:val="21"/>
        </w:rPr>
      </w:pPr>
      <w:r w:rsidRPr="00251592">
        <w:rPr>
          <w:rFonts w:ascii="宋体" w:hAnsi="宋体" w:cs="Times New Roman"/>
          <w:sz w:val="21"/>
          <w:szCs w:val="21"/>
        </w:rPr>
        <w:t>单位：万元</w:t>
      </w:r>
    </w:p>
    <w:tbl>
      <w:tblPr>
        <w:tblW w:w="5903" w:type="pct"/>
        <w:jc w:val="center"/>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998"/>
        <w:gridCol w:w="1646"/>
        <w:gridCol w:w="1312"/>
        <w:gridCol w:w="1169"/>
        <w:gridCol w:w="3936"/>
      </w:tblGrid>
      <w:tr w:rsidR="00C17BBD" w:rsidRPr="00251592" w14:paraId="07D89DD0" w14:textId="77777777" w:rsidTr="00622023">
        <w:trPr>
          <w:trHeight w:val="403"/>
          <w:jc w:val="center"/>
        </w:trPr>
        <w:tc>
          <w:tcPr>
            <w:tcW w:w="993" w:type="pct"/>
            <w:vAlign w:val="center"/>
          </w:tcPr>
          <w:p w14:paraId="1D608868" w14:textId="77777777" w:rsidR="00C17BBD" w:rsidRPr="00251592" w:rsidRDefault="00C17BBD" w:rsidP="008A2055">
            <w:pPr>
              <w:widowControl/>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项</w:t>
            </w:r>
            <w:r w:rsidRPr="00251592">
              <w:rPr>
                <w:rFonts w:ascii="宋体" w:eastAsia="宋体" w:hAnsi="宋体" w:cs="Times New Roman"/>
                <w:color w:val="000000"/>
                <w:kern w:val="0"/>
                <w:sz w:val="18"/>
                <w:szCs w:val="18"/>
                <w:lang w:bidi="en-US"/>
              </w:rPr>
              <w:t xml:space="preserve"> </w:t>
            </w:r>
            <w:r w:rsidRPr="00251592">
              <w:rPr>
                <w:rFonts w:ascii="宋体" w:eastAsia="宋体" w:hAnsi="宋体" w:cs="Times New Roman"/>
                <w:color w:val="000000"/>
                <w:kern w:val="0"/>
                <w:sz w:val="18"/>
                <w:szCs w:val="18"/>
                <w:lang w:eastAsia="en-US" w:bidi="en-US"/>
              </w:rPr>
              <w:t>目</w:t>
            </w:r>
          </w:p>
        </w:tc>
        <w:tc>
          <w:tcPr>
            <w:tcW w:w="818" w:type="pct"/>
            <w:vAlign w:val="center"/>
          </w:tcPr>
          <w:p w14:paraId="1B5DD23A"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2020年9月末</w:t>
            </w:r>
          </w:p>
        </w:tc>
        <w:tc>
          <w:tcPr>
            <w:tcW w:w="652" w:type="pct"/>
            <w:vAlign w:val="center"/>
          </w:tcPr>
          <w:p w14:paraId="7956C9BE"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2019年末</w:t>
            </w:r>
          </w:p>
        </w:tc>
        <w:tc>
          <w:tcPr>
            <w:tcW w:w="581" w:type="pct"/>
            <w:vAlign w:val="center"/>
          </w:tcPr>
          <w:p w14:paraId="11867397"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变化率</w:t>
            </w:r>
          </w:p>
        </w:tc>
        <w:tc>
          <w:tcPr>
            <w:tcW w:w="1956" w:type="pct"/>
            <w:vAlign w:val="center"/>
          </w:tcPr>
          <w:p w14:paraId="6E0D1B2E"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变动原因</w:t>
            </w:r>
          </w:p>
        </w:tc>
      </w:tr>
      <w:tr w:rsidR="00C17BBD" w:rsidRPr="00251592" w14:paraId="1DD34C9C" w14:textId="77777777" w:rsidTr="00622023">
        <w:trPr>
          <w:trHeight w:val="403"/>
          <w:jc w:val="center"/>
        </w:trPr>
        <w:tc>
          <w:tcPr>
            <w:tcW w:w="993" w:type="pct"/>
            <w:vAlign w:val="center"/>
          </w:tcPr>
          <w:p w14:paraId="1C2AEFD5"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货币资金</w:t>
            </w:r>
          </w:p>
        </w:tc>
        <w:tc>
          <w:tcPr>
            <w:tcW w:w="818" w:type="pct"/>
            <w:vAlign w:val="center"/>
          </w:tcPr>
          <w:p w14:paraId="363F8BDB"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5,119.97</w:t>
            </w:r>
          </w:p>
        </w:tc>
        <w:tc>
          <w:tcPr>
            <w:tcW w:w="652" w:type="pct"/>
            <w:vAlign w:val="center"/>
          </w:tcPr>
          <w:p w14:paraId="3EE5235B" w14:textId="77777777" w:rsidR="00C17BBD" w:rsidRPr="00251592" w:rsidRDefault="00C17BBD" w:rsidP="008A2055">
            <w:pPr>
              <w:widowControl/>
              <w:jc w:val="right"/>
              <w:rPr>
                <w:rFonts w:ascii="宋体" w:eastAsia="宋体" w:hAnsi="宋体" w:cs="Times New Roman"/>
                <w:iCs/>
                <w:color w:val="000000"/>
                <w:kern w:val="0"/>
                <w:sz w:val="18"/>
                <w:szCs w:val="18"/>
                <w:lang w:bidi="en-US"/>
              </w:rPr>
            </w:pPr>
            <w:r w:rsidRPr="00251592">
              <w:rPr>
                <w:rFonts w:ascii="宋体" w:eastAsia="宋体" w:hAnsi="宋体" w:cs="Times New Roman"/>
                <w:sz w:val="18"/>
                <w:szCs w:val="18"/>
              </w:rPr>
              <w:t>7,368.05</w:t>
            </w:r>
          </w:p>
        </w:tc>
        <w:tc>
          <w:tcPr>
            <w:tcW w:w="581" w:type="pct"/>
            <w:vAlign w:val="center"/>
          </w:tcPr>
          <w:p w14:paraId="778A28E1" w14:textId="77777777" w:rsidR="00C17BBD" w:rsidRPr="00251592" w:rsidRDefault="00C17BBD" w:rsidP="008A2055">
            <w:pPr>
              <w:widowControl/>
              <w:jc w:val="right"/>
              <w:rPr>
                <w:rFonts w:ascii="宋体" w:eastAsia="宋体" w:hAnsi="宋体" w:cs="Times New Roman"/>
                <w:iCs/>
                <w:color w:val="000000"/>
                <w:kern w:val="0"/>
                <w:sz w:val="18"/>
                <w:szCs w:val="18"/>
                <w:lang w:bidi="en-US"/>
              </w:rPr>
            </w:pPr>
            <w:r w:rsidRPr="00251592">
              <w:rPr>
                <w:rFonts w:ascii="宋体" w:eastAsia="宋体" w:hAnsi="宋体" w:cs="Times New Roman"/>
                <w:sz w:val="18"/>
                <w:szCs w:val="18"/>
              </w:rPr>
              <w:t>-30.51%</w:t>
            </w:r>
          </w:p>
        </w:tc>
        <w:tc>
          <w:tcPr>
            <w:tcW w:w="1956" w:type="pct"/>
            <w:vAlign w:val="center"/>
          </w:tcPr>
          <w:p w14:paraId="0A4F433E"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受新冠疫情等因素影响，客户回款总体有所延缓，当期经营性现金流量净额为</w:t>
            </w:r>
            <w:r w:rsidRPr="00251592">
              <w:rPr>
                <w:rFonts w:ascii="宋体" w:eastAsia="宋体" w:hAnsi="宋体" w:cs="Times New Roman"/>
                <w:sz w:val="18"/>
                <w:szCs w:val="18"/>
              </w:rPr>
              <w:t>-1,299.03万元</w:t>
            </w:r>
          </w:p>
        </w:tc>
      </w:tr>
      <w:tr w:rsidR="00C17BBD" w:rsidRPr="00251592" w14:paraId="1A7243F3" w14:textId="77777777" w:rsidTr="00622023">
        <w:trPr>
          <w:trHeight w:val="403"/>
          <w:jc w:val="center"/>
        </w:trPr>
        <w:tc>
          <w:tcPr>
            <w:tcW w:w="993" w:type="pct"/>
            <w:vAlign w:val="center"/>
          </w:tcPr>
          <w:p w14:paraId="4E2EC128"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应收票据</w:t>
            </w:r>
          </w:p>
        </w:tc>
        <w:tc>
          <w:tcPr>
            <w:tcW w:w="818" w:type="pct"/>
            <w:vAlign w:val="center"/>
          </w:tcPr>
          <w:p w14:paraId="72B4F61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405.54 </w:t>
            </w:r>
          </w:p>
        </w:tc>
        <w:tc>
          <w:tcPr>
            <w:tcW w:w="652" w:type="pct"/>
            <w:vAlign w:val="center"/>
          </w:tcPr>
          <w:p w14:paraId="2352CDE4"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267.31 </w:t>
            </w:r>
          </w:p>
        </w:tc>
        <w:tc>
          <w:tcPr>
            <w:tcW w:w="581" w:type="pct"/>
            <w:vAlign w:val="center"/>
          </w:tcPr>
          <w:p w14:paraId="3AB17A5F"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51.71%</w:t>
            </w:r>
          </w:p>
        </w:tc>
        <w:tc>
          <w:tcPr>
            <w:tcW w:w="1956" w:type="pct"/>
            <w:vAlign w:val="center"/>
          </w:tcPr>
          <w:p w14:paraId="45B0607C"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业务规模的扩大，客户以票据支付增多所致</w:t>
            </w:r>
          </w:p>
        </w:tc>
      </w:tr>
      <w:tr w:rsidR="00C17BBD" w:rsidRPr="00251592" w14:paraId="4F3175BC" w14:textId="77777777" w:rsidTr="00622023">
        <w:trPr>
          <w:trHeight w:val="403"/>
          <w:jc w:val="center"/>
        </w:trPr>
        <w:tc>
          <w:tcPr>
            <w:tcW w:w="993" w:type="pct"/>
            <w:vAlign w:val="center"/>
          </w:tcPr>
          <w:p w14:paraId="2CA57F05"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应收账款</w:t>
            </w:r>
          </w:p>
        </w:tc>
        <w:tc>
          <w:tcPr>
            <w:tcW w:w="818" w:type="pct"/>
            <w:vAlign w:val="center"/>
          </w:tcPr>
          <w:p w14:paraId="6406B011"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25,938.49 </w:t>
            </w:r>
          </w:p>
        </w:tc>
        <w:tc>
          <w:tcPr>
            <w:tcW w:w="652" w:type="pct"/>
            <w:vAlign w:val="center"/>
          </w:tcPr>
          <w:p w14:paraId="6F9D606D"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19,941.49 </w:t>
            </w:r>
          </w:p>
        </w:tc>
        <w:tc>
          <w:tcPr>
            <w:tcW w:w="581" w:type="pct"/>
            <w:vAlign w:val="center"/>
          </w:tcPr>
          <w:p w14:paraId="03893727"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30.07%</w:t>
            </w:r>
          </w:p>
        </w:tc>
        <w:tc>
          <w:tcPr>
            <w:tcW w:w="1956" w:type="pct"/>
            <w:vAlign w:val="center"/>
          </w:tcPr>
          <w:p w14:paraId="421588E4"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一方面，随着业务规模的扩大，应收账款相应增加；另一方面受新冠疫情等因素影响，客户回款进度整体有所延缓</w:t>
            </w:r>
          </w:p>
        </w:tc>
      </w:tr>
      <w:tr w:rsidR="00C17BBD" w:rsidRPr="00251592" w14:paraId="759767A2" w14:textId="77777777" w:rsidTr="00622023">
        <w:trPr>
          <w:trHeight w:val="403"/>
          <w:jc w:val="center"/>
        </w:trPr>
        <w:tc>
          <w:tcPr>
            <w:tcW w:w="993" w:type="pct"/>
            <w:vAlign w:val="center"/>
          </w:tcPr>
          <w:p w14:paraId="377E7E25"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预付款项</w:t>
            </w:r>
          </w:p>
        </w:tc>
        <w:tc>
          <w:tcPr>
            <w:tcW w:w="818" w:type="pct"/>
            <w:vAlign w:val="center"/>
          </w:tcPr>
          <w:p w14:paraId="0ABA2AE9"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754.88 </w:t>
            </w:r>
          </w:p>
        </w:tc>
        <w:tc>
          <w:tcPr>
            <w:tcW w:w="652" w:type="pct"/>
            <w:vAlign w:val="center"/>
          </w:tcPr>
          <w:p w14:paraId="230CDB7A"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322.46 </w:t>
            </w:r>
          </w:p>
        </w:tc>
        <w:tc>
          <w:tcPr>
            <w:tcW w:w="581" w:type="pct"/>
            <w:vAlign w:val="center"/>
          </w:tcPr>
          <w:p w14:paraId="3F4C9EF4"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134.10%</w:t>
            </w:r>
          </w:p>
        </w:tc>
        <w:tc>
          <w:tcPr>
            <w:tcW w:w="1956" w:type="pct"/>
            <w:vAlign w:val="center"/>
          </w:tcPr>
          <w:p w14:paraId="797AC2FD"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主要</w:t>
            </w:r>
            <w:proofErr w:type="gramStart"/>
            <w:r w:rsidRPr="00251592">
              <w:rPr>
                <w:rFonts w:ascii="宋体" w:eastAsia="宋体" w:hAnsi="宋体" w:cs="Times New Roman"/>
                <w:iCs/>
                <w:color w:val="000000"/>
                <w:kern w:val="0"/>
                <w:sz w:val="18"/>
                <w:szCs w:val="18"/>
                <w:lang w:bidi="en-US"/>
              </w:rPr>
              <w:t>系供应</w:t>
            </w:r>
            <w:proofErr w:type="gramEnd"/>
            <w:r w:rsidRPr="00251592">
              <w:rPr>
                <w:rFonts w:ascii="宋体" w:eastAsia="宋体" w:hAnsi="宋体" w:cs="Times New Roman"/>
                <w:iCs/>
                <w:color w:val="000000"/>
                <w:kern w:val="0"/>
                <w:sz w:val="18"/>
                <w:szCs w:val="18"/>
                <w:lang w:bidi="en-US"/>
              </w:rPr>
              <w:t>商采购款、房屋租金、本次上市中介机构服务费用等增加所致</w:t>
            </w:r>
          </w:p>
        </w:tc>
      </w:tr>
      <w:tr w:rsidR="00C17BBD" w:rsidRPr="00251592" w14:paraId="54CDD74D" w14:textId="77777777" w:rsidTr="00622023">
        <w:trPr>
          <w:trHeight w:val="403"/>
          <w:jc w:val="center"/>
        </w:trPr>
        <w:tc>
          <w:tcPr>
            <w:tcW w:w="993" w:type="pct"/>
            <w:vAlign w:val="center"/>
          </w:tcPr>
          <w:p w14:paraId="4C6F9847"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color w:val="000000"/>
                <w:kern w:val="0"/>
                <w:sz w:val="18"/>
                <w:szCs w:val="18"/>
                <w:lang w:bidi="en-US"/>
              </w:rPr>
              <w:t>投资性房地产</w:t>
            </w:r>
          </w:p>
        </w:tc>
        <w:tc>
          <w:tcPr>
            <w:tcW w:w="818" w:type="pct"/>
            <w:vAlign w:val="center"/>
          </w:tcPr>
          <w:p w14:paraId="7031C151"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91.52</w:t>
            </w:r>
          </w:p>
        </w:tc>
        <w:tc>
          <w:tcPr>
            <w:tcW w:w="652" w:type="pct"/>
            <w:vAlign w:val="center"/>
          </w:tcPr>
          <w:p w14:paraId="3FD24559"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w:t>
            </w:r>
          </w:p>
        </w:tc>
        <w:tc>
          <w:tcPr>
            <w:tcW w:w="581" w:type="pct"/>
            <w:vAlign w:val="center"/>
          </w:tcPr>
          <w:p w14:paraId="00BB4A2B"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w:t>
            </w:r>
          </w:p>
        </w:tc>
        <w:tc>
          <w:tcPr>
            <w:tcW w:w="1956" w:type="pct"/>
            <w:vAlign w:val="center"/>
          </w:tcPr>
          <w:p w14:paraId="2C18F723" w14:textId="77777777" w:rsidR="00C17BBD" w:rsidRPr="00251592" w:rsidRDefault="00C17BBD" w:rsidP="008A2055">
            <w:pPr>
              <w:widowControl/>
              <w:jc w:val="left"/>
              <w:rPr>
                <w:rFonts w:ascii="宋体" w:eastAsia="宋体" w:hAnsi="宋体" w:cs="Times New Roman"/>
                <w:iCs/>
                <w:kern w:val="0"/>
                <w:sz w:val="18"/>
                <w:szCs w:val="18"/>
                <w:lang w:bidi="en-US"/>
              </w:rPr>
            </w:pPr>
            <w:r w:rsidRPr="00251592">
              <w:rPr>
                <w:rFonts w:ascii="宋体" w:eastAsia="宋体" w:hAnsi="宋体" w:cs="Times New Roman"/>
                <w:iCs/>
                <w:kern w:val="0"/>
                <w:sz w:val="18"/>
                <w:szCs w:val="18"/>
                <w:lang w:bidi="en-US"/>
              </w:rPr>
              <w:t>公司以房抵债资产取得产权证书，公司将其划入投资性房地产</w:t>
            </w:r>
          </w:p>
        </w:tc>
      </w:tr>
      <w:tr w:rsidR="00C17BBD" w:rsidRPr="00251592" w14:paraId="373CEBB2" w14:textId="77777777" w:rsidTr="00622023">
        <w:trPr>
          <w:trHeight w:val="403"/>
          <w:jc w:val="center"/>
        </w:trPr>
        <w:tc>
          <w:tcPr>
            <w:tcW w:w="993" w:type="pct"/>
            <w:vAlign w:val="center"/>
          </w:tcPr>
          <w:p w14:paraId="77C9854A"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递延所得税资产</w:t>
            </w:r>
            <w:proofErr w:type="spellEnd"/>
          </w:p>
        </w:tc>
        <w:tc>
          <w:tcPr>
            <w:tcW w:w="818" w:type="pct"/>
            <w:vAlign w:val="center"/>
          </w:tcPr>
          <w:p w14:paraId="090B6804"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296.84 </w:t>
            </w:r>
          </w:p>
        </w:tc>
        <w:tc>
          <w:tcPr>
            <w:tcW w:w="652" w:type="pct"/>
            <w:vAlign w:val="center"/>
          </w:tcPr>
          <w:p w14:paraId="15A205F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201.22 </w:t>
            </w:r>
          </w:p>
        </w:tc>
        <w:tc>
          <w:tcPr>
            <w:tcW w:w="581" w:type="pct"/>
            <w:vAlign w:val="center"/>
          </w:tcPr>
          <w:p w14:paraId="03CADA00"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47.52%</w:t>
            </w:r>
          </w:p>
        </w:tc>
        <w:tc>
          <w:tcPr>
            <w:tcW w:w="1956" w:type="pct"/>
            <w:vAlign w:val="center"/>
          </w:tcPr>
          <w:p w14:paraId="1819F79C"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整体金额较小，主要系计提坏账所致</w:t>
            </w:r>
          </w:p>
        </w:tc>
      </w:tr>
      <w:tr w:rsidR="00C17BBD" w:rsidRPr="00251592" w14:paraId="0DB21DCF" w14:textId="77777777" w:rsidTr="00622023">
        <w:trPr>
          <w:trHeight w:val="403"/>
          <w:jc w:val="center"/>
        </w:trPr>
        <w:tc>
          <w:tcPr>
            <w:tcW w:w="993" w:type="pct"/>
            <w:vAlign w:val="center"/>
          </w:tcPr>
          <w:p w14:paraId="372AE534"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其他非流动资产</w:t>
            </w:r>
            <w:proofErr w:type="spellEnd"/>
          </w:p>
        </w:tc>
        <w:tc>
          <w:tcPr>
            <w:tcW w:w="818" w:type="pct"/>
            <w:vAlign w:val="center"/>
          </w:tcPr>
          <w:p w14:paraId="03A7D80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939.03 </w:t>
            </w:r>
          </w:p>
        </w:tc>
        <w:tc>
          <w:tcPr>
            <w:tcW w:w="652" w:type="pct"/>
            <w:vAlign w:val="center"/>
          </w:tcPr>
          <w:p w14:paraId="59185498"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248.91 </w:t>
            </w:r>
          </w:p>
        </w:tc>
        <w:tc>
          <w:tcPr>
            <w:tcW w:w="581" w:type="pct"/>
            <w:vAlign w:val="center"/>
          </w:tcPr>
          <w:p w14:paraId="15723E50"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277.25%</w:t>
            </w:r>
          </w:p>
        </w:tc>
        <w:tc>
          <w:tcPr>
            <w:tcW w:w="1956" w:type="pct"/>
            <w:vAlign w:val="center"/>
          </w:tcPr>
          <w:p w14:paraId="5ACD3689"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主要</w:t>
            </w:r>
            <w:proofErr w:type="gramStart"/>
            <w:r w:rsidRPr="00251592">
              <w:rPr>
                <w:rFonts w:ascii="宋体" w:eastAsia="宋体" w:hAnsi="宋体" w:cs="Times New Roman"/>
                <w:iCs/>
                <w:color w:val="000000"/>
                <w:kern w:val="0"/>
                <w:sz w:val="18"/>
                <w:szCs w:val="18"/>
                <w:lang w:bidi="en-US"/>
              </w:rPr>
              <w:t>系客户</w:t>
            </w:r>
            <w:proofErr w:type="gramEnd"/>
            <w:r w:rsidRPr="00251592">
              <w:rPr>
                <w:rFonts w:ascii="宋体" w:eastAsia="宋体" w:hAnsi="宋体" w:cs="Times New Roman"/>
                <w:iCs/>
                <w:color w:val="000000"/>
                <w:kern w:val="0"/>
                <w:sz w:val="18"/>
                <w:szCs w:val="18"/>
                <w:lang w:bidi="en-US"/>
              </w:rPr>
              <w:t>以其自有房产抵偿所欠公司设计费用所致</w:t>
            </w:r>
          </w:p>
        </w:tc>
      </w:tr>
      <w:tr w:rsidR="00C17BBD" w:rsidRPr="00251592" w14:paraId="7F9A3CB9" w14:textId="77777777" w:rsidTr="00622023">
        <w:trPr>
          <w:trHeight w:val="403"/>
          <w:jc w:val="center"/>
        </w:trPr>
        <w:tc>
          <w:tcPr>
            <w:tcW w:w="993" w:type="pct"/>
            <w:vAlign w:val="center"/>
          </w:tcPr>
          <w:p w14:paraId="052E413B"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短期借款</w:t>
            </w:r>
            <w:proofErr w:type="spellEnd"/>
          </w:p>
        </w:tc>
        <w:tc>
          <w:tcPr>
            <w:tcW w:w="818" w:type="pct"/>
            <w:vAlign w:val="center"/>
          </w:tcPr>
          <w:p w14:paraId="5A891C4B"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w:t>
            </w:r>
          </w:p>
        </w:tc>
        <w:tc>
          <w:tcPr>
            <w:tcW w:w="652" w:type="pct"/>
            <w:vAlign w:val="center"/>
          </w:tcPr>
          <w:p w14:paraId="590F5B5C"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84.01</w:t>
            </w:r>
          </w:p>
        </w:tc>
        <w:tc>
          <w:tcPr>
            <w:tcW w:w="581" w:type="pct"/>
            <w:vAlign w:val="center"/>
          </w:tcPr>
          <w:p w14:paraId="3D30CAC3"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-100.00%</w:t>
            </w:r>
          </w:p>
        </w:tc>
        <w:tc>
          <w:tcPr>
            <w:tcW w:w="1956" w:type="pct"/>
            <w:vAlign w:val="center"/>
          </w:tcPr>
          <w:p w14:paraId="13DF7BBA"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color w:val="000000"/>
                <w:sz w:val="18"/>
                <w:szCs w:val="18"/>
              </w:rPr>
              <w:t>主要系短期借款清偿所致</w:t>
            </w:r>
          </w:p>
        </w:tc>
      </w:tr>
      <w:tr w:rsidR="00C17BBD" w:rsidRPr="00251592" w14:paraId="3BABA7B1" w14:textId="77777777" w:rsidTr="00622023">
        <w:trPr>
          <w:trHeight w:val="403"/>
          <w:jc w:val="center"/>
        </w:trPr>
        <w:tc>
          <w:tcPr>
            <w:tcW w:w="993" w:type="pct"/>
            <w:vAlign w:val="center"/>
          </w:tcPr>
          <w:p w14:paraId="5B188136"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预收款项</w:t>
            </w:r>
            <w:proofErr w:type="spellEnd"/>
          </w:p>
        </w:tc>
        <w:tc>
          <w:tcPr>
            <w:tcW w:w="818" w:type="pct"/>
            <w:vAlign w:val="center"/>
          </w:tcPr>
          <w:p w14:paraId="5621E62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w:t>
            </w:r>
          </w:p>
        </w:tc>
        <w:tc>
          <w:tcPr>
            <w:tcW w:w="652" w:type="pct"/>
            <w:vAlign w:val="center"/>
          </w:tcPr>
          <w:p w14:paraId="6D86874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264.24 </w:t>
            </w:r>
          </w:p>
        </w:tc>
        <w:tc>
          <w:tcPr>
            <w:tcW w:w="581" w:type="pct"/>
            <w:vAlign w:val="center"/>
          </w:tcPr>
          <w:p w14:paraId="5D01BD2F"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-100.00%</w:t>
            </w:r>
          </w:p>
        </w:tc>
        <w:tc>
          <w:tcPr>
            <w:tcW w:w="1956" w:type="pct"/>
            <w:vMerge w:val="restart"/>
            <w:vAlign w:val="center"/>
          </w:tcPr>
          <w:p w14:paraId="26C3AC09"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2020年公司适用新收入准则， 根据相关规定，将预收款项重分类至合同负债。</w:t>
            </w:r>
          </w:p>
        </w:tc>
      </w:tr>
      <w:tr w:rsidR="00C17BBD" w:rsidRPr="00251592" w14:paraId="1CACDC87" w14:textId="77777777" w:rsidTr="00622023">
        <w:trPr>
          <w:trHeight w:val="403"/>
          <w:jc w:val="center"/>
        </w:trPr>
        <w:tc>
          <w:tcPr>
            <w:tcW w:w="993" w:type="pct"/>
            <w:vAlign w:val="center"/>
          </w:tcPr>
          <w:p w14:paraId="434D03A6"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合同负债</w:t>
            </w:r>
            <w:proofErr w:type="spellEnd"/>
          </w:p>
        </w:tc>
        <w:tc>
          <w:tcPr>
            <w:tcW w:w="818" w:type="pct"/>
            <w:vAlign w:val="center"/>
          </w:tcPr>
          <w:p w14:paraId="7C91C2A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520.38 </w:t>
            </w:r>
          </w:p>
        </w:tc>
        <w:tc>
          <w:tcPr>
            <w:tcW w:w="652" w:type="pct"/>
            <w:vAlign w:val="center"/>
          </w:tcPr>
          <w:p w14:paraId="7EE6831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w:t>
            </w:r>
          </w:p>
        </w:tc>
        <w:tc>
          <w:tcPr>
            <w:tcW w:w="581" w:type="pct"/>
            <w:vAlign w:val="center"/>
          </w:tcPr>
          <w:p w14:paraId="6C3F3F19"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w:t>
            </w:r>
          </w:p>
        </w:tc>
        <w:tc>
          <w:tcPr>
            <w:tcW w:w="1956" w:type="pct"/>
            <w:vMerge/>
            <w:vAlign w:val="center"/>
          </w:tcPr>
          <w:p w14:paraId="5164A222" w14:textId="77777777" w:rsidR="00C17BBD" w:rsidRPr="00251592" w:rsidRDefault="00C17BBD" w:rsidP="008A2055">
            <w:pPr>
              <w:widowControl/>
              <w:jc w:val="left"/>
              <w:rPr>
                <w:rFonts w:ascii="宋体" w:eastAsia="宋体" w:hAnsi="宋体" w:cs="Times New Roman"/>
                <w:iCs/>
                <w:color w:val="000000"/>
                <w:kern w:val="0"/>
                <w:sz w:val="18"/>
                <w:szCs w:val="18"/>
                <w:lang w:eastAsia="en-US" w:bidi="en-US"/>
              </w:rPr>
            </w:pPr>
          </w:p>
        </w:tc>
      </w:tr>
      <w:tr w:rsidR="00C17BBD" w:rsidRPr="00251592" w14:paraId="4FBB6AB4" w14:textId="77777777" w:rsidTr="00622023">
        <w:trPr>
          <w:trHeight w:val="403"/>
          <w:jc w:val="center"/>
        </w:trPr>
        <w:tc>
          <w:tcPr>
            <w:tcW w:w="993" w:type="pct"/>
            <w:vAlign w:val="center"/>
          </w:tcPr>
          <w:p w14:paraId="2E94E948"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应付职工薪酬</w:t>
            </w:r>
            <w:proofErr w:type="spellEnd"/>
          </w:p>
        </w:tc>
        <w:tc>
          <w:tcPr>
            <w:tcW w:w="818" w:type="pct"/>
            <w:vAlign w:val="center"/>
          </w:tcPr>
          <w:p w14:paraId="21C63883"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1,432.50</w:t>
            </w:r>
          </w:p>
        </w:tc>
        <w:tc>
          <w:tcPr>
            <w:tcW w:w="652" w:type="pct"/>
            <w:vAlign w:val="center"/>
          </w:tcPr>
          <w:p w14:paraId="4C72CCC3"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2,638.06</w:t>
            </w:r>
          </w:p>
        </w:tc>
        <w:tc>
          <w:tcPr>
            <w:tcW w:w="581" w:type="pct"/>
            <w:vAlign w:val="center"/>
          </w:tcPr>
          <w:p w14:paraId="6B262024" w14:textId="77777777" w:rsidR="00C17BBD" w:rsidRPr="00251592" w:rsidRDefault="00C17BBD" w:rsidP="008A2055">
            <w:pPr>
              <w:widowControl/>
              <w:jc w:val="right"/>
              <w:rPr>
                <w:rFonts w:ascii="宋体" w:eastAsia="宋体" w:hAnsi="宋体" w:cs="Times New Roman"/>
                <w:iCs/>
                <w:color w:val="000000"/>
                <w:kern w:val="0"/>
                <w:sz w:val="18"/>
                <w:szCs w:val="18"/>
                <w:lang w:eastAsia="en-US" w:bidi="en-US"/>
              </w:rPr>
            </w:pPr>
            <w:r w:rsidRPr="00251592">
              <w:rPr>
                <w:rFonts w:ascii="宋体" w:eastAsia="宋体" w:hAnsi="宋体" w:cs="Times New Roman"/>
                <w:sz w:val="18"/>
                <w:szCs w:val="18"/>
              </w:rPr>
              <w:t>-45.70%</w:t>
            </w:r>
          </w:p>
        </w:tc>
        <w:tc>
          <w:tcPr>
            <w:tcW w:w="1956" w:type="pct"/>
            <w:vAlign w:val="center"/>
          </w:tcPr>
          <w:p w14:paraId="30ABF3F9"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color w:val="000000"/>
                <w:sz w:val="18"/>
                <w:szCs w:val="18"/>
              </w:rPr>
              <w:t>主要</w:t>
            </w:r>
            <w:proofErr w:type="gramStart"/>
            <w:r w:rsidRPr="00251592">
              <w:rPr>
                <w:rFonts w:ascii="宋体" w:eastAsia="宋体" w:hAnsi="宋体" w:cs="Times New Roman"/>
                <w:color w:val="000000"/>
                <w:sz w:val="18"/>
                <w:szCs w:val="18"/>
              </w:rPr>
              <w:t>系上年</w:t>
            </w:r>
            <w:proofErr w:type="gramEnd"/>
            <w:r w:rsidRPr="00251592">
              <w:rPr>
                <w:rFonts w:ascii="宋体" w:eastAsia="宋体" w:hAnsi="宋体" w:cs="Times New Roman"/>
                <w:color w:val="000000"/>
                <w:sz w:val="18"/>
                <w:szCs w:val="18"/>
              </w:rPr>
              <w:t>末计提当年度年终奖金所致</w:t>
            </w:r>
          </w:p>
        </w:tc>
      </w:tr>
      <w:tr w:rsidR="00C17BBD" w:rsidRPr="00251592" w14:paraId="5E88CB13" w14:textId="77777777" w:rsidTr="00622023">
        <w:trPr>
          <w:trHeight w:val="403"/>
          <w:jc w:val="center"/>
        </w:trPr>
        <w:tc>
          <w:tcPr>
            <w:tcW w:w="993" w:type="pct"/>
            <w:vAlign w:val="center"/>
          </w:tcPr>
          <w:p w14:paraId="63F94DA9"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proofErr w:type="spellStart"/>
            <w:r w:rsidRPr="00251592">
              <w:rPr>
                <w:rFonts w:ascii="宋体" w:eastAsia="宋体" w:hAnsi="宋体" w:cs="Times New Roman"/>
                <w:iCs/>
                <w:color w:val="000000"/>
                <w:kern w:val="0"/>
                <w:sz w:val="18"/>
                <w:szCs w:val="18"/>
                <w:lang w:eastAsia="en-US" w:bidi="en-US"/>
              </w:rPr>
              <w:t>其他应付款</w:t>
            </w:r>
            <w:proofErr w:type="spellEnd"/>
          </w:p>
        </w:tc>
        <w:tc>
          <w:tcPr>
            <w:tcW w:w="818" w:type="pct"/>
            <w:vAlign w:val="center"/>
          </w:tcPr>
          <w:p w14:paraId="6E25372A"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914.86 </w:t>
            </w:r>
          </w:p>
        </w:tc>
        <w:tc>
          <w:tcPr>
            <w:tcW w:w="652" w:type="pct"/>
            <w:vAlign w:val="center"/>
          </w:tcPr>
          <w:p w14:paraId="24C2403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52.91 </w:t>
            </w:r>
          </w:p>
        </w:tc>
        <w:tc>
          <w:tcPr>
            <w:tcW w:w="581" w:type="pct"/>
            <w:vAlign w:val="center"/>
          </w:tcPr>
          <w:p w14:paraId="4B275946"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1629.05%</w:t>
            </w:r>
          </w:p>
        </w:tc>
        <w:tc>
          <w:tcPr>
            <w:tcW w:w="1956" w:type="pct"/>
            <w:vAlign w:val="center"/>
          </w:tcPr>
          <w:p w14:paraId="3F98A899"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因疫情影响，2020年公司根据相关规定申请予以暂缓缴纳员工社会保险费和住房公积金所致</w:t>
            </w:r>
          </w:p>
        </w:tc>
      </w:tr>
      <w:tr w:rsidR="00C17BBD" w:rsidRPr="00251592" w14:paraId="5CAC549D" w14:textId="77777777" w:rsidTr="00622023">
        <w:trPr>
          <w:trHeight w:val="403"/>
          <w:jc w:val="center"/>
        </w:trPr>
        <w:tc>
          <w:tcPr>
            <w:tcW w:w="993" w:type="pct"/>
            <w:vAlign w:val="center"/>
          </w:tcPr>
          <w:p w14:paraId="40E37B68"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color w:val="000000"/>
                <w:kern w:val="0"/>
                <w:sz w:val="18"/>
                <w:szCs w:val="18"/>
                <w:lang w:bidi="en-US"/>
              </w:rPr>
              <w:t>盈余公积</w:t>
            </w:r>
          </w:p>
        </w:tc>
        <w:tc>
          <w:tcPr>
            <w:tcW w:w="818" w:type="pct"/>
            <w:vAlign w:val="center"/>
          </w:tcPr>
          <w:p w14:paraId="7202270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2,453.91</w:t>
            </w:r>
          </w:p>
        </w:tc>
        <w:tc>
          <w:tcPr>
            <w:tcW w:w="652" w:type="pct"/>
            <w:vAlign w:val="center"/>
          </w:tcPr>
          <w:p w14:paraId="579F7CF3"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1,837.69</w:t>
            </w:r>
          </w:p>
        </w:tc>
        <w:tc>
          <w:tcPr>
            <w:tcW w:w="581" w:type="pct"/>
            <w:vAlign w:val="center"/>
          </w:tcPr>
          <w:p w14:paraId="1C894E9F"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33.53%</w:t>
            </w:r>
          </w:p>
        </w:tc>
        <w:tc>
          <w:tcPr>
            <w:tcW w:w="1956" w:type="pct"/>
            <w:vMerge w:val="restart"/>
            <w:vAlign w:val="center"/>
          </w:tcPr>
          <w:p w14:paraId="5A99E328"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当期经营规模扩大、经营积累所致</w:t>
            </w:r>
          </w:p>
        </w:tc>
      </w:tr>
      <w:tr w:rsidR="00C17BBD" w:rsidRPr="00251592" w14:paraId="512B8356" w14:textId="77777777" w:rsidTr="00622023">
        <w:trPr>
          <w:trHeight w:val="403"/>
          <w:jc w:val="center"/>
        </w:trPr>
        <w:tc>
          <w:tcPr>
            <w:tcW w:w="993" w:type="pct"/>
            <w:vAlign w:val="center"/>
          </w:tcPr>
          <w:p w14:paraId="5A36F821"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color w:val="000000"/>
                <w:kern w:val="0"/>
                <w:sz w:val="18"/>
                <w:szCs w:val="18"/>
                <w:lang w:bidi="en-US"/>
              </w:rPr>
              <w:t>未分配利润</w:t>
            </w:r>
          </w:p>
        </w:tc>
        <w:tc>
          <w:tcPr>
            <w:tcW w:w="818" w:type="pct"/>
            <w:vAlign w:val="center"/>
          </w:tcPr>
          <w:p w14:paraId="09D9F5D0"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14,842.31</w:t>
            </w:r>
          </w:p>
        </w:tc>
        <w:tc>
          <w:tcPr>
            <w:tcW w:w="652" w:type="pct"/>
            <w:vAlign w:val="center"/>
          </w:tcPr>
          <w:p w14:paraId="09B7EEA7"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10,240.94</w:t>
            </w:r>
          </w:p>
        </w:tc>
        <w:tc>
          <w:tcPr>
            <w:tcW w:w="581" w:type="pct"/>
            <w:vAlign w:val="center"/>
          </w:tcPr>
          <w:p w14:paraId="704B3815"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44.93%</w:t>
            </w:r>
          </w:p>
        </w:tc>
        <w:tc>
          <w:tcPr>
            <w:tcW w:w="1956" w:type="pct"/>
            <w:vMerge/>
            <w:vAlign w:val="center"/>
          </w:tcPr>
          <w:p w14:paraId="10B37F68"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p>
        </w:tc>
      </w:tr>
    </w:tbl>
    <w:p w14:paraId="0D5A49D2"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（2）合并利润表主要数据</w:t>
      </w:r>
    </w:p>
    <w:p w14:paraId="5BCEAD04" w14:textId="77777777" w:rsidR="00C17BBD" w:rsidRPr="00251592" w:rsidRDefault="00C17BBD" w:rsidP="00C17BBD">
      <w:pPr>
        <w:pStyle w:val="14"/>
        <w:spacing w:afterLines="0" w:line="240" w:lineRule="auto"/>
        <w:ind w:firstLine="420"/>
        <w:jc w:val="right"/>
        <w:rPr>
          <w:rFonts w:ascii="宋体" w:hAnsi="宋体" w:cs="Times New Roman"/>
          <w:sz w:val="21"/>
          <w:szCs w:val="21"/>
        </w:rPr>
      </w:pPr>
      <w:r w:rsidRPr="00251592">
        <w:rPr>
          <w:rFonts w:ascii="宋体" w:hAnsi="宋体" w:cs="Times New Roman"/>
          <w:sz w:val="21"/>
          <w:szCs w:val="21"/>
        </w:rPr>
        <w:lastRenderedPageBreak/>
        <w:t>单位：万元</w:t>
      </w:r>
    </w:p>
    <w:tbl>
      <w:tblPr>
        <w:tblW w:w="5000"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3518"/>
        <w:gridCol w:w="1924"/>
        <w:gridCol w:w="1924"/>
        <w:gridCol w:w="1156"/>
      </w:tblGrid>
      <w:tr w:rsidR="00C17BBD" w:rsidRPr="00251592" w14:paraId="6AC47922" w14:textId="77777777" w:rsidTr="00622023">
        <w:trPr>
          <w:trHeight w:val="403"/>
          <w:jc w:val="center"/>
        </w:trPr>
        <w:tc>
          <w:tcPr>
            <w:tcW w:w="2064" w:type="pct"/>
            <w:vAlign w:val="center"/>
          </w:tcPr>
          <w:p w14:paraId="22D06758" w14:textId="77777777" w:rsidR="00C17BBD" w:rsidRPr="00251592" w:rsidRDefault="00C17BBD" w:rsidP="008A2055">
            <w:pPr>
              <w:widowControl/>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项</w:t>
            </w:r>
            <w:r w:rsidRPr="00251592">
              <w:rPr>
                <w:rFonts w:ascii="宋体" w:eastAsia="宋体" w:hAnsi="宋体" w:cs="Times New Roman"/>
                <w:color w:val="000000"/>
                <w:kern w:val="0"/>
                <w:sz w:val="18"/>
                <w:szCs w:val="18"/>
                <w:lang w:bidi="en-US"/>
              </w:rPr>
              <w:t xml:space="preserve"> </w:t>
            </w:r>
            <w:r w:rsidRPr="00251592">
              <w:rPr>
                <w:rFonts w:ascii="宋体" w:eastAsia="宋体" w:hAnsi="宋体" w:cs="Times New Roman"/>
                <w:color w:val="000000"/>
                <w:kern w:val="0"/>
                <w:sz w:val="18"/>
                <w:szCs w:val="18"/>
                <w:lang w:eastAsia="en-US" w:bidi="en-US"/>
              </w:rPr>
              <w:t>目</w:t>
            </w:r>
          </w:p>
        </w:tc>
        <w:tc>
          <w:tcPr>
            <w:tcW w:w="1129" w:type="pct"/>
            <w:vAlign w:val="center"/>
          </w:tcPr>
          <w:p w14:paraId="30195C3C"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2020年1-9月</w:t>
            </w:r>
          </w:p>
        </w:tc>
        <w:tc>
          <w:tcPr>
            <w:tcW w:w="1129" w:type="pct"/>
            <w:vAlign w:val="center"/>
          </w:tcPr>
          <w:p w14:paraId="57F4254A"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2019年1-9月</w:t>
            </w:r>
          </w:p>
        </w:tc>
        <w:tc>
          <w:tcPr>
            <w:tcW w:w="678" w:type="pct"/>
            <w:vAlign w:val="center"/>
          </w:tcPr>
          <w:p w14:paraId="4C476A43"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变化率</w:t>
            </w:r>
          </w:p>
        </w:tc>
      </w:tr>
      <w:tr w:rsidR="00C17BBD" w:rsidRPr="00251592" w14:paraId="21D8C533" w14:textId="77777777" w:rsidTr="00622023">
        <w:trPr>
          <w:trHeight w:val="403"/>
          <w:jc w:val="center"/>
        </w:trPr>
        <w:tc>
          <w:tcPr>
            <w:tcW w:w="2064" w:type="pct"/>
            <w:vAlign w:val="center"/>
          </w:tcPr>
          <w:p w14:paraId="0E6803AB"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sz w:val="18"/>
                <w:szCs w:val="18"/>
                <w:lang w:bidi="en-US"/>
              </w:rPr>
              <w:t>营业收入</w:t>
            </w:r>
          </w:p>
        </w:tc>
        <w:tc>
          <w:tcPr>
            <w:tcW w:w="1129" w:type="pct"/>
            <w:vAlign w:val="center"/>
          </w:tcPr>
          <w:p w14:paraId="47616367"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21,513.68 </w:t>
            </w:r>
          </w:p>
        </w:tc>
        <w:tc>
          <w:tcPr>
            <w:tcW w:w="1129" w:type="pct"/>
            <w:vAlign w:val="center"/>
          </w:tcPr>
          <w:p w14:paraId="7E2F4DAA"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18,036.18 </w:t>
            </w:r>
          </w:p>
        </w:tc>
        <w:tc>
          <w:tcPr>
            <w:tcW w:w="678" w:type="pct"/>
            <w:vAlign w:val="center"/>
          </w:tcPr>
          <w:p w14:paraId="77C37E7F"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19.28%</w:t>
            </w:r>
          </w:p>
        </w:tc>
      </w:tr>
      <w:tr w:rsidR="00C17BBD" w:rsidRPr="00251592" w14:paraId="46A1D455" w14:textId="77777777" w:rsidTr="00622023">
        <w:trPr>
          <w:trHeight w:val="403"/>
          <w:jc w:val="center"/>
        </w:trPr>
        <w:tc>
          <w:tcPr>
            <w:tcW w:w="2064" w:type="pct"/>
            <w:vAlign w:val="center"/>
          </w:tcPr>
          <w:p w14:paraId="14120122"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sz w:val="18"/>
                <w:szCs w:val="18"/>
                <w:lang w:bidi="en-US"/>
              </w:rPr>
              <w:t>营业利润</w:t>
            </w:r>
          </w:p>
        </w:tc>
        <w:tc>
          <w:tcPr>
            <w:tcW w:w="1129" w:type="pct"/>
            <w:vAlign w:val="center"/>
          </w:tcPr>
          <w:p w14:paraId="11C23365"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5,796.86 </w:t>
            </w:r>
          </w:p>
        </w:tc>
        <w:tc>
          <w:tcPr>
            <w:tcW w:w="1129" w:type="pct"/>
            <w:vAlign w:val="center"/>
          </w:tcPr>
          <w:p w14:paraId="623A6C73"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4,566.81 </w:t>
            </w:r>
          </w:p>
        </w:tc>
        <w:tc>
          <w:tcPr>
            <w:tcW w:w="678" w:type="pct"/>
            <w:vAlign w:val="center"/>
          </w:tcPr>
          <w:p w14:paraId="765F71E8"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26.93%</w:t>
            </w:r>
          </w:p>
        </w:tc>
      </w:tr>
      <w:tr w:rsidR="00C17BBD" w:rsidRPr="00251592" w14:paraId="3B18BA9E" w14:textId="77777777" w:rsidTr="00622023">
        <w:trPr>
          <w:trHeight w:val="403"/>
          <w:jc w:val="center"/>
        </w:trPr>
        <w:tc>
          <w:tcPr>
            <w:tcW w:w="2064" w:type="pct"/>
            <w:vAlign w:val="center"/>
          </w:tcPr>
          <w:p w14:paraId="495B8EE1"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sz w:val="18"/>
                <w:szCs w:val="18"/>
                <w:lang w:bidi="en-US"/>
              </w:rPr>
              <w:t>利润总额</w:t>
            </w:r>
          </w:p>
        </w:tc>
        <w:tc>
          <w:tcPr>
            <w:tcW w:w="1129" w:type="pct"/>
            <w:vAlign w:val="center"/>
          </w:tcPr>
          <w:p w14:paraId="58852AF3"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6,011.88 </w:t>
            </w:r>
          </w:p>
        </w:tc>
        <w:tc>
          <w:tcPr>
            <w:tcW w:w="1129" w:type="pct"/>
            <w:vAlign w:val="center"/>
          </w:tcPr>
          <w:p w14:paraId="07CD849F"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4,530.91 </w:t>
            </w:r>
          </w:p>
        </w:tc>
        <w:tc>
          <w:tcPr>
            <w:tcW w:w="678" w:type="pct"/>
            <w:vAlign w:val="center"/>
          </w:tcPr>
          <w:p w14:paraId="72658127"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32.69%</w:t>
            </w:r>
          </w:p>
        </w:tc>
      </w:tr>
      <w:tr w:rsidR="00C17BBD" w:rsidRPr="00251592" w14:paraId="7096C4C5" w14:textId="77777777" w:rsidTr="00622023">
        <w:trPr>
          <w:trHeight w:val="403"/>
          <w:jc w:val="center"/>
        </w:trPr>
        <w:tc>
          <w:tcPr>
            <w:tcW w:w="2064" w:type="pct"/>
            <w:vAlign w:val="center"/>
          </w:tcPr>
          <w:p w14:paraId="3EBC0635" w14:textId="77777777" w:rsidR="00C17BBD" w:rsidRPr="00251592" w:rsidRDefault="00C17BBD" w:rsidP="008A2055">
            <w:pPr>
              <w:widowControl/>
              <w:jc w:val="center"/>
              <w:rPr>
                <w:rFonts w:ascii="宋体" w:eastAsia="宋体" w:hAnsi="宋体" w:cs="Times New Roman"/>
                <w:iCs/>
                <w:color w:val="000000"/>
                <w:kern w:val="0"/>
                <w:sz w:val="18"/>
                <w:szCs w:val="18"/>
                <w:lang w:eastAsia="en-US" w:bidi="en-US"/>
              </w:rPr>
            </w:pPr>
            <w:r w:rsidRPr="00251592">
              <w:rPr>
                <w:rFonts w:ascii="宋体" w:eastAsia="宋体" w:hAnsi="宋体" w:cs="Times New Roman"/>
                <w:iCs/>
                <w:sz w:val="18"/>
                <w:szCs w:val="18"/>
                <w:lang w:bidi="en-US"/>
              </w:rPr>
              <w:t>净利润</w:t>
            </w:r>
          </w:p>
        </w:tc>
        <w:tc>
          <w:tcPr>
            <w:tcW w:w="1129" w:type="pct"/>
            <w:vAlign w:val="center"/>
          </w:tcPr>
          <w:p w14:paraId="4E46EBA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5,217.59 </w:t>
            </w:r>
          </w:p>
        </w:tc>
        <w:tc>
          <w:tcPr>
            <w:tcW w:w="1129" w:type="pct"/>
            <w:vAlign w:val="center"/>
          </w:tcPr>
          <w:p w14:paraId="11CC568B"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3,922.70 </w:t>
            </w:r>
          </w:p>
        </w:tc>
        <w:tc>
          <w:tcPr>
            <w:tcW w:w="678" w:type="pct"/>
            <w:vAlign w:val="center"/>
          </w:tcPr>
          <w:p w14:paraId="6720CE49"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33.01%</w:t>
            </w:r>
          </w:p>
        </w:tc>
      </w:tr>
      <w:tr w:rsidR="00C17BBD" w:rsidRPr="00251592" w14:paraId="033CFEC9" w14:textId="77777777" w:rsidTr="00622023">
        <w:trPr>
          <w:trHeight w:val="403"/>
          <w:jc w:val="center"/>
        </w:trPr>
        <w:tc>
          <w:tcPr>
            <w:tcW w:w="2064" w:type="pct"/>
            <w:vAlign w:val="center"/>
          </w:tcPr>
          <w:p w14:paraId="6307BC3D" w14:textId="77777777" w:rsidR="00C17BBD" w:rsidRPr="00251592" w:rsidRDefault="00C17BBD" w:rsidP="008A2055">
            <w:pPr>
              <w:widowControl/>
              <w:jc w:val="center"/>
              <w:rPr>
                <w:rFonts w:ascii="宋体" w:eastAsia="宋体" w:hAnsi="宋体" w:cs="Times New Roman"/>
                <w:iCs/>
                <w:color w:val="000000"/>
                <w:kern w:val="0"/>
                <w:sz w:val="18"/>
                <w:szCs w:val="18"/>
                <w:lang w:bidi="en-US"/>
              </w:rPr>
            </w:pPr>
            <w:r w:rsidRPr="00251592">
              <w:rPr>
                <w:rFonts w:ascii="宋体" w:eastAsia="宋体" w:hAnsi="宋体" w:cs="Times New Roman"/>
                <w:iCs/>
                <w:sz w:val="18"/>
                <w:szCs w:val="18"/>
                <w:lang w:bidi="en-US"/>
              </w:rPr>
              <w:t>归属于母公司所有者的净利润</w:t>
            </w:r>
          </w:p>
        </w:tc>
        <w:tc>
          <w:tcPr>
            <w:tcW w:w="1129" w:type="pct"/>
            <w:vAlign w:val="center"/>
          </w:tcPr>
          <w:p w14:paraId="3ACD67F9"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5,217.59 </w:t>
            </w:r>
          </w:p>
        </w:tc>
        <w:tc>
          <w:tcPr>
            <w:tcW w:w="1129" w:type="pct"/>
            <w:vAlign w:val="center"/>
          </w:tcPr>
          <w:p w14:paraId="751A7FF0"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3,922.70 </w:t>
            </w:r>
          </w:p>
        </w:tc>
        <w:tc>
          <w:tcPr>
            <w:tcW w:w="678" w:type="pct"/>
            <w:vAlign w:val="center"/>
          </w:tcPr>
          <w:p w14:paraId="14AB1B24"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33.01%</w:t>
            </w:r>
          </w:p>
        </w:tc>
      </w:tr>
      <w:tr w:rsidR="00C17BBD" w:rsidRPr="00251592" w14:paraId="6D53E33E" w14:textId="77777777" w:rsidTr="00622023">
        <w:trPr>
          <w:trHeight w:val="403"/>
          <w:jc w:val="center"/>
        </w:trPr>
        <w:tc>
          <w:tcPr>
            <w:tcW w:w="2064" w:type="pct"/>
            <w:vAlign w:val="center"/>
          </w:tcPr>
          <w:p w14:paraId="56071C2A" w14:textId="77777777" w:rsidR="00C17BBD" w:rsidRPr="00251592" w:rsidRDefault="00C17BBD" w:rsidP="008A2055">
            <w:pPr>
              <w:widowControl/>
              <w:jc w:val="center"/>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扣除非经常性损益后</w:t>
            </w:r>
          </w:p>
          <w:p w14:paraId="69D06B79" w14:textId="77777777" w:rsidR="00C17BBD" w:rsidRPr="00251592" w:rsidRDefault="00C17BBD" w:rsidP="008A2055">
            <w:pPr>
              <w:widowControl/>
              <w:jc w:val="center"/>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归属于母公司所有者的净利润</w:t>
            </w:r>
          </w:p>
        </w:tc>
        <w:tc>
          <w:tcPr>
            <w:tcW w:w="1129" w:type="pct"/>
            <w:vAlign w:val="center"/>
          </w:tcPr>
          <w:p w14:paraId="7BB7E73B"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4,796.24 </w:t>
            </w:r>
          </w:p>
        </w:tc>
        <w:tc>
          <w:tcPr>
            <w:tcW w:w="1129" w:type="pct"/>
            <w:vAlign w:val="center"/>
          </w:tcPr>
          <w:p w14:paraId="592EC050"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3,703.64 </w:t>
            </w:r>
          </w:p>
        </w:tc>
        <w:tc>
          <w:tcPr>
            <w:tcW w:w="678" w:type="pct"/>
            <w:vAlign w:val="center"/>
          </w:tcPr>
          <w:p w14:paraId="71949CE5"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29.50%</w:t>
            </w:r>
          </w:p>
        </w:tc>
      </w:tr>
    </w:tbl>
    <w:p w14:paraId="4641AAA6"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2020年1-9月，公司实现营业收入21,513.68万元，净利润5,217.59万元，扣除非经常性损益后归属于母公司所有者的净利润4,796.24万元。2020年，公司积极开拓客户，业务规模持续扩大，取得了良好的经营业绩：营业收入较上年同期上升</w:t>
      </w:r>
      <w:r w:rsidRPr="00251592">
        <w:rPr>
          <w:rFonts w:ascii="宋体" w:hAnsi="宋体" w:cs="Times New Roman"/>
          <w:color w:val="000000"/>
          <w:sz w:val="21"/>
          <w:szCs w:val="21"/>
        </w:rPr>
        <w:t>19.28%</w:t>
      </w:r>
      <w:r w:rsidRPr="00251592">
        <w:rPr>
          <w:rFonts w:ascii="宋体" w:hAnsi="宋体" w:cs="Times New Roman"/>
          <w:sz w:val="21"/>
          <w:szCs w:val="21"/>
        </w:rPr>
        <w:t>，净利润上升33.01%，扣除非经常性损益后归属于母公司所有者的净利润上升29.50%。</w:t>
      </w:r>
    </w:p>
    <w:p w14:paraId="603C7626"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合并利润</w:t>
      </w:r>
      <w:proofErr w:type="gramStart"/>
      <w:r w:rsidRPr="00251592">
        <w:rPr>
          <w:rFonts w:ascii="宋体" w:hAnsi="宋体" w:cs="Times New Roman"/>
          <w:sz w:val="21"/>
          <w:szCs w:val="21"/>
        </w:rPr>
        <w:t>表变化</w:t>
      </w:r>
      <w:proofErr w:type="gramEnd"/>
      <w:r w:rsidRPr="00251592">
        <w:rPr>
          <w:rFonts w:ascii="宋体" w:hAnsi="宋体" w:cs="Times New Roman"/>
          <w:sz w:val="21"/>
          <w:szCs w:val="21"/>
        </w:rPr>
        <w:t>超过30.00%的主要科目的变动原因具体如下：</w:t>
      </w:r>
    </w:p>
    <w:p w14:paraId="0A8D7377" w14:textId="77777777" w:rsidR="00C17BBD" w:rsidRPr="00251592" w:rsidRDefault="00C17BBD" w:rsidP="00C17BBD">
      <w:pPr>
        <w:pStyle w:val="14"/>
        <w:spacing w:afterLines="0" w:line="240" w:lineRule="auto"/>
        <w:ind w:firstLine="420"/>
        <w:jc w:val="right"/>
        <w:rPr>
          <w:rFonts w:ascii="宋体" w:hAnsi="宋体" w:cs="Times New Roman"/>
          <w:sz w:val="21"/>
          <w:szCs w:val="21"/>
        </w:rPr>
      </w:pPr>
      <w:r w:rsidRPr="00251592">
        <w:rPr>
          <w:rFonts w:ascii="宋体" w:hAnsi="宋体" w:cs="Times New Roman"/>
          <w:sz w:val="21"/>
          <w:szCs w:val="21"/>
        </w:rPr>
        <w:t>单位：万元</w:t>
      </w:r>
    </w:p>
    <w:tbl>
      <w:tblPr>
        <w:tblW w:w="5788" w:type="pct"/>
        <w:jc w:val="center"/>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137"/>
        <w:gridCol w:w="1728"/>
        <w:gridCol w:w="1606"/>
        <w:gridCol w:w="1229"/>
        <w:gridCol w:w="3165"/>
      </w:tblGrid>
      <w:tr w:rsidR="00C17BBD" w:rsidRPr="00251592" w14:paraId="6216277B" w14:textId="77777777" w:rsidTr="00622023">
        <w:trPr>
          <w:trHeight w:val="403"/>
          <w:jc w:val="center"/>
        </w:trPr>
        <w:tc>
          <w:tcPr>
            <w:tcW w:w="1083" w:type="pct"/>
            <w:vAlign w:val="center"/>
          </w:tcPr>
          <w:p w14:paraId="6F933FAB" w14:textId="77777777" w:rsidR="00C17BBD" w:rsidRPr="00251592" w:rsidRDefault="00C17BBD" w:rsidP="008A2055">
            <w:pPr>
              <w:widowControl/>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项</w:t>
            </w:r>
            <w:r w:rsidRPr="00251592">
              <w:rPr>
                <w:rFonts w:ascii="宋体" w:eastAsia="宋体" w:hAnsi="宋体" w:cs="Times New Roman"/>
                <w:color w:val="000000"/>
                <w:kern w:val="0"/>
                <w:sz w:val="18"/>
                <w:szCs w:val="18"/>
                <w:lang w:bidi="en-US"/>
              </w:rPr>
              <w:t xml:space="preserve"> </w:t>
            </w:r>
            <w:r w:rsidRPr="00251592">
              <w:rPr>
                <w:rFonts w:ascii="宋体" w:eastAsia="宋体" w:hAnsi="宋体" w:cs="Times New Roman"/>
                <w:color w:val="000000"/>
                <w:kern w:val="0"/>
                <w:sz w:val="18"/>
                <w:szCs w:val="18"/>
                <w:lang w:eastAsia="en-US" w:bidi="en-US"/>
              </w:rPr>
              <w:t>目</w:t>
            </w:r>
          </w:p>
        </w:tc>
        <w:tc>
          <w:tcPr>
            <w:tcW w:w="876" w:type="pct"/>
            <w:vAlign w:val="center"/>
          </w:tcPr>
          <w:p w14:paraId="7EFE8019"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2020年1-9月</w:t>
            </w:r>
          </w:p>
        </w:tc>
        <w:tc>
          <w:tcPr>
            <w:tcW w:w="814" w:type="pct"/>
            <w:vAlign w:val="center"/>
          </w:tcPr>
          <w:p w14:paraId="04853E64"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2019年1-9月</w:t>
            </w:r>
          </w:p>
        </w:tc>
        <w:tc>
          <w:tcPr>
            <w:tcW w:w="623" w:type="pct"/>
            <w:vAlign w:val="center"/>
          </w:tcPr>
          <w:p w14:paraId="06B726D2"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变化率</w:t>
            </w:r>
          </w:p>
        </w:tc>
        <w:tc>
          <w:tcPr>
            <w:tcW w:w="1604" w:type="pct"/>
            <w:vAlign w:val="center"/>
          </w:tcPr>
          <w:p w14:paraId="3B590B60"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变动原因</w:t>
            </w:r>
          </w:p>
        </w:tc>
      </w:tr>
      <w:tr w:rsidR="00C17BBD" w:rsidRPr="00251592" w14:paraId="5AB6C348" w14:textId="77777777" w:rsidTr="00622023">
        <w:trPr>
          <w:trHeight w:val="403"/>
          <w:jc w:val="center"/>
        </w:trPr>
        <w:tc>
          <w:tcPr>
            <w:tcW w:w="1083" w:type="pct"/>
            <w:vAlign w:val="center"/>
          </w:tcPr>
          <w:p w14:paraId="06F59013"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营业收入</w:t>
            </w:r>
          </w:p>
        </w:tc>
        <w:tc>
          <w:tcPr>
            <w:tcW w:w="876" w:type="pct"/>
            <w:vAlign w:val="center"/>
          </w:tcPr>
          <w:p w14:paraId="15A4DC15"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21,513.68 </w:t>
            </w:r>
          </w:p>
        </w:tc>
        <w:tc>
          <w:tcPr>
            <w:tcW w:w="814" w:type="pct"/>
            <w:vAlign w:val="center"/>
          </w:tcPr>
          <w:p w14:paraId="709BC76D"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18,036.18 </w:t>
            </w:r>
          </w:p>
        </w:tc>
        <w:tc>
          <w:tcPr>
            <w:tcW w:w="623" w:type="pct"/>
            <w:vAlign w:val="center"/>
          </w:tcPr>
          <w:p w14:paraId="233E8A79"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19.28%</w:t>
            </w:r>
          </w:p>
        </w:tc>
        <w:tc>
          <w:tcPr>
            <w:tcW w:w="1604" w:type="pct"/>
            <w:vAlign w:val="center"/>
          </w:tcPr>
          <w:p w14:paraId="315310C2"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业务规模扩大所致</w:t>
            </w:r>
          </w:p>
        </w:tc>
      </w:tr>
      <w:tr w:rsidR="00C17BBD" w:rsidRPr="00251592" w14:paraId="194C0A86" w14:textId="77777777" w:rsidTr="00622023">
        <w:trPr>
          <w:trHeight w:val="403"/>
          <w:jc w:val="center"/>
        </w:trPr>
        <w:tc>
          <w:tcPr>
            <w:tcW w:w="1083" w:type="pct"/>
            <w:vAlign w:val="center"/>
          </w:tcPr>
          <w:p w14:paraId="306E9512"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财务费用</w:t>
            </w:r>
          </w:p>
        </w:tc>
        <w:tc>
          <w:tcPr>
            <w:tcW w:w="876" w:type="pct"/>
            <w:vAlign w:val="center"/>
          </w:tcPr>
          <w:p w14:paraId="1D59AD4E"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0.34</w:t>
            </w:r>
          </w:p>
        </w:tc>
        <w:tc>
          <w:tcPr>
            <w:tcW w:w="814" w:type="pct"/>
            <w:vAlign w:val="center"/>
          </w:tcPr>
          <w:p w14:paraId="145A540B"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-32.59</w:t>
            </w:r>
          </w:p>
        </w:tc>
        <w:tc>
          <w:tcPr>
            <w:tcW w:w="623" w:type="pct"/>
            <w:vAlign w:val="center"/>
          </w:tcPr>
          <w:p w14:paraId="6856E124"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-101.04%</w:t>
            </w:r>
          </w:p>
        </w:tc>
        <w:tc>
          <w:tcPr>
            <w:tcW w:w="1604" w:type="pct"/>
            <w:vAlign w:val="center"/>
          </w:tcPr>
          <w:p w14:paraId="6808164A"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2020年</w:t>
            </w:r>
            <w:proofErr w:type="gramStart"/>
            <w:r w:rsidRPr="00251592">
              <w:rPr>
                <w:rFonts w:ascii="宋体" w:eastAsia="宋体" w:hAnsi="宋体" w:cs="Times New Roman"/>
                <w:iCs/>
                <w:color w:val="000000"/>
                <w:kern w:val="0"/>
                <w:sz w:val="18"/>
                <w:szCs w:val="18"/>
                <w:lang w:bidi="en-US"/>
              </w:rPr>
              <w:t>保理业务</w:t>
            </w:r>
            <w:proofErr w:type="gramEnd"/>
            <w:r w:rsidRPr="00251592">
              <w:rPr>
                <w:rFonts w:ascii="宋体" w:eastAsia="宋体" w:hAnsi="宋体" w:cs="Times New Roman"/>
                <w:iCs/>
                <w:color w:val="000000"/>
                <w:kern w:val="0"/>
                <w:sz w:val="18"/>
                <w:szCs w:val="18"/>
                <w:lang w:bidi="en-US"/>
              </w:rPr>
              <w:t>增多引致手续费支出增多</w:t>
            </w:r>
          </w:p>
        </w:tc>
      </w:tr>
      <w:tr w:rsidR="00C17BBD" w:rsidRPr="00251592" w14:paraId="276321B1" w14:textId="77777777" w:rsidTr="00622023">
        <w:trPr>
          <w:trHeight w:val="403"/>
          <w:jc w:val="center"/>
        </w:trPr>
        <w:tc>
          <w:tcPr>
            <w:tcW w:w="1083" w:type="pct"/>
            <w:vAlign w:val="center"/>
          </w:tcPr>
          <w:p w14:paraId="153C70E7"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其他收益</w:t>
            </w:r>
          </w:p>
        </w:tc>
        <w:tc>
          <w:tcPr>
            <w:tcW w:w="876" w:type="pct"/>
            <w:vAlign w:val="center"/>
          </w:tcPr>
          <w:p w14:paraId="4AC40690"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253.41</w:t>
            </w:r>
          </w:p>
        </w:tc>
        <w:tc>
          <w:tcPr>
            <w:tcW w:w="814" w:type="pct"/>
            <w:vAlign w:val="center"/>
          </w:tcPr>
          <w:p w14:paraId="5D3CA870"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163.54</w:t>
            </w:r>
          </w:p>
        </w:tc>
        <w:tc>
          <w:tcPr>
            <w:tcW w:w="623" w:type="pct"/>
            <w:vAlign w:val="center"/>
          </w:tcPr>
          <w:p w14:paraId="7B16C0A1"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54.96%</w:t>
            </w:r>
          </w:p>
        </w:tc>
        <w:tc>
          <w:tcPr>
            <w:tcW w:w="1604" w:type="pct"/>
            <w:vAlign w:val="center"/>
          </w:tcPr>
          <w:p w14:paraId="32E8C891"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主要系本期与收益相关的政府补助增多所致</w:t>
            </w:r>
          </w:p>
        </w:tc>
      </w:tr>
      <w:tr w:rsidR="00C17BBD" w:rsidRPr="00251592" w14:paraId="273E79D8" w14:textId="77777777" w:rsidTr="00622023">
        <w:trPr>
          <w:trHeight w:val="403"/>
          <w:jc w:val="center"/>
        </w:trPr>
        <w:tc>
          <w:tcPr>
            <w:tcW w:w="1083" w:type="pct"/>
            <w:vAlign w:val="center"/>
          </w:tcPr>
          <w:p w14:paraId="211053ED"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投资收益</w:t>
            </w:r>
          </w:p>
        </w:tc>
        <w:tc>
          <w:tcPr>
            <w:tcW w:w="876" w:type="pct"/>
            <w:vAlign w:val="center"/>
          </w:tcPr>
          <w:p w14:paraId="0A706FA9"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w:t>
            </w:r>
          </w:p>
        </w:tc>
        <w:tc>
          <w:tcPr>
            <w:tcW w:w="814" w:type="pct"/>
            <w:vAlign w:val="center"/>
          </w:tcPr>
          <w:p w14:paraId="16786197"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690.99 </w:t>
            </w:r>
          </w:p>
        </w:tc>
        <w:tc>
          <w:tcPr>
            <w:tcW w:w="623" w:type="pct"/>
            <w:vAlign w:val="center"/>
          </w:tcPr>
          <w:p w14:paraId="2344A45D"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-100.00%</w:t>
            </w:r>
          </w:p>
        </w:tc>
        <w:tc>
          <w:tcPr>
            <w:tcW w:w="1604" w:type="pct"/>
            <w:vMerge w:val="restart"/>
            <w:vAlign w:val="center"/>
          </w:tcPr>
          <w:p w14:paraId="1B625AB4"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主要</w:t>
            </w:r>
            <w:proofErr w:type="gramStart"/>
            <w:r w:rsidRPr="00251592">
              <w:rPr>
                <w:rFonts w:ascii="宋体" w:eastAsia="宋体" w:hAnsi="宋体" w:cs="Times New Roman"/>
                <w:iCs/>
                <w:color w:val="000000"/>
                <w:kern w:val="0"/>
                <w:sz w:val="18"/>
                <w:szCs w:val="18"/>
                <w:lang w:bidi="en-US"/>
              </w:rPr>
              <w:t>系上年</w:t>
            </w:r>
            <w:proofErr w:type="gramEnd"/>
            <w:r w:rsidRPr="00251592">
              <w:rPr>
                <w:rFonts w:ascii="宋体" w:eastAsia="宋体" w:hAnsi="宋体" w:cs="Times New Roman"/>
                <w:iCs/>
                <w:color w:val="000000"/>
                <w:kern w:val="0"/>
                <w:sz w:val="18"/>
                <w:szCs w:val="18"/>
                <w:lang w:bidi="en-US"/>
              </w:rPr>
              <w:t>同期公司利用账面闲置资金购买权益型基金、股票等，产生投资收益及</w:t>
            </w:r>
            <w:r w:rsidRPr="00251592">
              <w:rPr>
                <w:rFonts w:ascii="宋体" w:eastAsia="宋体" w:hAnsi="宋体" w:cs="Times New Roman"/>
                <w:iCs/>
                <w:sz w:val="18"/>
                <w:szCs w:val="18"/>
                <w:lang w:bidi="en-US"/>
              </w:rPr>
              <w:t>公允价值变动收益</w:t>
            </w:r>
          </w:p>
        </w:tc>
      </w:tr>
      <w:tr w:rsidR="00C17BBD" w:rsidRPr="00251592" w14:paraId="7482E387" w14:textId="77777777" w:rsidTr="00622023">
        <w:trPr>
          <w:trHeight w:val="403"/>
          <w:jc w:val="center"/>
        </w:trPr>
        <w:tc>
          <w:tcPr>
            <w:tcW w:w="1083" w:type="pct"/>
            <w:vAlign w:val="center"/>
          </w:tcPr>
          <w:p w14:paraId="22D50DC4"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公允价值变动收益</w:t>
            </w:r>
          </w:p>
        </w:tc>
        <w:tc>
          <w:tcPr>
            <w:tcW w:w="876" w:type="pct"/>
            <w:vAlign w:val="center"/>
          </w:tcPr>
          <w:p w14:paraId="627DD7D1"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w:t>
            </w:r>
          </w:p>
        </w:tc>
        <w:tc>
          <w:tcPr>
            <w:tcW w:w="814" w:type="pct"/>
            <w:vAlign w:val="center"/>
          </w:tcPr>
          <w:p w14:paraId="10CD4EEF"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-576.97 </w:t>
            </w:r>
          </w:p>
        </w:tc>
        <w:tc>
          <w:tcPr>
            <w:tcW w:w="623" w:type="pct"/>
            <w:vAlign w:val="center"/>
          </w:tcPr>
          <w:p w14:paraId="2F59F0C8"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-100.00%</w:t>
            </w:r>
          </w:p>
        </w:tc>
        <w:tc>
          <w:tcPr>
            <w:tcW w:w="1604" w:type="pct"/>
            <w:vMerge/>
            <w:vAlign w:val="center"/>
          </w:tcPr>
          <w:p w14:paraId="2876E6D9"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p>
        </w:tc>
      </w:tr>
      <w:tr w:rsidR="00C17BBD" w:rsidRPr="00251592" w14:paraId="4A633212" w14:textId="77777777" w:rsidTr="00622023">
        <w:trPr>
          <w:trHeight w:val="403"/>
          <w:jc w:val="center"/>
        </w:trPr>
        <w:tc>
          <w:tcPr>
            <w:tcW w:w="1083" w:type="pct"/>
            <w:vAlign w:val="center"/>
          </w:tcPr>
          <w:p w14:paraId="5C5FA3EF"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营业外收入</w:t>
            </w:r>
          </w:p>
        </w:tc>
        <w:tc>
          <w:tcPr>
            <w:tcW w:w="876" w:type="pct"/>
            <w:vAlign w:val="center"/>
          </w:tcPr>
          <w:p w14:paraId="5C20E542"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215.03 </w:t>
            </w:r>
          </w:p>
        </w:tc>
        <w:tc>
          <w:tcPr>
            <w:tcW w:w="814" w:type="pct"/>
            <w:vAlign w:val="center"/>
          </w:tcPr>
          <w:p w14:paraId="75080238"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0.34 </w:t>
            </w:r>
          </w:p>
        </w:tc>
        <w:tc>
          <w:tcPr>
            <w:tcW w:w="623" w:type="pct"/>
            <w:vAlign w:val="center"/>
          </w:tcPr>
          <w:p w14:paraId="4F4A181A"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63968.89%</w:t>
            </w:r>
          </w:p>
        </w:tc>
        <w:tc>
          <w:tcPr>
            <w:tcW w:w="1604" w:type="pct"/>
            <w:vAlign w:val="center"/>
          </w:tcPr>
          <w:p w14:paraId="688B7DBA"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主要系本期其他政府补助增多所致</w:t>
            </w:r>
          </w:p>
        </w:tc>
      </w:tr>
      <w:tr w:rsidR="00C17BBD" w:rsidRPr="00251592" w14:paraId="03F494C9" w14:textId="77777777" w:rsidTr="00622023">
        <w:trPr>
          <w:trHeight w:val="403"/>
          <w:jc w:val="center"/>
        </w:trPr>
        <w:tc>
          <w:tcPr>
            <w:tcW w:w="1083" w:type="pct"/>
            <w:vAlign w:val="center"/>
          </w:tcPr>
          <w:p w14:paraId="5A84ACC9"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营业外支出</w:t>
            </w:r>
          </w:p>
        </w:tc>
        <w:tc>
          <w:tcPr>
            <w:tcW w:w="876" w:type="pct"/>
            <w:vAlign w:val="center"/>
          </w:tcPr>
          <w:p w14:paraId="2EE58977"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w:t>
            </w:r>
          </w:p>
        </w:tc>
        <w:tc>
          <w:tcPr>
            <w:tcW w:w="814" w:type="pct"/>
            <w:vAlign w:val="center"/>
          </w:tcPr>
          <w:p w14:paraId="36D76A08"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36.24 </w:t>
            </w:r>
          </w:p>
        </w:tc>
        <w:tc>
          <w:tcPr>
            <w:tcW w:w="623" w:type="pct"/>
            <w:vAlign w:val="center"/>
          </w:tcPr>
          <w:p w14:paraId="010B798B"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-100.00%</w:t>
            </w:r>
          </w:p>
        </w:tc>
        <w:tc>
          <w:tcPr>
            <w:tcW w:w="1604" w:type="pct"/>
            <w:vAlign w:val="center"/>
          </w:tcPr>
          <w:p w14:paraId="30428BA9"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主要</w:t>
            </w:r>
            <w:proofErr w:type="gramStart"/>
            <w:r w:rsidRPr="00251592">
              <w:rPr>
                <w:rFonts w:ascii="宋体" w:eastAsia="宋体" w:hAnsi="宋体" w:cs="Times New Roman"/>
                <w:iCs/>
                <w:color w:val="000000"/>
                <w:kern w:val="0"/>
                <w:sz w:val="18"/>
                <w:szCs w:val="18"/>
                <w:lang w:bidi="en-US"/>
              </w:rPr>
              <w:t>系上年</w:t>
            </w:r>
            <w:proofErr w:type="gramEnd"/>
            <w:r w:rsidRPr="00251592">
              <w:rPr>
                <w:rFonts w:ascii="宋体" w:eastAsia="宋体" w:hAnsi="宋体" w:cs="Times New Roman"/>
                <w:iCs/>
                <w:color w:val="000000"/>
                <w:kern w:val="0"/>
                <w:sz w:val="18"/>
                <w:szCs w:val="18"/>
                <w:lang w:bidi="en-US"/>
              </w:rPr>
              <w:t>同期有对外捐赠，而本期无此项支出所致</w:t>
            </w:r>
          </w:p>
        </w:tc>
      </w:tr>
      <w:tr w:rsidR="00C17BBD" w:rsidRPr="00251592" w14:paraId="51237FAB" w14:textId="77777777" w:rsidTr="00622023">
        <w:trPr>
          <w:trHeight w:val="403"/>
          <w:jc w:val="center"/>
        </w:trPr>
        <w:tc>
          <w:tcPr>
            <w:tcW w:w="1083" w:type="pct"/>
            <w:vAlign w:val="center"/>
          </w:tcPr>
          <w:p w14:paraId="58FC9F73"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利润总额</w:t>
            </w:r>
          </w:p>
        </w:tc>
        <w:tc>
          <w:tcPr>
            <w:tcW w:w="876" w:type="pct"/>
            <w:vAlign w:val="center"/>
          </w:tcPr>
          <w:p w14:paraId="6E7DD85A"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6,011.88 </w:t>
            </w:r>
          </w:p>
        </w:tc>
        <w:tc>
          <w:tcPr>
            <w:tcW w:w="814" w:type="pct"/>
            <w:vAlign w:val="center"/>
          </w:tcPr>
          <w:p w14:paraId="6CE1E77C"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4,530.91 </w:t>
            </w:r>
          </w:p>
        </w:tc>
        <w:tc>
          <w:tcPr>
            <w:tcW w:w="623" w:type="pct"/>
            <w:vAlign w:val="center"/>
          </w:tcPr>
          <w:p w14:paraId="317A6461"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32.69%</w:t>
            </w:r>
          </w:p>
        </w:tc>
        <w:tc>
          <w:tcPr>
            <w:tcW w:w="1604" w:type="pct"/>
            <w:vMerge w:val="restart"/>
            <w:vAlign w:val="center"/>
          </w:tcPr>
          <w:p w14:paraId="3F69991B"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一方面，业务规模的扩大、营业收入的增长带来了利润水平的提升，另一方面，当期营业外收入增幅较大</w:t>
            </w:r>
          </w:p>
        </w:tc>
      </w:tr>
      <w:tr w:rsidR="00C17BBD" w:rsidRPr="00251592" w14:paraId="229D2CCF" w14:textId="77777777" w:rsidTr="00622023">
        <w:trPr>
          <w:trHeight w:val="403"/>
          <w:jc w:val="center"/>
        </w:trPr>
        <w:tc>
          <w:tcPr>
            <w:tcW w:w="1083" w:type="pct"/>
            <w:vAlign w:val="center"/>
          </w:tcPr>
          <w:p w14:paraId="59E59B4F"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所得税费用</w:t>
            </w:r>
          </w:p>
        </w:tc>
        <w:tc>
          <w:tcPr>
            <w:tcW w:w="876" w:type="pct"/>
            <w:vAlign w:val="center"/>
          </w:tcPr>
          <w:p w14:paraId="58841DE2"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794.30 </w:t>
            </w:r>
          </w:p>
        </w:tc>
        <w:tc>
          <w:tcPr>
            <w:tcW w:w="814" w:type="pct"/>
            <w:vAlign w:val="center"/>
          </w:tcPr>
          <w:p w14:paraId="5F7B4E6D"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608.21 </w:t>
            </w:r>
          </w:p>
        </w:tc>
        <w:tc>
          <w:tcPr>
            <w:tcW w:w="623" w:type="pct"/>
            <w:vAlign w:val="center"/>
          </w:tcPr>
          <w:p w14:paraId="187C97F2"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30.60%</w:t>
            </w:r>
          </w:p>
        </w:tc>
        <w:tc>
          <w:tcPr>
            <w:tcW w:w="1604" w:type="pct"/>
            <w:vMerge/>
            <w:vAlign w:val="center"/>
          </w:tcPr>
          <w:p w14:paraId="7EDDEB6A"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p>
        </w:tc>
      </w:tr>
      <w:tr w:rsidR="00C17BBD" w:rsidRPr="00251592" w14:paraId="1211D3A4" w14:textId="77777777" w:rsidTr="00622023">
        <w:trPr>
          <w:trHeight w:val="403"/>
          <w:jc w:val="center"/>
        </w:trPr>
        <w:tc>
          <w:tcPr>
            <w:tcW w:w="1083" w:type="pct"/>
            <w:vAlign w:val="center"/>
          </w:tcPr>
          <w:p w14:paraId="02CCB8E0"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净利润</w:t>
            </w:r>
          </w:p>
        </w:tc>
        <w:tc>
          <w:tcPr>
            <w:tcW w:w="876" w:type="pct"/>
            <w:vAlign w:val="center"/>
          </w:tcPr>
          <w:p w14:paraId="02DD1B48"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5,217.59 </w:t>
            </w:r>
          </w:p>
        </w:tc>
        <w:tc>
          <w:tcPr>
            <w:tcW w:w="814" w:type="pct"/>
            <w:vAlign w:val="center"/>
          </w:tcPr>
          <w:p w14:paraId="776C4B95"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3,922.70 </w:t>
            </w:r>
          </w:p>
        </w:tc>
        <w:tc>
          <w:tcPr>
            <w:tcW w:w="623" w:type="pct"/>
            <w:vAlign w:val="center"/>
          </w:tcPr>
          <w:p w14:paraId="109C8D56"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33.01%</w:t>
            </w:r>
          </w:p>
        </w:tc>
        <w:tc>
          <w:tcPr>
            <w:tcW w:w="1604" w:type="pct"/>
            <w:vMerge/>
            <w:vAlign w:val="center"/>
          </w:tcPr>
          <w:p w14:paraId="60E6D1F7"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p>
        </w:tc>
      </w:tr>
      <w:tr w:rsidR="00C17BBD" w:rsidRPr="00251592" w14:paraId="26CF4345" w14:textId="77777777" w:rsidTr="00622023">
        <w:trPr>
          <w:trHeight w:val="403"/>
          <w:jc w:val="center"/>
        </w:trPr>
        <w:tc>
          <w:tcPr>
            <w:tcW w:w="1083" w:type="pct"/>
            <w:vAlign w:val="center"/>
          </w:tcPr>
          <w:p w14:paraId="50F0E510" w14:textId="77777777" w:rsidR="00C17BBD" w:rsidRPr="00251592" w:rsidRDefault="00C17BBD" w:rsidP="008A2055">
            <w:pPr>
              <w:widowControl/>
              <w:jc w:val="center"/>
              <w:rPr>
                <w:rFonts w:ascii="宋体" w:eastAsia="宋体" w:hAnsi="宋体" w:cs="Times New Roman"/>
                <w:iCs/>
                <w:sz w:val="18"/>
                <w:szCs w:val="18"/>
                <w:lang w:bidi="en-US"/>
              </w:rPr>
            </w:pPr>
            <w:r w:rsidRPr="00251592">
              <w:rPr>
                <w:rFonts w:ascii="宋体" w:eastAsia="宋体" w:hAnsi="宋体" w:cs="Times New Roman"/>
                <w:iCs/>
                <w:sz w:val="18"/>
                <w:szCs w:val="18"/>
                <w:lang w:bidi="en-US"/>
              </w:rPr>
              <w:t>归属于母公司所有者的净利润</w:t>
            </w:r>
          </w:p>
        </w:tc>
        <w:tc>
          <w:tcPr>
            <w:tcW w:w="876" w:type="pct"/>
            <w:vAlign w:val="center"/>
          </w:tcPr>
          <w:p w14:paraId="44907047"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5,217.59 </w:t>
            </w:r>
          </w:p>
        </w:tc>
        <w:tc>
          <w:tcPr>
            <w:tcW w:w="814" w:type="pct"/>
            <w:vAlign w:val="center"/>
          </w:tcPr>
          <w:p w14:paraId="743028FC"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3,922.70 </w:t>
            </w:r>
          </w:p>
        </w:tc>
        <w:tc>
          <w:tcPr>
            <w:tcW w:w="623" w:type="pct"/>
            <w:vAlign w:val="center"/>
          </w:tcPr>
          <w:p w14:paraId="76A1398A"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33.01%</w:t>
            </w:r>
          </w:p>
        </w:tc>
        <w:tc>
          <w:tcPr>
            <w:tcW w:w="1604" w:type="pct"/>
            <w:vMerge/>
            <w:vAlign w:val="center"/>
          </w:tcPr>
          <w:p w14:paraId="222955DA" w14:textId="77777777" w:rsidR="00C17BBD" w:rsidRPr="00251592" w:rsidRDefault="00C17BBD" w:rsidP="008A2055">
            <w:pPr>
              <w:widowControl/>
              <w:jc w:val="left"/>
              <w:rPr>
                <w:rFonts w:ascii="宋体" w:eastAsia="宋体" w:hAnsi="宋体" w:cs="Times New Roman"/>
                <w:iCs/>
                <w:color w:val="000000"/>
                <w:kern w:val="0"/>
                <w:sz w:val="18"/>
                <w:szCs w:val="18"/>
                <w:lang w:bidi="en-US"/>
              </w:rPr>
            </w:pPr>
          </w:p>
        </w:tc>
      </w:tr>
    </w:tbl>
    <w:p w14:paraId="785474F2"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（3）合并现金流量表主要数据</w:t>
      </w:r>
    </w:p>
    <w:p w14:paraId="5B1761AC" w14:textId="77777777" w:rsidR="00C17BBD" w:rsidRPr="00251592" w:rsidRDefault="00C17BBD" w:rsidP="00C17BBD">
      <w:pPr>
        <w:pStyle w:val="14"/>
        <w:spacing w:afterLines="0" w:line="240" w:lineRule="auto"/>
        <w:ind w:firstLine="420"/>
        <w:jc w:val="right"/>
        <w:rPr>
          <w:rFonts w:ascii="宋体" w:hAnsi="宋体" w:cs="Times New Roman"/>
          <w:sz w:val="21"/>
          <w:szCs w:val="21"/>
        </w:rPr>
      </w:pPr>
      <w:r w:rsidRPr="00251592">
        <w:rPr>
          <w:rFonts w:ascii="宋体" w:hAnsi="宋体" w:cs="Times New Roman"/>
          <w:sz w:val="21"/>
          <w:szCs w:val="21"/>
        </w:rPr>
        <w:lastRenderedPageBreak/>
        <w:t>单位：万元</w:t>
      </w:r>
    </w:p>
    <w:tbl>
      <w:tblPr>
        <w:tblW w:w="5000" w:type="pct"/>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3518"/>
        <w:gridCol w:w="1924"/>
        <w:gridCol w:w="1924"/>
        <w:gridCol w:w="1156"/>
      </w:tblGrid>
      <w:tr w:rsidR="00C17BBD" w:rsidRPr="00251592" w14:paraId="7927BE57" w14:textId="77777777" w:rsidTr="00622023">
        <w:trPr>
          <w:trHeight w:val="403"/>
          <w:jc w:val="center"/>
        </w:trPr>
        <w:tc>
          <w:tcPr>
            <w:tcW w:w="2064" w:type="pct"/>
            <w:vAlign w:val="center"/>
          </w:tcPr>
          <w:p w14:paraId="2B0AE3C5" w14:textId="77777777" w:rsidR="00C17BBD" w:rsidRPr="00251592" w:rsidRDefault="00C17BBD" w:rsidP="008A2055">
            <w:pPr>
              <w:widowControl/>
              <w:jc w:val="center"/>
              <w:rPr>
                <w:rFonts w:ascii="宋体" w:eastAsia="宋体" w:hAnsi="宋体" w:cs="Times New Roman"/>
                <w:color w:val="000000"/>
                <w:kern w:val="0"/>
                <w:sz w:val="18"/>
                <w:szCs w:val="18"/>
                <w:lang w:eastAsia="en-US" w:bidi="en-US"/>
              </w:rPr>
            </w:pPr>
            <w:r w:rsidRPr="00251592">
              <w:rPr>
                <w:rFonts w:ascii="宋体" w:eastAsia="宋体" w:hAnsi="宋体" w:cs="Times New Roman"/>
                <w:color w:val="000000"/>
                <w:kern w:val="0"/>
                <w:sz w:val="18"/>
                <w:szCs w:val="18"/>
                <w:lang w:eastAsia="en-US" w:bidi="en-US"/>
              </w:rPr>
              <w:t>项</w:t>
            </w:r>
            <w:r w:rsidRPr="00251592">
              <w:rPr>
                <w:rFonts w:ascii="宋体" w:eastAsia="宋体" w:hAnsi="宋体" w:cs="Times New Roman"/>
                <w:color w:val="000000"/>
                <w:kern w:val="0"/>
                <w:sz w:val="18"/>
                <w:szCs w:val="18"/>
                <w:lang w:bidi="en-US"/>
              </w:rPr>
              <w:t xml:space="preserve"> </w:t>
            </w:r>
            <w:r w:rsidRPr="00251592">
              <w:rPr>
                <w:rFonts w:ascii="宋体" w:eastAsia="宋体" w:hAnsi="宋体" w:cs="Times New Roman"/>
                <w:color w:val="000000"/>
                <w:kern w:val="0"/>
                <w:sz w:val="18"/>
                <w:szCs w:val="18"/>
                <w:lang w:eastAsia="en-US" w:bidi="en-US"/>
              </w:rPr>
              <w:t>目</w:t>
            </w:r>
          </w:p>
        </w:tc>
        <w:tc>
          <w:tcPr>
            <w:tcW w:w="1129" w:type="pct"/>
            <w:vAlign w:val="center"/>
          </w:tcPr>
          <w:p w14:paraId="5BD0BFB3"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2020年1-9月</w:t>
            </w:r>
          </w:p>
        </w:tc>
        <w:tc>
          <w:tcPr>
            <w:tcW w:w="1129" w:type="pct"/>
            <w:vAlign w:val="center"/>
          </w:tcPr>
          <w:p w14:paraId="72572CA3"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2019年1-9月</w:t>
            </w:r>
          </w:p>
        </w:tc>
        <w:tc>
          <w:tcPr>
            <w:tcW w:w="678" w:type="pct"/>
            <w:vAlign w:val="center"/>
          </w:tcPr>
          <w:p w14:paraId="155857A9" w14:textId="77777777" w:rsidR="00C17BBD" w:rsidRPr="00251592" w:rsidRDefault="00C17BBD" w:rsidP="008A2055">
            <w:pPr>
              <w:widowControl/>
              <w:jc w:val="center"/>
              <w:rPr>
                <w:rFonts w:ascii="宋体" w:eastAsia="宋体" w:hAnsi="宋体" w:cs="Times New Roman"/>
                <w:color w:val="000000"/>
                <w:kern w:val="0"/>
                <w:sz w:val="18"/>
                <w:szCs w:val="18"/>
                <w:lang w:bidi="en-US"/>
              </w:rPr>
            </w:pPr>
            <w:r w:rsidRPr="00251592">
              <w:rPr>
                <w:rFonts w:ascii="宋体" w:eastAsia="宋体" w:hAnsi="宋体" w:cs="Times New Roman"/>
                <w:color w:val="000000"/>
                <w:kern w:val="0"/>
                <w:sz w:val="18"/>
                <w:szCs w:val="18"/>
                <w:lang w:bidi="en-US"/>
              </w:rPr>
              <w:t>变化率</w:t>
            </w:r>
          </w:p>
        </w:tc>
      </w:tr>
      <w:tr w:rsidR="00C17BBD" w:rsidRPr="00251592" w14:paraId="44E28562" w14:textId="77777777" w:rsidTr="00622023">
        <w:trPr>
          <w:trHeight w:val="403"/>
          <w:jc w:val="center"/>
        </w:trPr>
        <w:tc>
          <w:tcPr>
            <w:tcW w:w="2064" w:type="pct"/>
            <w:vAlign w:val="center"/>
          </w:tcPr>
          <w:p w14:paraId="04BE088B" w14:textId="77777777" w:rsidR="00C17BBD" w:rsidRPr="00251592" w:rsidRDefault="00C17BBD" w:rsidP="008A2055">
            <w:pPr>
              <w:widowControl/>
              <w:jc w:val="center"/>
              <w:rPr>
                <w:rFonts w:ascii="宋体" w:eastAsia="宋体" w:hAnsi="宋体" w:cs="Times New Roman"/>
                <w:iCs/>
                <w:color w:val="000000"/>
                <w:kern w:val="0"/>
                <w:sz w:val="18"/>
                <w:szCs w:val="18"/>
                <w:lang w:bidi="en-US"/>
              </w:rPr>
            </w:pPr>
            <w:r w:rsidRPr="00251592">
              <w:rPr>
                <w:rFonts w:ascii="宋体" w:eastAsia="宋体" w:hAnsi="宋体" w:cs="Times New Roman"/>
                <w:sz w:val="18"/>
                <w:szCs w:val="18"/>
              </w:rPr>
              <w:t>经营活动产生的现金流量净额</w:t>
            </w:r>
          </w:p>
        </w:tc>
        <w:tc>
          <w:tcPr>
            <w:tcW w:w="1129" w:type="pct"/>
            <w:vAlign w:val="center"/>
          </w:tcPr>
          <w:p w14:paraId="095A7692"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-1,299.03 </w:t>
            </w:r>
          </w:p>
        </w:tc>
        <w:tc>
          <w:tcPr>
            <w:tcW w:w="1129" w:type="pct"/>
            <w:vAlign w:val="center"/>
          </w:tcPr>
          <w:p w14:paraId="6E8369BF"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-8,069.76 </w:t>
            </w:r>
          </w:p>
        </w:tc>
        <w:tc>
          <w:tcPr>
            <w:tcW w:w="678" w:type="pct"/>
            <w:vAlign w:val="center"/>
          </w:tcPr>
          <w:p w14:paraId="427CB2C2"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-83.90%</w:t>
            </w:r>
          </w:p>
        </w:tc>
      </w:tr>
      <w:tr w:rsidR="00C17BBD" w:rsidRPr="00251592" w14:paraId="5B4B8936" w14:textId="77777777" w:rsidTr="00622023">
        <w:trPr>
          <w:trHeight w:val="403"/>
          <w:jc w:val="center"/>
        </w:trPr>
        <w:tc>
          <w:tcPr>
            <w:tcW w:w="2064" w:type="pct"/>
            <w:vAlign w:val="center"/>
          </w:tcPr>
          <w:p w14:paraId="4123D053" w14:textId="77777777" w:rsidR="00C17BBD" w:rsidRPr="00251592" w:rsidRDefault="00C17BBD" w:rsidP="008A2055">
            <w:pPr>
              <w:widowControl/>
              <w:jc w:val="center"/>
              <w:rPr>
                <w:rFonts w:ascii="宋体" w:eastAsia="宋体" w:hAnsi="宋体" w:cs="Times New Roman"/>
                <w:iCs/>
                <w:color w:val="000000"/>
                <w:kern w:val="0"/>
                <w:sz w:val="18"/>
                <w:szCs w:val="18"/>
                <w:lang w:bidi="en-US"/>
              </w:rPr>
            </w:pPr>
            <w:r w:rsidRPr="00251592">
              <w:rPr>
                <w:rFonts w:ascii="宋体" w:eastAsia="宋体" w:hAnsi="宋体" w:cs="Times New Roman"/>
                <w:sz w:val="18"/>
                <w:szCs w:val="18"/>
              </w:rPr>
              <w:t>投资活动产生的现金流量净额</w:t>
            </w:r>
          </w:p>
        </w:tc>
        <w:tc>
          <w:tcPr>
            <w:tcW w:w="1129" w:type="pct"/>
            <w:vAlign w:val="center"/>
          </w:tcPr>
          <w:p w14:paraId="15FBE42F"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-874.51 </w:t>
            </w:r>
          </w:p>
        </w:tc>
        <w:tc>
          <w:tcPr>
            <w:tcW w:w="1129" w:type="pct"/>
            <w:vAlign w:val="center"/>
          </w:tcPr>
          <w:p w14:paraId="7B6DA55B"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11,200.84 </w:t>
            </w:r>
          </w:p>
        </w:tc>
        <w:tc>
          <w:tcPr>
            <w:tcW w:w="678" w:type="pct"/>
            <w:vAlign w:val="center"/>
          </w:tcPr>
          <w:p w14:paraId="386D7C6F"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-107.81%</w:t>
            </w:r>
          </w:p>
        </w:tc>
      </w:tr>
      <w:tr w:rsidR="00C17BBD" w:rsidRPr="00251592" w14:paraId="74B1EE78" w14:textId="77777777" w:rsidTr="00622023">
        <w:trPr>
          <w:trHeight w:val="403"/>
          <w:jc w:val="center"/>
        </w:trPr>
        <w:tc>
          <w:tcPr>
            <w:tcW w:w="2064" w:type="pct"/>
            <w:vAlign w:val="center"/>
          </w:tcPr>
          <w:p w14:paraId="7BDBC31E" w14:textId="77777777" w:rsidR="00C17BBD" w:rsidRPr="00251592" w:rsidRDefault="00C17BBD" w:rsidP="008A2055">
            <w:pPr>
              <w:widowControl/>
              <w:jc w:val="center"/>
              <w:rPr>
                <w:rFonts w:ascii="宋体" w:eastAsia="宋体" w:hAnsi="宋体" w:cs="Times New Roman"/>
                <w:iCs/>
                <w:color w:val="000000"/>
                <w:kern w:val="0"/>
                <w:sz w:val="18"/>
                <w:szCs w:val="18"/>
                <w:lang w:bidi="en-US"/>
              </w:rPr>
            </w:pPr>
            <w:r w:rsidRPr="00251592">
              <w:rPr>
                <w:rFonts w:ascii="宋体" w:eastAsia="宋体" w:hAnsi="宋体" w:cs="Times New Roman"/>
                <w:sz w:val="18"/>
                <w:szCs w:val="18"/>
              </w:rPr>
              <w:t>筹资活动产生的现金流量净额</w:t>
            </w:r>
          </w:p>
        </w:tc>
        <w:tc>
          <w:tcPr>
            <w:tcW w:w="1129" w:type="pct"/>
            <w:vAlign w:val="center"/>
          </w:tcPr>
          <w:p w14:paraId="38D94252"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-84.01 </w:t>
            </w:r>
          </w:p>
        </w:tc>
        <w:tc>
          <w:tcPr>
            <w:tcW w:w="1129" w:type="pct"/>
            <w:vAlign w:val="center"/>
          </w:tcPr>
          <w:p w14:paraId="01D21757"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 xml:space="preserve">     -500.00 </w:t>
            </w:r>
          </w:p>
        </w:tc>
        <w:tc>
          <w:tcPr>
            <w:tcW w:w="678" w:type="pct"/>
            <w:vAlign w:val="center"/>
          </w:tcPr>
          <w:p w14:paraId="73D60605" w14:textId="77777777" w:rsidR="00C17BBD" w:rsidRPr="00251592" w:rsidRDefault="00C17BBD" w:rsidP="008A2055">
            <w:pPr>
              <w:widowControl/>
              <w:jc w:val="right"/>
              <w:rPr>
                <w:rFonts w:ascii="宋体" w:eastAsia="宋体" w:hAnsi="宋体" w:cs="Times New Roman"/>
                <w:color w:val="000000"/>
                <w:sz w:val="18"/>
                <w:szCs w:val="18"/>
              </w:rPr>
            </w:pPr>
            <w:r w:rsidRPr="00251592">
              <w:rPr>
                <w:rFonts w:ascii="宋体" w:eastAsia="宋体" w:hAnsi="宋体" w:cs="Times New Roman"/>
                <w:color w:val="000000"/>
                <w:sz w:val="18"/>
                <w:szCs w:val="18"/>
              </w:rPr>
              <w:t>-83.20%</w:t>
            </w:r>
          </w:p>
        </w:tc>
      </w:tr>
    </w:tbl>
    <w:p w14:paraId="69165DB7"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2020年1-9月，公司经营活动产生的现金流量净额为-1,299.03万元，较上年同期有所好转，主要系公司本期销售回款的增加所致；投资活动产生的现金流量净额为-874.51万元，较上年同期下降</w:t>
      </w:r>
      <w:r w:rsidRPr="00251592">
        <w:rPr>
          <w:rFonts w:ascii="宋体" w:hAnsi="宋体" w:cs="Times New Roman"/>
          <w:iCs/>
          <w:color w:val="000000"/>
          <w:sz w:val="21"/>
          <w:szCs w:val="21"/>
          <w:lang w:bidi="en-US"/>
        </w:rPr>
        <w:t>107.81%</w:t>
      </w:r>
      <w:r w:rsidRPr="00251592">
        <w:rPr>
          <w:rFonts w:ascii="宋体" w:hAnsi="宋体" w:cs="Times New Roman"/>
          <w:sz w:val="21"/>
          <w:szCs w:val="21"/>
        </w:rPr>
        <w:t>，主要系上年度收回投资较多、本年度购置固定资产所致；筹资活动产生的现金流量净额为-84.01万元，主要系本期公司偿还短期借款所致。</w:t>
      </w:r>
    </w:p>
    <w:p w14:paraId="1A161385"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合并现金流量表变化超过30.00%的主要项目的变动原因具体如下：</w:t>
      </w:r>
    </w:p>
    <w:p w14:paraId="5BF78738" w14:textId="77777777" w:rsidR="00C17BBD" w:rsidRPr="00251592" w:rsidRDefault="00C17BBD" w:rsidP="00C17BBD">
      <w:pPr>
        <w:pStyle w:val="14"/>
        <w:spacing w:afterLines="0" w:line="240" w:lineRule="auto"/>
        <w:ind w:firstLine="420"/>
        <w:jc w:val="right"/>
        <w:rPr>
          <w:rFonts w:ascii="宋体" w:hAnsi="宋体" w:cs="Times New Roman"/>
          <w:sz w:val="21"/>
          <w:szCs w:val="21"/>
        </w:rPr>
      </w:pPr>
      <w:r w:rsidRPr="00251592">
        <w:rPr>
          <w:rFonts w:ascii="宋体" w:hAnsi="宋体" w:cs="Times New Roman"/>
          <w:sz w:val="21"/>
          <w:szCs w:val="21"/>
        </w:rPr>
        <w:t>单位：万元</w:t>
      </w:r>
    </w:p>
    <w:tbl>
      <w:tblPr>
        <w:tblW w:w="5899" w:type="pct"/>
        <w:jc w:val="center"/>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624"/>
        <w:gridCol w:w="1729"/>
        <w:gridCol w:w="1605"/>
        <w:gridCol w:w="1229"/>
        <w:gridCol w:w="2867"/>
      </w:tblGrid>
      <w:tr w:rsidR="00C17BBD" w:rsidRPr="00251592" w14:paraId="02E7A7D5" w14:textId="77777777" w:rsidTr="00622023">
        <w:trPr>
          <w:trHeight w:val="403"/>
          <w:jc w:val="center"/>
        </w:trPr>
        <w:tc>
          <w:tcPr>
            <w:tcW w:w="1305" w:type="pct"/>
            <w:shd w:val="clear" w:color="auto" w:fill="auto"/>
            <w:vAlign w:val="center"/>
          </w:tcPr>
          <w:p w14:paraId="420B4822" w14:textId="77777777" w:rsidR="00C17BBD" w:rsidRPr="00251592" w:rsidRDefault="00C17BBD" w:rsidP="008A2055">
            <w:pPr>
              <w:widowControl/>
              <w:jc w:val="center"/>
              <w:rPr>
                <w:rFonts w:ascii="宋体" w:eastAsia="宋体" w:hAnsi="宋体" w:cs="Times New Roman"/>
                <w:sz w:val="18"/>
                <w:szCs w:val="18"/>
              </w:rPr>
            </w:pPr>
            <w:r w:rsidRPr="00251592">
              <w:rPr>
                <w:rFonts w:ascii="宋体" w:eastAsia="宋体" w:hAnsi="宋体" w:cs="Times New Roman"/>
                <w:sz w:val="18"/>
                <w:szCs w:val="18"/>
              </w:rPr>
              <w:t>项 目</w:t>
            </w:r>
          </w:p>
        </w:tc>
        <w:tc>
          <w:tcPr>
            <w:tcW w:w="860" w:type="pct"/>
            <w:shd w:val="clear" w:color="auto" w:fill="auto"/>
            <w:vAlign w:val="center"/>
          </w:tcPr>
          <w:p w14:paraId="45DB238E" w14:textId="77777777" w:rsidR="00C17BBD" w:rsidRPr="00251592" w:rsidRDefault="00C17BBD" w:rsidP="008A2055">
            <w:pPr>
              <w:widowControl/>
              <w:jc w:val="center"/>
              <w:rPr>
                <w:rFonts w:ascii="宋体" w:eastAsia="宋体" w:hAnsi="宋体" w:cs="Times New Roman"/>
                <w:sz w:val="18"/>
                <w:szCs w:val="18"/>
              </w:rPr>
            </w:pPr>
            <w:r w:rsidRPr="00251592">
              <w:rPr>
                <w:rFonts w:ascii="宋体" w:eastAsia="宋体" w:hAnsi="宋体" w:cs="Times New Roman"/>
                <w:sz w:val="18"/>
                <w:szCs w:val="18"/>
              </w:rPr>
              <w:t>2020年1-9月</w:t>
            </w:r>
          </w:p>
        </w:tc>
        <w:tc>
          <w:tcPr>
            <w:tcW w:w="798" w:type="pct"/>
            <w:shd w:val="clear" w:color="auto" w:fill="auto"/>
            <w:vAlign w:val="center"/>
          </w:tcPr>
          <w:p w14:paraId="02EFEB50" w14:textId="77777777" w:rsidR="00C17BBD" w:rsidRPr="00251592" w:rsidRDefault="00C17BBD" w:rsidP="008A2055">
            <w:pPr>
              <w:widowControl/>
              <w:jc w:val="center"/>
              <w:rPr>
                <w:rFonts w:ascii="宋体" w:eastAsia="宋体" w:hAnsi="宋体" w:cs="Times New Roman"/>
                <w:sz w:val="18"/>
                <w:szCs w:val="18"/>
              </w:rPr>
            </w:pPr>
            <w:r w:rsidRPr="00251592">
              <w:rPr>
                <w:rFonts w:ascii="宋体" w:eastAsia="宋体" w:hAnsi="宋体" w:cs="Times New Roman"/>
                <w:sz w:val="18"/>
                <w:szCs w:val="18"/>
              </w:rPr>
              <w:t>2019年1-9月</w:t>
            </w:r>
          </w:p>
        </w:tc>
        <w:tc>
          <w:tcPr>
            <w:tcW w:w="611" w:type="pct"/>
            <w:shd w:val="clear" w:color="auto" w:fill="auto"/>
            <w:vAlign w:val="center"/>
          </w:tcPr>
          <w:p w14:paraId="4922FEAE" w14:textId="77777777" w:rsidR="00C17BBD" w:rsidRPr="00251592" w:rsidRDefault="00C17BBD" w:rsidP="008A2055">
            <w:pPr>
              <w:widowControl/>
              <w:jc w:val="center"/>
              <w:rPr>
                <w:rFonts w:ascii="宋体" w:eastAsia="宋体" w:hAnsi="宋体" w:cs="Times New Roman"/>
                <w:iCs/>
                <w:color w:val="000000"/>
                <w:kern w:val="0"/>
                <w:sz w:val="18"/>
                <w:szCs w:val="18"/>
                <w:lang w:bidi="en-US"/>
              </w:rPr>
            </w:pPr>
            <w:r w:rsidRPr="00251592">
              <w:rPr>
                <w:rFonts w:ascii="宋体" w:eastAsia="宋体" w:hAnsi="宋体" w:cs="Times New Roman"/>
                <w:iCs/>
                <w:color w:val="000000"/>
                <w:kern w:val="0"/>
                <w:sz w:val="18"/>
                <w:szCs w:val="18"/>
                <w:lang w:bidi="en-US"/>
              </w:rPr>
              <w:t>变化率</w:t>
            </w:r>
          </w:p>
        </w:tc>
        <w:tc>
          <w:tcPr>
            <w:tcW w:w="1426" w:type="pct"/>
            <w:shd w:val="clear" w:color="auto" w:fill="auto"/>
            <w:vAlign w:val="center"/>
          </w:tcPr>
          <w:p w14:paraId="5E912FE7" w14:textId="77777777" w:rsidR="00C17BBD" w:rsidRPr="00251592" w:rsidRDefault="00C17BBD" w:rsidP="008A2055">
            <w:pPr>
              <w:widowControl/>
              <w:jc w:val="center"/>
              <w:rPr>
                <w:rFonts w:ascii="宋体" w:eastAsia="宋体" w:hAnsi="宋体" w:cs="Times New Roman"/>
                <w:sz w:val="18"/>
                <w:szCs w:val="18"/>
              </w:rPr>
            </w:pPr>
            <w:r w:rsidRPr="00251592">
              <w:rPr>
                <w:rFonts w:ascii="宋体" w:eastAsia="宋体" w:hAnsi="宋体" w:cs="Times New Roman"/>
                <w:sz w:val="18"/>
                <w:szCs w:val="18"/>
              </w:rPr>
              <w:t>变动原因</w:t>
            </w:r>
          </w:p>
        </w:tc>
      </w:tr>
      <w:tr w:rsidR="00C17BBD" w:rsidRPr="00251592" w14:paraId="76F7E99F" w14:textId="77777777" w:rsidTr="00622023">
        <w:trPr>
          <w:trHeight w:val="403"/>
          <w:jc w:val="center"/>
        </w:trPr>
        <w:tc>
          <w:tcPr>
            <w:tcW w:w="1305" w:type="pct"/>
            <w:shd w:val="clear" w:color="auto" w:fill="auto"/>
            <w:vAlign w:val="center"/>
          </w:tcPr>
          <w:p w14:paraId="0C1E53F9"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销售商品、提供劳务收到的现金</w:t>
            </w:r>
          </w:p>
        </w:tc>
        <w:tc>
          <w:tcPr>
            <w:tcW w:w="860" w:type="pct"/>
            <w:shd w:val="clear" w:color="auto" w:fill="auto"/>
            <w:vAlign w:val="center"/>
          </w:tcPr>
          <w:p w14:paraId="028836C7"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16,299.67 </w:t>
            </w:r>
          </w:p>
        </w:tc>
        <w:tc>
          <w:tcPr>
            <w:tcW w:w="798" w:type="pct"/>
            <w:shd w:val="clear" w:color="auto" w:fill="auto"/>
            <w:vAlign w:val="center"/>
          </w:tcPr>
          <w:p w14:paraId="3EAA270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10,240.02 </w:t>
            </w:r>
          </w:p>
        </w:tc>
        <w:tc>
          <w:tcPr>
            <w:tcW w:w="611" w:type="pct"/>
            <w:shd w:val="clear" w:color="auto" w:fill="auto"/>
            <w:vAlign w:val="center"/>
          </w:tcPr>
          <w:p w14:paraId="20A92C9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59.18%</w:t>
            </w:r>
          </w:p>
        </w:tc>
        <w:tc>
          <w:tcPr>
            <w:tcW w:w="1426" w:type="pct"/>
            <w:shd w:val="clear" w:color="auto" w:fill="auto"/>
            <w:vAlign w:val="center"/>
          </w:tcPr>
          <w:p w14:paraId="151F9085"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业务规模有所扩大、回款有所增加所致</w:t>
            </w:r>
          </w:p>
        </w:tc>
      </w:tr>
      <w:tr w:rsidR="00C17BBD" w:rsidRPr="00251592" w14:paraId="3FC09B9A" w14:textId="77777777" w:rsidTr="00622023">
        <w:trPr>
          <w:trHeight w:val="403"/>
          <w:jc w:val="center"/>
        </w:trPr>
        <w:tc>
          <w:tcPr>
            <w:tcW w:w="1305" w:type="pct"/>
            <w:shd w:val="clear" w:color="auto" w:fill="auto"/>
            <w:vAlign w:val="center"/>
          </w:tcPr>
          <w:p w14:paraId="1FCA7884"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收到的其他与经营活动的现金</w:t>
            </w:r>
          </w:p>
        </w:tc>
        <w:tc>
          <w:tcPr>
            <w:tcW w:w="860" w:type="pct"/>
            <w:shd w:val="clear" w:color="auto" w:fill="auto"/>
            <w:vAlign w:val="center"/>
          </w:tcPr>
          <w:p w14:paraId="357E2E41"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548.10 </w:t>
            </w:r>
          </w:p>
        </w:tc>
        <w:tc>
          <w:tcPr>
            <w:tcW w:w="798" w:type="pct"/>
            <w:shd w:val="clear" w:color="auto" w:fill="auto"/>
            <w:vAlign w:val="center"/>
          </w:tcPr>
          <w:p w14:paraId="44C14656"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198.04 </w:t>
            </w:r>
          </w:p>
        </w:tc>
        <w:tc>
          <w:tcPr>
            <w:tcW w:w="611" w:type="pct"/>
            <w:shd w:val="clear" w:color="auto" w:fill="auto"/>
            <w:vAlign w:val="center"/>
          </w:tcPr>
          <w:p w14:paraId="45B41919"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176.76%</w:t>
            </w:r>
          </w:p>
        </w:tc>
        <w:tc>
          <w:tcPr>
            <w:tcW w:w="1426" w:type="pct"/>
            <w:shd w:val="clear" w:color="auto" w:fill="auto"/>
            <w:vAlign w:val="center"/>
          </w:tcPr>
          <w:p w14:paraId="2933B557"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主要系当期收到的政府补助增多所致</w:t>
            </w:r>
          </w:p>
        </w:tc>
      </w:tr>
      <w:tr w:rsidR="00C17BBD" w:rsidRPr="00251592" w14:paraId="76EC0505" w14:textId="77777777" w:rsidTr="00622023">
        <w:trPr>
          <w:trHeight w:val="403"/>
          <w:jc w:val="center"/>
        </w:trPr>
        <w:tc>
          <w:tcPr>
            <w:tcW w:w="1305" w:type="pct"/>
            <w:shd w:val="clear" w:color="auto" w:fill="auto"/>
            <w:vAlign w:val="center"/>
          </w:tcPr>
          <w:p w14:paraId="5B1E4A58"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收回投资所收到的现金</w:t>
            </w:r>
          </w:p>
        </w:tc>
        <w:tc>
          <w:tcPr>
            <w:tcW w:w="860" w:type="pct"/>
            <w:shd w:val="clear" w:color="auto" w:fill="auto"/>
            <w:vAlign w:val="center"/>
          </w:tcPr>
          <w:p w14:paraId="34170549"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w:t>
            </w:r>
          </w:p>
        </w:tc>
        <w:tc>
          <w:tcPr>
            <w:tcW w:w="798" w:type="pct"/>
            <w:shd w:val="clear" w:color="auto" w:fill="auto"/>
            <w:vAlign w:val="center"/>
          </w:tcPr>
          <w:p w14:paraId="723289E6"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12,200.00 </w:t>
            </w:r>
          </w:p>
        </w:tc>
        <w:tc>
          <w:tcPr>
            <w:tcW w:w="611" w:type="pct"/>
            <w:shd w:val="clear" w:color="auto" w:fill="auto"/>
            <w:vAlign w:val="center"/>
          </w:tcPr>
          <w:p w14:paraId="17E1283B"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-100.00%</w:t>
            </w:r>
          </w:p>
        </w:tc>
        <w:tc>
          <w:tcPr>
            <w:tcW w:w="1426" w:type="pct"/>
            <w:shd w:val="clear" w:color="auto" w:fill="auto"/>
            <w:vAlign w:val="center"/>
          </w:tcPr>
          <w:p w14:paraId="33D113A9"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上年度收回投资所致</w:t>
            </w:r>
          </w:p>
        </w:tc>
      </w:tr>
      <w:tr w:rsidR="00C17BBD" w:rsidRPr="00251592" w14:paraId="59AD19FD" w14:textId="77777777" w:rsidTr="00622023">
        <w:trPr>
          <w:trHeight w:val="403"/>
          <w:jc w:val="center"/>
        </w:trPr>
        <w:tc>
          <w:tcPr>
            <w:tcW w:w="1305" w:type="pct"/>
            <w:shd w:val="clear" w:color="auto" w:fill="auto"/>
            <w:vAlign w:val="center"/>
          </w:tcPr>
          <w:p w14:paraId="57898DB9"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取得投资收益收到的现金</w:t>
            </w:r>
          </w:p>
        </w:tc>
        <w:tc>
          <w:tcPr>
            <w:tcW w:w="860" w:type="pct"/>
            <w:shd w:val="clear" w:color="auto" w:fill="auto"/>
            <w:vAlign w:val="center"/>
          </w:tcPr>
          <w:p w14:paraId="530EC441"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w:t>
            </w:r>
          </w:p>
        </w:tc>
        <w:tc>
          <w:tcPr>
            <w:tcW w:w="798" w:type="pct"/>
            <w:shd w:val="clear" w:color="auto" w:fill="auto"/>
            <w:vAlign w:val="center"/>
          </w:tcPr>
          <w:p w14:paraId="788BC77A"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690.99 </w:t>
            </w:r>
          </w:p>
        </w:tc>
        <w:tc>
          <w:tcPr>
            <w:tcW w:w="611" w:type="pct"/>
            <w:shd w:val="clear" w:color="auto" w:fill="auto"/>
            <w:vAlign w:val="center"/>
          </w:tcPr>
          <w:p w14:paraId="257099AB"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-100.00%</w:t>
            </w:r>
          </w:p>
        </w:tc>
        <w:tc>
          <w:tcPr>
            <w:tcW w:w="1426" w:type="pct"/>
            <w:shd w:val="clear" w:color="auto" w:fill="auto"/>
            <w:vAlign w:val="center"/>
          </w:tcPr>
          <w:p w14:paraId="6BC402D2"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上年度收回投资收益所致</w:t>
            </w:r>
          </w:p>
        </w:tc>
      </w:tr>
      <w:tr w:rsidR="00C17BBD" w:rsidRPr="00251592" w14:paraId="12B7E41F" w14:textId="77777777" w:rsidTr="00622023">
        <w:trPr>
          <w:trHeight w:val="403"/>
          <w:jc w:val="center"/>
        </w:trPr>
        <w:tc>
          <w:tcPr>
            <w:tcW w:w="1305" w:type="pct"/>
            <w:shd w:val="clear" w:color="auto" w:fill="auto"/>
            <w:vAlign w:val="center"/>
          </w:tcPr>
          <w:p w14:paraId="60CAE7BC"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收到其他与投资活动有关的现金</w:t>
            </w:r>
          </w:p>
        </w:tc>
        <w:tc>
          <w:tcPr>
            <w:tcW w:w="860" w:type="pct"/>
            <w:shd w:val="clear" w:color="auto" w:fill="auto"/>
            <w:vAlign w:val="center"/>
          </w:tcPr>
          <w:p w14:paraId="6328F58E"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w:t>
            </w:r>
          </w:p>
        </w:tc>
        <w:tc>
          <w:tcPr>
            <w:tcW w:w="798" w:type="pct"/>
            <w:shd w:val="clear" w:color="auto" w:fill="auto"/>
            <w:vAlign w:val="center"/>
          </w:tcPr>
          <w:p w14:paraId="356135C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300.00 </w:t>
            </w:r>
          </w:p>
        </w:tc>
        <w:tc>
          <w:tcPr>
            <w:tcW w:w="611" w:type="pct"/>
            <w:shd w:val="clear" w:color="auto" w:fill="auto"/>
            <w:vAlign w:val="center"/>
          </w:tcPr>
          <w:p w14:paraId="6D581FE7"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-100.00%</w:t>
            </w:r>
          </w:p>
        </w:tc>
        <w:tc>
          <w:tcPr>
            <w:tcW w:w="1426" w:type="pct"/>
            <w:shd w:val="clear" w:color="auto" w:fill="auto"/>
            <w:vAlign w:val="center"/>
          </w:tcPr>
          <w:p w14:paraId="68CCC53F"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上年度收回收购都市霍普股权押金</w:t>
            </w:r>
          </w:p>
        </w:tc>
      </w:tr>
      <w:tr w:rsidR="00C17BBD" w:rsidRPr="00251592" w14:paraId="1B04AEB6" w14:textId="77777777" w:rsidTr="00622023">
        <w:trPr>
          <w:trHeight w:val="403"/>
          <w:jc w:val="center"/>
        </w:trPr>
        <w:tc>
          <w:tcPr>
            <w:tcW w:w="1305" w:type="pct"/>
            <w:shd w:val="clear" w:color="auto" w:fill="auto"/>
            <w:vAlign w:val="center"/>
          </w:tcPr>
          <w:p w14:paraId="33B731C2"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购建固定资产、无形资产和其他长期资产所支付的现金</w:t>
            </w:r>
          </w:p>
        </w:tc>
        <w:tc>
          <w:tcPr>
            <w:tcW w:w="860" w:type="pct"/>
            <w:shd w:val="clear" w:color="auto" w:fill="auto"/>
            <w:vAlign w:val="center"/>
          </w:tcPr>
          <w:p w14:paraId="15FCB7AC"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879.41 </w:t>
            </w:r>
          </w:p>
        </w:tc>
        <w:tc>
          <w:tcPr>
            <w:tcW w:w="798" w:type="pct"/>
            <w:shd w:val="clear" w:color="auto" w:fill="auto"/>
            <w:vAlign w:val="center"/>
          </w:tcPr>
          <w:p w14:paraId="1B1EECF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361.37 </w:t>
            </w:r>
          </w:p>
        </w:tc>
        <w:tc>
          <w:tcPr>
            <w:tcW w:w="611" w:type="pct"/>
            <w:shd w:val="clear" w:color="auto" w:fill="auto"/>
            <w:vAlign w:val="center"/>
          </w:tcPr>
          <w:p w14:paraId="0C74C0E1"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143.36%</w:t>
            </w:r>
          </w:p>
        </w:tc>
        <w:tc>
          <w:tcPr>
            <w:tcW w:w="1426" w:type="pct"/>
            <w:shd w:val="clear" w:color="auto" w:fill="auto"/>
            <w:vAlign w:val="center"/>
          </w:tcPr>
          <w:p w14:paraId="76183DB8"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当期购买固定资产所致</w:t>
            </w:r>
          </w:p>
        </w:tc>
      </w:tr>
      <w:tr w:rsidR="00C17BBD" w:rsidRPr="00251592" w14:paraId="1E47CCD5" w14:textId="77777777" w:rsidTr="00622023">
        <w:trPr>
          <w:trHeight w:val="403"/>
          <w:jc w:val="center"/>
        </w:trPr>
        <w:tc>
          <w:tcPr>
            <w:tcW w:w="1305" w:type="pct"/>
            <w:shd w:val="clear" w:color="auto" w:fill="auto"/>
            <w:vAlign w:val="center"/>
          </w:tcPr>
          <w:p w14:paraId="1DAF4121"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投资所支付的现金</w:t>
            </w:r>
          </w:p>
        </w:tc>
        <w:tc>
          <w:tcPr>
            <w:tcW w:w="860" w:type="pct"/>
            <w:shd w:val="clear" w:color="auto" w:fill="auto"/>
            <w:vAlign w:val="center"/>
          </w:tcPr>
          <w:p w14:paraId="67624DA0"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w:t>
            </w:r>
          </w:p>
        </w:tc>
        <w:tc>
          <w:tcPr>
            <w:tcW w:w="798" w:type="pct"/>
            <w:shd w:val="clear" w:color="auto" w:fill="auto"/>
            <w:vAlign w:val="center"/>
          </w:tcPr>
          <w:p w14:paraId="4148EDA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1,629.61</w:t>
            </w:r>
          </w:p>
        </w:tc>
        <w:tc>
          <w:tcPr>
            <w:tcW w:w="611" w:type="pct"/>
            <w:shd w:val="clear" w:color="auto" w:fill="auto"/>
            <w:vAlign w:val="center"/>
          </w:tcPr>
          <w:p w14:paraId="25D13905"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-100.00%</w:t>
            </w:r>
          </w:p>
        </w:tc>
        <w:tc>
          <w:tcPr>
            <w:tcW w:w="1426" w:type="pct"/>
            <w:shd w:val="clear" w:color="auto" w:fill="auto"/>
            <w:vAlign w:val="center"/>
          </w:tcPr>
          <w:p w14:paraId="66852E22"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上年度进行理财投资所致</w:t>
            </w:r>
          </w:p>
        </w:tc>
      </w:tr>
      <w:tr w:rsidR="00C17BBD" w:rsidRPr="00251592" w14:paraId="6192508F" w14:textId="77777777" w:rsidTr="00622023">
        <w:trPr>
          <w:trHeight w:val="403"/>
          <w:jc w:val="center"/>
        </w:trPr>
        <w:tc>
          <w:tcPr>
            <w:tcW w:w="1305" w:type="pct"/>
            <w:shd w:val="clear" w:color="auto" w:fill="auto"/>
            <w:vAlign w:val="center"/>
          </w:tcPr>
          <w:p w14:paraId="4389D23B"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偿还债务所支付的现金</w:t>
            </w:r>
          </w:p>
        </w:tc>
        <w:tc>
          <w:tcPr>
            <w:tcW w:w="860" w:type="pct"/>
            <w:shd w:val="clear" w:color="auto" w:fill="auto"/>
            <w:vAlign w:val="center"/>
          </w:tcPr>
          <w:p w14:paraId="19530CE2"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84.01</w:t>
            </w:r>
          </w:p>
        </w:tc>
        <w:tc>
          <w:tcPr>
            <w:tcW w:w="798" w:type="pct"/>
            <w:shd w:val="clear" w:color="auto" w:fill="auto"/>
            <w:vAlign w:val="center"/>
          </w:tcPr>
          <w:p w14:paraId="2221FFB6"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w:t>
            </w:r>
          </w:p>
        </w:tc>
        <w:tc>
          <w:tcPr>
            <w:tcW w:w="611" w:type="pct"/>
            <w:shd w:val="clear" w:color="auto" w:fill="auto"/>
            <w:vAlign w:val="center"/>
          </w:tcPr>
          <w:p w14:paraId="0D5BB925"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w:t>
            </w:r>
          </w:p>
        </w:tc>
        <w:tc>
          <w:tcPr>
            <w:tcW w:w="1426" w:type="pct"/>
            <w:shd w:val="clear" w:color="auto" w:fill="auto"/>
            <w:vAlign w:val="center"/>
          </w:tcPr>
          <w:p w14:paraId="12DA739F"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当期偿还银行贷款所致</w:t>
            </w:r>
          </w:p>
        </w:tc>
      </w:tr>
      <w:tr w:rsidR="00C17BBD" w:rsidRPr="00251592" w14:paraId="3BE280FE" w14:textId="77777777" w:rsidTr="00622023">
        <w:trPr>
          <w:trHeight w:val="403"/>
          <w:jc w:val="center"/>
        </w:trPr>
        <w:tc>
          <w:tcPr>
            <w:tcW w:w="1305" w:type="pct"/>
            <w:shd w:val="clear" w:color="auto" w:fill="auto"/>
            <w:vAlign w:val="center"/>
          </w:tcPr>
          <w:p w14:paraId="452967D3" w14:textId="77777777" w:rsidR="00C17BBD" w:rsidRPr="00251592" w:rsidRDefault="00C17BBD" w:rsidP="008A2055">
            <w:pPr>
              <w:widowControl/>
              <w:rPr>
                <w:rFonts w:ascii="宋体" w:eastAsia="宋体" w:hAnsi="宋体" w:cs="Times New Roman"/>
                <w:sz w:val="18"/>
                <w:szCs w:val="18"/>
              </w:rPr>
            </w:pPr>
            <w:r w:rsidRPr="00251592">
              <w:rPr>
                <w:rFonts w:ascii="宋体" w:eastAsia="宋体" w:hAnsi="宋体" w:cs="Times New Roman"/>
                <w:sz w:val="18"/>
                <w:szCs w:val="18"/>
              </w:rPr>
              <w:t>支付其他与筹资活动有关的现金</w:t>
            </w:r>
          </w:p>
        </w:tc>
        <w:tc>
          <w:tcPr>
            <w:tcW w:w="860" w:type="pct"/>
            <w:shd w:val="clear" w:color="auto" w:fill="auto"/>
            <w:vAlign w:val="center"/>
          </w:tcPr>
          <w:p w14:paraId="6080D661"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   </w:t>
            </w:r>
          </w:p>
        </w:tc>
        <w:tc>
          <w:tcPr>
            <w:tcW w:w="798" w:type="pct"/>
            <w:shd w:val="clear" w:color="auto" w:fill="auto"/>
            <w:vAlign w:val="center"/>
          </w:tcPr>
          <w:p w14:paraId="49AD2114"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 xml:space="preserve">500.00 </w:t>
            </w:r>
          </w:p>
        </w:tc>
        <w:tc>
          <w:tcPr>
            <w:tcW w:w="611" w:type="pct"/>
            <w:shd w:val="clear" w:color="auto" w:fill="auto"/>
            <w:vAlign w:val="center"/>
          </w:tcPr>
          <w:p w14:paraId="11DACDF1" w14:textId="77777777" w:rsidR="00C17BBD" w:rsidRPr="00251592" w:rsidRDefault="00C17BBD" w:rsidP="008A2055">
            <w:pPr>
              <w:widowControl/>
              <w:jc w:val="right"/>
              <w:rPr>
                <w:rFonts w:ascii="宋体" w:eastAsia="宋体" w:hAnsi="宋体" w:cs="Times New Roman"/>
                <w:sz w:val="18"/>
                <w:szCs w:val="18"/>
              </w:rPr>
            </w:pPr>
            <w:r w:rsidRPr="00251592">
              <w:rPr>
                <w:rFonts w:ascii="宋体" w:eastAsia="宋体" w:hAnsi="宋体" w:cs="Times New Roman"/>
                <w:sz w:val="18"/>
                <w:szCs w:val="18"/>
              </w:rPr>
              <w:t>-100.00%</w:t>
            </w:r>
          </w:p>
        </w:tc>
        <w:tc>
          <w:tcPr>
            <w:tcW w:w="1426" w:type="pct"/>
            <w:shd w:val="clear" w:color="auto" w:fill="auto"/>
            <w:vAlign w:val="center"/>
          </w:tcPr>
          <w:p w14:paraId="121B4995" w14:textId="77777777" w:rsidR="00C17BBD" w:rsidRPr="00251592" w:rsidRDefault="00C17BBD" w:rsidP="008A2055">
            <w:pPr>
              <w:widowControl/>
              <w:jc w:val="left"/>
              <w:rPr>
                <w:rFonts w:ascii="宋体" w:eastAsia="宋体" w:hAnsi="宋体" w:cs="Times New Roman"/>
                <w:sz w:val="18"/>
                <w:szCs w:val="18"/>
              </w:rPr>
            </w:pPr>
            <w:r w:rsidRPr="00251592">
              <w:rPr>
                <w:rFonts w:ascii="宋体" w:eastAsia="宋体" w:hAnsi="宋体" w:cs="Times New Roman"/>
                <w:sz w:val="18"/>
                <w:szCs w:val="18"/>
              </w:rPr>
              <w:t>上年度向都市霍普提供借款所致</w:t>
            </w:r>
          </w:p>
        </w:tc>
      </w:tr>
    </w:tbl>
    <w:p w14:paraId="7B7B5C06"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（三）</w:t>
      </w:r>
      <w:r w:rsidRPr="00251592">
        <w:rPr>
          <w:rFonts w:ascii="宋体" w:eastAsia="宋体" w:hAnsi="宋体"/>
          <w:sz w:val="21"/>
          <w:szCs w:val="21"/>
        </w:rPr>
        <w:t>如2020年1至9月经营业绩下滑的，请在风险因素中进一步量化分析和披露导致业绩下滑的相关影响因素及其变动情况，是否具有持续影响，是否影响持续经营能力，并作重大事项提示</w:t>
      </w:r>
    </w:p>
    <w:p w14:paraId="46864485" w14:textId="77777777" w:rsidR="00C17BBD" w:rsidRPr="00251592" w:rsidRDefault="00C17BBD" w:rsidP="00C17BBD">
      <w:pPr>
        <w:pStyle w:val="14"/>
        <w:ind w:firstLine="420"/>
        <w:rPr>
          <w:rFonts w:ascii="宋体" w:hAnsi="宋体"/>
          <w:sz w:val="21"/>
          <w:szCs w:val="21"/>
        </w:rPr>
      </w:pPr>
      <w:r w:rsidRPr="00251592">
        <w:rPr>
          <w:rFonts w:ascii="宋体" w:hAnsi="宋体"/>
          <w:sz w:val="21"/>
          <w:szCs w:val="21"/>
        </w:rPr>
        <w:t>2020年1</w:t>
      </w:r>
      <w:r w:rsidRPr="00251592">
        <w:rPr>
          <w:rFonts w:ascii="宋体" w:hAnsi="宋体" w:hint="eastAsia"/>
          <w:sz w:val="21"/>
          <w:szCs w:val="21"/>
        </w:rPr>
        <w:t>-</w:t>
      </w:r>
      <w:r w:rsidRPr="00251592">
        <w:rPr>
          <w:rFonts w:ascii="宋体" w:hAnsi="宋体"/>
          <w:sz w:val="21"/>
          <w:szCs w:val="21"/>
        </w:rPr>
        <w:t>9月</w:t>
      </w:r>
      <w:r w:rsidRPr="00251592">
        <w:rPr>
          <w:rFonts w:ascii="宋体" w:hAnsi="宋体" w:hint="eastAsia"/>
          <w:sz w:val="21"/>
          <w:szCs w:val="21"/>
        </w:rPr>
        <w:t>，发行人不存在</w:t>
      </w:r>
      <w:r w:rsidRPr="00251592">
        <w:rPr>
          <w:rFonts w:ascii="宋体" w:hAnsi="宋体"/>
          <w:sz w:val="21"/>
          <w:szCs w:val="21"/>
        </w:rPr>
        <w:t>经营业绩下滑的</w:t>
      </w:r>
      <w:r w:rsidRPr="00251592">
        <w:rPr>
          <w:rFonts w:ascii="宋体" w:hAnsi="宋体" w:hint="eastAsia"/>
          <w:sz w:val="21"/>
          <w:szCs w:val="21"/>
        </w:rPr>
        <w:t>情况。</w:t>
      </w:r>
    </w:p>
    <w:p w14:paraId="27FF835A" w14:textId="77777777" w:rsidR="00C17BBD" w:rsidRPr="00251592" w:rsidRDefault="00C17BBD" w:rsidP="00C17BBD">
      <w:pPr>
        <w:pStyle w:val="af9"/>
        <w:ind w:firstLine="422"/>
        <w:rPr>
          <w:rFonts w:ascii="宋体" w:eastAsia="宋体" w:hAnsi="宋体"/>
          <w:sz w:val="21"/>
          <w:szCs w:val="21"/>
        </w:rPr>
      </w:pPr>
      <w:r w:rsidRPr="00251592">
        <w:rPr>
          <w:rFonts w:ascii="宋体" w:eastAsia="宋体" w:hAnsi="宋体" w:hint="eastAsia"/>
          <w:sz w:val="21"/>
          <w:szCs w:val="21"/>
        </w:rPr>
        <w:t>（四）</w:t>
      </w:r>
      <w:r w:rsidRPr="00251592">
        <w:rPr>
          <w:rFonts w:ascii="宋体" w:eastAsia="宋体" w:hAnsi="宋体"/>
          <w:sz w:val="21"/>
          <w:szCs w:val="21"/>
        </w:rPr>
        <w:t>2020年全年业绩预计情况</w:t>
      </w:r>
    </w:p>
    <w:p w14:paraId="682D86C7"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lastRenderedPageBreak/>
        <w:t>预计2020年全年，公司营业收入为2.8亿元至3.3亿元，同比增幅5.01%至23.76%；净利润为6,800万元至8,000万元，同比增幅6.81%至25.66%;扣除非经常性损益后归属于母公司所有者的净利润为6,350万元至7,500万元，同比增幅3.75%至22.54%。经营情况良好，经营业绩稳步提升。</w:t>
      </w:r>
    </w:p>
    <w:p w14:paraId="35985D0E" w14:textId="77777777" w:rsidR="00C17BBD" w:rsidRPr="00251592" w:rsidRDefault="00C17BBD" w:rsidP="00C17BBD">
      <w:pPr>
        <w:pStyle w:val="14"/>
        <w:ind w:firstLine="420"/>
        <w:rPr>
          <w:rFonts w:ascii="宋体" w:hAnsi="宋体" w:cs="Times New Roman"/>
          <w:sz w:val="21"/>
          <w:szCs w:val="21"/>
        </w:rPr>
      </w:pPr>
      <w:r w:rsidRPr="00251592">
        <w:rPr>
          <w:rFonts w:ascii="宋体" w:hAnsi="宋体" w:cs="Times New Roman"/>
          <w:sz w:val="21"/>
          <w:szCs w:val="21"/>
        </w:rPr>
        <w:t>上述2020年全年业绩预计情况是公司财务部门初步估算的结果，未经会计师审计或审阅，且不构成公司的盈利预测或业绩承诺。</w:t>
      </w:r>
    </w:p>
    <w:p w14:paraId="3136B6FB" w14:textId="77777777" w:rsidR="00C17BBD" w:rsidRPr="00251592" w:rsidRDefault="00C17BBD" w:rsidP="00C17BBD">
      <w:pPr>
        <w:pStyle w:val="af8"/>
        <w:ind w:firstLine="422"/>
        <w:rPr>
          <w:sz w:val="21"/>
          <w:szCs w:val="21"/>
        </w:rPr>
      </w:pPr>
      <w:r w:rsidRPr="00251592">
        <w:rPr>
          <w:rFonts w:hint="eastAsia"/>
          <w:sz w:val="21"/>
          <w:szCs w:val="21"/>
        </w:rPr>
        <w:t>【中介机构核查意见】</w:t>
      </w:r>
    </w:p>
    <w:p w14:paraId="1B168D4F"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（一）核查过程</w:t>
      </w:r>
    </w:p>
    <w:p w14:paraId="4B37C62C" w14:textId="6EC13FF8"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eastAsia="zh-TW" w:bidi="en-US"/>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kern w:val="0"/>
          <w:szCs w:val="21"/>
          <w:lang w:val="zh-TW"/>
        </w:rPr>
        <w:t>执行了如下核查程序：</w:t>
      </w:r>
    </w:p>
    <w:p w14:paraId="35BA61D9"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Times New Roman"/>
          <w:color w:val="000000"/>
          <w:kern w:val="0"/>
          <w:szCs w:val="21"/>
          <w:u w:color="000000"/>
          <w:lang w:bidi="en-US"/>
        </w:rPr>
        <w:t>1</w:t>
      </w:r>
      <w:r w:rsidRPr="00251592">
        <w:rPr>
          <w:rFonts w:ascii="宋体" w:eastAsia="宋体" w:hAnsi="宋体" w:cs="宋体" w:hint="eastAsia"/>
          <w:color w:val="000000"/>
          <w:kern w:val="0"/>
          <w:szCs w:val="21"/>
          <w:u w:color="000000"/>
          <w:lang w:bidi="en-US"/>
        </w:rPr>
        <w:t>、获取申报会计师出具的</w:t>
      </w:r>
      <w:r w:rsidRPr="00251592">
        <w:rPr>
          <w:rFonts w:ascii="宋体" w:eastAsia="宋体" w:hAnsi="宋体" w:cs="宋体"/>
          <w:color w:val="000000"/>
          <w:kern w:val="0"/>
          <w:szCs w:val="21"/>
          <w:u w:color="000000"/>
          <w:lang w:bidi="en-US"/>
        </w:rPr>
        <w:t>2020年1-9月审阅报告，</w:t>
      </w:r>
      <w:r w:rsidRPr="00251592">
        <w:rPr>
          <w:rFonts w:ascii="宋体" w:eastAsia="宋体" w:hAnsi="宋体" w:cs="宋体" w:hint="eastAsia"/>
          <w:color w:val="000000"/>
          <w:kern w:val="0"/>
          <w:szCs w:val="21"/>
          <w:u w:color="000000"/>
          <w:lang w:bidi="en-US"/>
        </w:rPr>
        <w:t>对审计截止日后的主要经营状况以及</w:t>
      </w:r>
      <w:r w:rsidRPr="00251592">
        <w:rPr>
          <w:rFonts w:ascii="宋体" w:eastAsia="宋体" w:hAnsi="宋体" w:cs="宋体"/>
          <w:color w:val="000000"/>
          <w:kern w:val="0"/>
          <w:szCs w:val="21"/>
          <w:u w:color="000000"/>
          <w:lang w:bidi="en-US"/>
        </w:rPr>
        <w:t>2020年1至9月的业绩情况</w:t>
      </w:r>
      <w:r w:rsidRPr="00251592">
        <w:rPr>
          <w:rFonts w:ascii="宋体" w:eastAsia="宋体" w:hAnsi="宋体" w:cs="宋体" w:hint="eastAsia"/>
          <w:color w:val="000000"/>
          <w:kern w:val="0"/>
          <w:szCs w:val="21"/>
          <w:u w:color="000000"/>
          <w:lang w:bidi="en-US"/>
        </w:rPr>
        <w:t>进行分析，对</w:t>
      </w:r>
      <w:r w:rsidRPr="00251592">
        <w:rPr>
          <w:rFonts w:ascii="宋体" w:eastAsia="宋体" w:hAnsi="宋体" w:cs="宋体"/>
          <w:color w:val="000000"/>
          <w:kern w:val="0"/>
          <w:szCs w:val="21"/>
          <w:u w:color="000000"/>
          <w:lang w:bidi="en-US"/>
        </w:rPr>
        <w:t>2020年1至9月主要会计报表项目与上年年末或同期相比的变动情况</w:t>
      </w:r>
      <w:r w:rsidRPr="00251592">
        <w:rPr>
          <w:rFonts w:ascii="宋体" w:eastAsia="宋体" w:hAnsi="宋体" w:cs="宋体" w:hint="eastAsia"/>
          <w:color w:val="000000"/>
          <w:kern w:val="0"/>
          <w:szCs w:val="21"/>
          <w:u w:color="000000"/>
          <w:lang w:bidi="en-US"/>
        </w:rPr>
        <w:t>进行分析；</w:t>
      </w:r>
    </w:p>
    <w:p w14:paraId="4A488FD5" w14:textId="77777777" w:rsidR="00C17BBD" w:rsidRPr="00251592" w:rsidRDefault="00C17BBD" w:rsidP="00C17BBD">
      <w:pPr>
        <w:spacing w:beforeLines="50" w:before="156" w:afterLines="50" w:after="156" w:line="360" w:lineRule="auto"/>
        <w:ind w:firstLineChars="200" w:firstLine="420"/>
        <w:rPr>
          <w:rFonts w:ascii="宋体" w:eastAsia="宋体" w:hAnsi="宋体" w:cs="宋体"/>
          <w:color w:val="000000"/>
          <w:kern w:val="0"/>
          <w:szCs w:val="21"/>
          <w:u w:color="000000"/>
          <w:lang w:bidi="en-US"/>
        </w:rPr>
      </w:pPr>
      <w:r w:rsidRPr="00251592">
        <w:rPr>
          <w:rFonts w:ascii="宋体" w:eastAsia="宋体" w:hAnsi="宋体" w:cs="宋体" w:hint="eastAsia"/>
          <w:color w:val="000000"/>
          <w:kern w:val="0"/>
          <w:szCs w:val="21"/>
          <w:u w:color="000000"/>
          <w:lang w:bidi="en-US"/>
        </w:rPr>
        <w:t>2、获取发行人</w:t>
      </w:r>
      <w:r w:rsidRPr="00251592">
        <w:rPr>
          <w:rFonts w:ascii="宋体" w:eastAsia="宋体" w:hAnsi="宋体" w:cs="宋体"/>
          <w:color w:val="000000"/>
          <w:kern w:val="0"/>
          <w:szCs w:val="21"/>
          <w:u w:color="000000"/>
          <w:lang w:bidi="en-US"/>
        </w:rPr>
        <w:t>2020年度与业绩预计相关的财务或业务资料，了解全年业绩</w:t>
      </w:r>
      <w:r w:rsidRPr="00251592">
        <w:rPr>
          <w:rFonts w:ascii="宋体" w:eastAsia="宋体" w:hAnsi="宋体" w:cs="宋体" w:hint="eastAsia"/>
          <w:color w:val="000000"/>
          <w:kern w:val="0"/>
          <w:szCs w:val="21"/>
          <w:u w:color="000000"/>
          <w:lang w:bidi="en-US"/>
        </w:rPr>
        <w:t>情况，并对发行人</w:t>
      </w:r>
      <w:r w:rsidRPr="00251592">
        <w:rPr>
          <w:rFonts w:ascii="宋体" w:eastAsia="宋体" w:hAnsi="宋体" w:cs="宋体"/>
          <w:color w:val="000000"/>
          <w:kern w:val="0"/>
          <w:szCs w:val="21"/>
          <w:u w:color="000000"/>
          <w:lang w:bidi="en-US"/>
        </w:rPr>
        <w:t>2020年度业绩和2019年度</w:t>
      </w:r>
      <w:r w:rsidRPr="00251592">
        <w:rPr>
          <w:rFonts w:ascii="宋体" w:eastAsia="宋体" w:hAnsi="宋体" w:cs="宋体" w:hint="eastAsia"/>
          <w:color w:val="000000"/>
          <w:kern w:val="0"/>
          <w:szCs w:val="21"/>
          <w:u w:color="000000"/>
          <w:lang w:bidi="en-US"/>
        </w:rPr>
        <w:t>业绩</w:t>
      </w:r>
      <w:r w:rsidRPr="00251592">
        <w:rPr>
          <w:rFonts w:ascii="宋体" w:eastAsia="宋体" w:hAnsi="宋体" w:cs="宋体"/>
          <w:color w:val="000000"/>
          <w:kern w:val="0"/>
          <w:szCs w:val="21"/>
          <w:u w:color="000000"/>
          <w:lang w:bidi="en-US"/>
        </w:rPr>
        <w:t>进行对比分析。</w:t>
      </w:r>
    </w:p>
    <w:p w14:paraId="5CC2BB97" w14:textId="77777777" w:rsidR="00C17BBD" w:rsidRPr="00251592" w:rsidRDefault="00C17BBD" w:rsidP="00C17BBD">
      <w:pPr>
        <w:spacing w:beforeLines="50" w:before="156" w:afterLines="50" w:after="156" w:line="360" w:lineRule="auto"/>
        <w:ind w:firstLineChars="200" w:firstLine="422"/>
        <w:jc w:val="left"/>
        <w:outlineLvl w:val="2"/>
        <w:rPr>
          <w:rFonts w:ascii="宋体" w:eastAsia="宋体" w:hAnsi="宋体" w:cs="Times New Roman"/>
          <w:b/>
          <w:bCs/>
          <w:color w:val="000000"/>
          <w:kern w:val="0"/>
          <w:szCs w:val="21"/>
          <w:lang w:bidi="en-US"/>
        </w:rPr>
      </w:pPr>
      <w:r w:rsidRPr="00251592">
        <w:rPr>
          <w:rFonts w:ascii="宋体" w:eastAsia="宋体" w:hAnsi="宋体" w:cs="Times New Roman"/>
          <w:b/>
          <w:bCs/>
          <w:color w:val="000000"/>
          <w:kern w:val="0"/>
          <w:szCs w:val="21"/>
          <w:lang w:bidi="en-US"/>
        </w:rPr>
        <w:t>（</w:t>
      </w:r>
      <w:r w:rsidRPr="00251592">
        <w:rPr>
          <w:rFonts w:ascii="宋体" w:eastAsia="宋体" w:hAnsi="宋体" w:cs="Times New Roman" w:hint="eastAsia"/>
          <w:b/>
          <w:bCs/>
          <w:color w:val="000000"/>
          <w:kern w:val="0"/>
          <w:szCs w:val="21"/>
          <w:lang w:bidi="en-US"/>
        </w:rPr>
        <w:t>二</w:t>
      </w:r>
      <w:r w:rsidRPr="00251592">
        <w:rPr>
          <w:rFonts w:ascii="宋体" w:eastAsia="宋体" w:hAnsi="宋体" w:cs="Times New Roman"/>
          <w:b/>
          <w:bCs/>
          <w:color w:val="000000"/>
          <w:kern w:val="0"/>
          <w:szCs w:val="21"/>
          <w:lang w:bidi="en-US"/>
        </w:rPr>
        <w:t>）核查</w:t>
      </w:r>
      <w:r w:rsidRPr="00251592">
        <w:rPr>
          <w:rFonts w:ascii="宋体" w:eastAsia="宋体" w:hAnsi="宋体" w:cs="Times New Roman" w:hint="eastAsia"/>
          <w:b/>
          <w:bCs/>
          <w:color w:val="000000"/>
          <w:kern w:val="0"/>
          <w:szCs w:val="21"/>
          <w:lang w:bidi="en-US"/>
        </w:rPr>
        <w:t>意见</w:t>
      </w:r>
    </w:p>
    <w:p w14:paraId="35A36832" w14:textId="06BFFFD0"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kern w:val="0"/>
          <w:szCs w:val="21"/>
          <w:lang w:val="zh-TW"/>
        </w:rPr>
        <w:t>申报会计师</w:t>
      </w:r>
      <w:r w:rsidRPr="00251592">
        <w:rPr>
          <w:rFonts w:ascii="宋体" w:eastAsia="宋体" w:hAnsi="宋体" w:cs="Times New Roman" w:hint="eastAsia"/>
          <w:szCs w:val="21"/>
        </w:rPr>
        <w:t>核查意见如下</w:t>
      </w:r>
      <w:r w:rsidRPr="00251592">
        <w:rPr>
          <w:rFonts w:ascii="宋体" w:eastAsia="宋体" w:hAnsi="宋体" w:cs="Times New Roman"/>
          <w:szCs w:val="21"/>
        </w:rPr>
        <w:t>：</w:t>
      </w:r>
    </w:p>
    <w:p w14:paraId="58E125EC" w14:textId="77777777" w:rsidR="00C17BBD"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hint="eastAsia"/>
          <w:szCs w:val="21"/>
        </w:rPr>
        <w:t>1、发行人财务报告审计截止日后的经营情况良好，未出现对生产经营能力产生重大不利影响的事项，发行人持续经营能力未发生重大不利变化;</w:t>
      </w:r>
    </w:p>
    <w:p w14:paraId="3F0E2430" w14:textId="5078ADD1" w:rsidR="00921700" w:rsidRPr="00251592" w:rsidRDefault="00C17BBD" w:rsidP="00C17BBD">
      <w:pPr>
        <w:spacing w:beforeLines="50" w:before="156" w:afterLines="50" w:after="156" w:line="360" w:lineRule="auto"/>
        <w:ind w:firstLineChars="200" w:firstLine="420"/>
        <w:rPr>
          <w:rFonts w:ascii="宋体" w:eastAsia="宋体" w:hAnsi="宋体" w:cs="Times New Roman"/>
          <w:szCs w:val="21"/>
        </w:rPr>
      </w:pPr>
      <w:r w:rsidRPr="00251592">
        <w:rPr>
          <w:rFonts w:ascii="宋体" w:eastAsia="宋体" w:hAnsi="宋体" w:cs="Times New Roman"/>
          <w:szCs w:val="21"/>
        </w:rPr>
        <w:t>2</w:t>
      </w:r>
      <w:r w:rsidRPr="00251592">
        <w:rPr>
          <w:rFonts w:ascii="宋体" w:eastAsia="宋体" w:hAnsi="宋体" w:cs="Times New Roman" w:hint="eastAsia"/>
          <w:szCs w:val="21"/>
        </w:rPr>
        <w:t>、发行人已披露了</w:t>
      </w:r>
      <w:r w:rsidRPr="00251592">
        <w:rPr>
          <w:rFonts w:ascii="宋体" w:eastAsia="宋体" w:hAnsi="宋体" w:cs="Times New Roman"/>
          <w:szCs w:val="21"/>
        </w:rPr>
        <w:t>2020年1至9月主要会计报表项目与上年年末或同期相比的变动情况</w:t>
      </w:r>
      <w:r w:rsidRPr="00251592">
        <w:rPr>
          <w:rFonts w:ascii="宋体" w:eastAsia="宋体" w:hAnsi="宋体" w:cs="Times New Roman" w:hint="eastAsia"/>
          <w:szCs w:val="21"/>
        </w:rPr>
        <w:t>，以及2020年全年业绩预计情况，相关表述真实、准确</w:t>
      </w:r>
      <w:r w:rsidR="007767AE" w:rsidRPr="00251592">
        <w:rPr>
          <w:rFonts w:ascii="宋体" w:eastAsia="宋体" w:hAnsi="宋体" w:cs="Times New Roman" w:hint="eastAsia"/>
          <w:szCs w:val="21"/>
        </w:rPr>
        <w:t>。</w:t>
      </w:r>
    </w:p>
    <w:p w14:paraId="0BAD5CAB" w14:textId="14C8BFF9" w:rsidR="009701EA" w:rsidRPr="00251592" w:rsidRDefault="009701EA" w:rsidP="00906760">
      <w:pPr>
        <w:spacing w:beforeLines="50" w:before="156" w:afterLines="50" w:after="156" w:line="360" w:lineRule="auto"/>
        <w:ind w:firstLineChars="200" w:firstLine="420"/>
        <w:rPr>
          <w:rFonts w:ascii="宋体" w:eastAsia="宋体" w:hAnsi="宋体" w:cs="Times New Roman"/>
          <w:szCs w:val="21"/>
        </w:rPr>
      </w:pPr>
    </w:p>
    <w:p w14:paraId="7479819B" w14:textId="67E4F29F" w:rsidR="009701EA" w:rsidRPr="00251592" w:rsidRDefault="009701EA" w:rsidP="00906760">
      <w:pPr>
        <w:spacing w:beforeLines="50" w:before="156" w:afterLines="50" w:after="156" w:line="360" w:lineRule="auto"/>
        <w:ind w:firstLineChars="200" w:firstLine="420"/>
        <w:rPr>
          <w:rFonts w:ascii="Times New Roman" w:eastAsiaTheme="majorEastAsia" w:hAnsi="Times New Roman" w:cs="Times New Roman"/>
          <w:szCs w:val="21"/>
        </w:rPr>
      </w:pPr>
      <w:r w:rsidRPr="00251592">
        <w:rPr>
          <w:rFonts w:ascii="宋体" w:eastAsia="宋体" w:hAnsi="宋体" w:cs="Times New Roman" w:hint="eastAsia"/>
          <w:szCs w:val="21"/>
        </w:rPr>
        <w:t>（以下无正文）</w:t>
      </w:r>
    </w:p>
    <w:p w14:paraId="1C8F134A" w14:textId="77777777" w:rsidR="00921700" w:rsidRPr="00251592" w:rsidRDefault="00921700" w:rsidP="00BC4582">
      <w:pPr>
        <w:spacing w:line="400" w:lineRule="atLeast"/>
        <w:ind w:firstLineChars="200" w:firstLine="420"/>
        <w:rPr>
          <w:rFonts w:ascii="Times New Roman" w:eastAsiaTheme="majorEastAsia" w:hAnsi="Times New Roman" w:cs="Times New Roman"/>
          <w:szCs w:val="21"/>
        </w:rPr>
        <w:sectPr w:rsidR="00921700" w:rsidRPr="00251592" w:rsidSect="009701EA">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p>
    <w:p w14:paraId="37E3CD28" w14:textId="15E70B9E" w:rsidR="00921700" w:rsidRPr="00251592" w:rsidRDefault="008C6911" w:rsidP="00BC4582">
      <w:pPr>
        <w:spacing w:line="400" w:lineRule="atLeast"/>
        <w:ind w:firstLineChars="200" w:firstLine="480"/>
        <w:rPr>
          <w:rFonts w:ascii="Times New Roman" w:hAnsi="Times New Roman" w:cs="Times New Roman"/>
          <w:sz w:val="24"/>
          <w:szCs w:val="24"/>
        </w:rPr>
      </w:pPr>
      <w:r>
        <w:rPr>
          <w:rFonts w:ascii="Times New Roman" w:eastAsia="宋体" w:hAnsi="Times New Roman" w:cs="Times New Roman"/>
          <w:noProof/>
          <w:sz w:val="24"/>
          <w:szCs w:val="24"/>
        </w:rPr>
        <w:lastRenderedPageBreak/>
        <w:drawing>
          <wp:anchor distT="0" distB="0" distL="114300" distR="114300" simplePos="0" relativeHeight="251658240" behindDoc="0" locked="0" layoutInCell="1" allowOverlap="1" wp14:anchorId="15BD64F5" wp14:editId="164806A1">
            <wp:simplePos x="0" y="0"/>
            <wp:positionH relativeFrom="column">
              <wp:posOffset>-1158240</wp:posOffset>
            </wp:positionH>
            <wp:positionV relativeFrom="paragraph">
              <wp:posOffset>204470</wp:posOffset>
            </wp:positionV>
            <wp:extent cx="7564755" cy="7757160"/>
            <wp:effectExtent l="0" t="0" r="0" b="0"/>
            <wp:wrapNone/>
            <wp:docPr id="1" name="图片 1" descr="C:\Users\86173\Desktop\00年报更新申报文件2020年\000反馈\会计师反馈\会计师反馈签章页\会计师关于第二轮审核问询函的回复意见（2020年年报数据更新）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173\Desktop\00年报更新申报文件2020年\000反馈\会计师反馈\会计师反馈签章页\会计师关于第二轮审核问询函的回复意见（2020年年报数据更新）_页面_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254" b="16239"/>
                    <a:stretch/>
                  </pic:blipFill>
                  <pic:spPr bwMode="auto">
                    <a:xfrm>
                      <a:off x="0" y="0"/>
                      <a:ext cx="7564755" cy="775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42581D" w14:textId="77777777" w:rsidR="00921700" w:rsidRPr="00251592" w:rsidRDefault="00921700" w:rsidP="00BC4582">
      <w:pPr>
        <w:spacing w:line="400" w:lineRule="atLeast"/>
        <w:ind w:firstLineChars="200" w:firstLine="480"/>
        <w:rPr>
          <w:rFonts w:ascii="Times New Roman" w:hAnsi="Times New Roman" w:cs="Times New Roman"/>
          <w:sz w:val="24"/>
          <w:szCs w:val="24"/>
        </w:rPr>
      </w:pPr>
    </w:p>
    <w:p w14:paraId="413B2F8B" w14:textId="77777777" w:rsidR="00921700" w:rsidRPr="00251592" w:rsidRDefault="00921700" w:rsidP="00BC4582">
      <w:pPr>
        <w:spacing w:line="400" w:lineRule="atLeast"/>
        <w:ind w:firstLineChars="200" w:firstLine="480"/>
        <w:rPr>
          <w:rFonts w:ascii="Times New Roman" w:hAnsi="Times New Roman" w:cs="Times New Roman"/>
          <w:sz w:val="24"/>
          <w:szCs w:val="24"/>
        </w:rPr>
      </w:pPr>
    </w:p>
    <w:p w14:paraId="169BCDA0" w14:textId="77777777" w:rsidR="00921700" w:rsidRPr="00251592" w:rsidRDefault="00921700" w:rsidP="00BC4582">
      <w:pPr>
        <w:spacing w:line="400" w:lineRule="atLeast"/>
        <w:ind w:firstLineChars="200" w:firstLine="480"/>
        <w:rPr>
          <w:rFonts w:ascii="Times New Roman" w:eastAsia="宋体" w:hAnsi="Times New Roman" w:cs="Times New Roman"/>
          <w:sz w:val="24"/>
          <w:szCs w:val="24"/>
        </w:rPr>
      </w:pPr>
      <w:r w:rsidRPr="00251592">
        <w:rPr>
          <w:rFonts w:ascii="Times New Roman" w:eastAsia="宋体" w:hAnsi="Times New Roman" w:cs="Times New Roman"/>
          <w:sz w:val="24"/>
          <w:szCs w:val="24"/>
        </w:rPr>
        <w:t>（本页无正文）</w:t>
      </w:r>
    </w:p>
    <w:p w14:paraId="722C3CB4" w14:textId="0F2EEA81" w:rsidR="00921700" w:rsidRPr="00251592" w:rsidRDefault="00921700" w:rsidP="008C6911">
      <w:pPr>
        <w:spacing w:line="400" w:lineRule="atLeast"/>
        <w:ind w:firstLineChars="1700" w:firstLine="4080"/>
        <w:jc w:val="right"/>
        <w:rPr>
          <w:rFonts w:ascii="Times New Roman" w:eastAsia="宋体" w:hAnsi="Times New Roman" w:cs="Times New Roman"/>
          <w:sz w:val="24"/>
          <w:szCs w:val="24"/>
        </w:rPr>
      </w:pPr>
    </w:p>
    <w:p w14:paraId="2621AD78" w14:textId="77777777" w:rsidR="00921700" w:rsidRPr="00251592" w:rsidRDefault="00921700" w:rsidP="00BC4582">
      <w:pPr>
        <w:spacing w:line="400" w:lineRule="atLeast"/>
        <w:ind w:firstLineChars="1700" w:firstLine="4080"/>
        <w:jc w:val="right"/>
        <w:rPr>
          <w:rFonts w:ascii="Times New Roman" w:eastAsia="宋体" w:hAnsi="Times New Roman" w:cs="Times New Roman"/>
          <w:sz w:val="24"/>
          <w:szCs w:val="24"/>
        </w:rPr>
      </w:pPr>
    </w:p>
    <w:p w14:paraId="7508939B" w14:textId="77777777" w:rsidR="00921700" w:rsidRPr="00251592" w:rsidRDefault="00921700" w:rsidP="00BC4582">
      <w:pPr>
        <w:spacing w:line="400" w:lineRule="atLeast"/>
        <w:ind w:firstLineChars="1700" w:firstLine="4080"/>
        <w:jc w:val="right"/>
        <w:rPr>
          <w:rFonts w:ascii="Times New Roman" w:eastAsia="宋体" w:hAnsi="Times New Roman" w:cs="Times New Roman"/>
          <w:sz w:val="24"/>
          <w:szCs w:val="24"/>
        </w:rPr>
      </w:pPr>
    </w:p>
    <w:p w14:paraId="6513984B" w14:textId="77777777" w:rsidR="00921700" w:rsidRPr="00251592" w:rsidRDefault="00921700" w:rsidP="00BC4582">
      <w:pPr>
        <w:spacing w:line="400" w:lineRule="atLeast"/>
        <w:ind w:firstLineChars="1700" w:firstLine="4080"/>
        <w:jc w:val="right"/>
        <w:rPr>
          <w:rFonts w:ascii="Times New Roman" w:eastAsia="宋体" w:hAnsi="Times New Roman" w:cs="Times New Roman"/>
          <w:sz w:val="24"/>
          <w:szCs w:val="24"/>
        </w:rPr>
      </w:pPr>
    </w:p>
    <w:p w14:paraId="3BC6602B" w14:textId="77777777" w:rsidR="00921700" w:rsidRPr="00251592" w:rsidRDefault="00921700" w:rsidP="00BC4582">
      <w:pPr>
        <w:spacing w:line="400" w:lineRule="atLeast"/>
        <w:ind w:firstLineChars="1800" w:firstLine="4320"/>
        <w:rPr>
          <w:rFonts w:ascii="Times New Roman" w:eastAsia="宋体" w:hAnsi="Times New Roman" w:cs="Times New Roman"/>
          <w:sz w:val="24"/>
          <w:szCs w:val="24"/>
        </w:rPr>
      </w:pPr>
      <w:r w:rsidRPr="00251592">
        <w:rPr>
          <w:rFonts w:ascii="Times New Roman" w:eastAsia="宋体" w:hAnsi="Times New Roman" w:cs="Times New Roman"/>
          <w:sz w:val="24"/>
          <w:szCs w:val="24"/>
        </w:rPr>
        <w:t>立信会计师事务所（特殊普通合伙）</w:t>
      </w:r>
    </w:p>
    <w:p w14:paraId="4464332E"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530C3238"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15EF6543"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1C0C89CB"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280EEB0B" w14:textId="77777777" w:rsidR="00921700" w:rsidRPr="00251592" w:rsidRDefault="00921700" w:rsidP="00BC4582">
      <w:pPr>
        <w:spacing w:line="400" w:lineRule="atLeast"/>
        <w:ind w:firstLineChars="1800" w:firstLine="4320"/>
        <w:rPr>
          <w:rFonts w:ascii="Times New Roman" w:eastAsia="宋体" w:hAnsi="Times New Roman" w:cs="Times New Roman"/>
          <w:sz w:val="24"/>
          <w:szCs w:val="24"/>
        </w:rPr>
      </w:pPr>
      <w:r w:rsidRPr="00251592">
        <w:rPr>
          <w:rFonts w:ascii="Times New Roman" w:eastAsia="宋体" w:hAnsi="Times New Roman" w:cs="Times New Roman"/>
          <w:sz w:val="24"/>
          <w:szCs w:val="24"/>
        </w:rPr>
        <w:t>中国注册会计师：</w:t>
      </w:r>
    </w:p>
    <w:p w14:paraId="5F5BC49C"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5E9276AD"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33DFBB2B"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291C1ED0"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36D6E243" w14:textId="77777777" w:rsidR="00921700" w:rsidRPr="00251592" w:rsidRDefault="00921700" w:rsidP="00BC4582">
      <w:pPr>
        <w:spacing w:line="400" w:lineRule="atLeast"/>
        <w:ind w:firstLineChars="1800" w:firstLine="4320"/>
        <w:rPr>
          <w:rFonts w:ascii="Times New Roman" w:eastAsia="宋体" w:hAnsi="Times New Roman" w:cs="Times New Roman"/>
          <w:sz w:val="24"/>
          <w:szCs w:val="24"/>
        </w:rPr>
      </w:pPr>
      <w:r w:rsidRPr="00251592">
        <w:rPr>
          <w:rFonts w:ascii="Times New Roman" w:eastAsia="宋体" w:hAnsi="Times New Roman" w:cs="Times New Roman"/>
          <w:sz w:val="24"/>
          <w:szCs w:val="24"/>
        </w:rPr>
        <w:t>中国注册会计师：</w:t>
      </w:r>
    </w:p>
    <w:p w14:paraId="6CB2EFDD"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27A8F516"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17CF13F4"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7E3D2BA3" w14:textId="77777777" w:rsidR="00921700" w:rsidRPr="00251592" w:rsidRDefault="00921700" w:rsidP="00BC4582">
      <w:pPr>
        <w:spacing w:line="400" w:lineRule="atLeast"/>
        <w:ind w:leftChars="2092" w:left="4393"/>
        <w:rPr>
          <w:rFonts w:ascii="Times New Roman" w:eastAsia="宋体" w:hAnsi="Times New Roman" w:cs="Times New Roman"/>
          <w:sz w:val="24"/>
          <w:szCs w:val="24"/>
        </w:rPr>
      </w:pPr>
    </w:p>
    <w:p w14:paraId="0BC00EAB" w14:textId="0B9DE98F" w:rsidR="00921700" w:rsidRPr="005A7226" w:rsidRDefault="00921700" w:rsidP="00BC4582">
      <w:pPr>
        <w:spacing w:line="400" w:lineRule="atLeast"/>
        <w:ind w:firstLineChars="1800" w:firstLine="4320"/>
        <w:rPr>
          <w:rFonts w:ascii="Times New Roman" w:eastAsia="宋体" w:hAnsi="Times New Roman" w:cs="Times New Roman"/>
          <w:sz w:val="24"/>
          <w:szCs w:val="24"/>
        </w:rPr>
      </w:pPr>
      <w:r w:rsidRPr="00251592">
        <w:rPr>
          <w:rFonts w:ascii="Times New Roman" w:eastAsia="宋体" w:hAnsi="Times New Roman" w:cs="Times New Roman"/>
          <w:sz w:val="24"/>
          <w:szCs w:val="24"/>
        </w:rPr>
        <w:t>202</w:t>
      </w:r>
      <w:r w:rsidR="00C17BBD" w:rsidRPr="00251592">
        <w:rPr>
          <w:rFonts w:ascii="Times New Roman" w:eastAsia="宋体" w:hAnsi="Times New Roman" w:cs="Times New Roman"/>
          <w:sz w:val="24"/>
          <w:szCs w:val="24"/>
        </w:rPr>
        <w:t>1</w:t>
      </w:r>
      <w:r w:rsidRPr="00251592">
        <w:rPr>
          <w:rFonts w:ascii="Times New Roman" w:eastAsia="宋体" w:hAnsi="Times New Roman" w:cs="Times New Roman"/>
          <w:sz w:val="24"/>
          <w:szCs w:val="24"/>
        </w:rPr>
        <w:t>年</w:t>
      </w:r>
      <w:r w:rsidR="00C17BBD" w:rsidRPr="00251592">
        <w:rPr>
          <w:rFonts w:ascii="Times New Roman" w:eastAsia="宋体" w:hAnsi="Times New Roman" w:cs="Times New Roman"/>
          <w:sz w:val="24"/>
          <w:szCs w:val="24"/>
        </w:rPr>
        <w:t>3</w:t>
      </w:r>
      <w:r w:rsidRPr="00251592">
        <w:rPr>
          <w:rFonts w:ascii="Times New Roman" w:eastAsia="宋体" w:hAnsi="Times New Roman" w:cs="Times New Roman"/>
          <w:sz w:val="24"/>
          <w:szCs w:val="24"/>
        </w:rPr>
        <w:t>月</w:t>
      </w:r>
      <w:r w:rsidRPr="00251592">
        <w:rPr>
          <w:rFonts w:ascii="Times New Roman" w:eastAsia="宋体" w:hAnsi="Times New Roman" w:cs="Times New Roman"/>
          <w:sz w:val="24"/>
          <w:szCs w:val="24"/>
        </w:rPr>
        <w:t xml:space="preserve">  </w:t>
      </w:r>
      <w:r w:rsidRPr="00251592">
        <w:rPr>
          <w:rFonts w:ascii="Times New Roman" w:eastAsia="宋体" w:hAnsi="Times New Roman" w:cs="Times New Roman"/>
          <w:sz w:val="24"/>
          <w:szCs w:val="24"/>
        </w:rPr>
        <w:t>日</w:t>
      </w:r>
    </w:p>
    <w:p w14:paraId="1FC432A0" w14:textId="5F797077" w:rsidR="00202578" w:rsidRDefault="00202578" w:rsidP="00BC4582">
      <w:pPr>
        <w:spacing w:line="400" w:lineRule="atLeast"/>
      </w:pPr>
    </w:p>
    <w:sectPr w:rsidR="00202578" w:rsidSect="00921700">
      <w:footerReference w:type="default" r:id="rId14"/>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42692" w14:textId="77777777" w:rsidR="0021412F" w:rsidRDefault="0021412F" w:rsidP="00AD33FA">
      <w:r>
        <w:separator/>
      </w:r>
    </w:p>
  </w:endnote>
  <w:endnote w:type="continuationSeparator" w:id="0">
    <w:p w14:paraId="5E98F051" w14:textId="77777777" w:rsidR="0021412F" w:rsidRDefault="0021412F" w:rsidP="00AD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汉仪楷体KW"/>
    <w:charset w:val="86"/>
    <w:family w:val="modern"/>
    <w:pitch w:val="fixed"/>
    <w:sig w:usb0="800002BF" w:usb1="38CF7CFA" w:usb2="00000016" w:usb3="00000000" w:csb0="00040001" w:csb1="00000000"/>
  </w:font>
  <w:font w:name="Times New Roman (正文 CS 字体)">
    <w:altName w:val="宋体"/>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11010" w14:textId="77E31CD1" w:rsidR="008A2055" w:rsidRPr="008C6911" w:rsidRDefault="008C6911" w:rsidP="008C6911">
    <w:pPr>
      <w:pStyle w:val="a9"/>
      <w:jc w:val="center"/>
      <w:rPr>
        <w:rFonts w:ascii="Times New Roman" w:eastAsia="宋体" w:hAnsi="Times New Roman" w:cs="Times New Roman"/>
        <w:sz w:val="20"/>
        <w:szCs w:val="20"/>
      </w:rPr>
    </w:pPr>
    <w:r w:rsidRPr="008C6911">
      <w:rPr>
        <w:rFonts w:ascii="Times New Roman" w:eastAsia="宋体" w:hAnsi="Times New Roman" w:cs="Times New Roman"/>
        <w:sz w:val="20"/>
        <w:szCs w:val="20"/>
      </w:rPr>
      <w:t>2-</w:t>
    </w:r>
    <w:r w:rsidRPr="008C6911">
      <w:rPr>
        <w:rStyle w:val="afc"/>
        <w:rFonts w:ascii="Times New Roman" w:hAnsi="Times New Roman" w:cs="Times New Roman"/>
        <w:sz w:val="20"/>
        <w:szCs w:val="20"/>
      </w:rPr>
      <w:fldChar w:fldCharType="begin"/>
    </w:r>
    <w:r w:rsidRPr="008C6911">
      <w:rPr>
        <w:rStyle w:val="afc"/>
        <w:rFonts w:ascii="Times New Roman" w:hAnsi="Times New Roman" w:cs="Times New Roman"/>
        <w:sz w:val="20"/>
        <w:szCs w:val="20"/>
      </w:rPr>
      <w:instrText xml:space="preserve"> PAGE </w:instrText>
    </w:r>
    <w:r w:rsidRPr="008C6911">
      <w:rPr>
        <w:rStyle w:val="afc"/>
        <w:rFonts w:ascii="Times New Roman" w:hAnsi="Times New Roman" w:cs="Times New Roman"/>
        <w:sz w:val="20"/>
        <w:szCs w:val="20"/>
      </w:rPr>
      <w:fldChar w:fldCharType="separate"/>
    </w:r>
    <w:r w:rsidR="000770A0">
      <w:rPr>
        <w:rStyle w:val="afc"/>
        <w:rFonts w:ascii="Times New Roman" w:hAnsi="Times New Roman" w:cs="Times New Roman"/>
        <w:noProof/>
        <w:sz w:val="20"/>
        <w:szCs w:val="20"/>
      </w:rPr>
      <w:t>2</w:t>
    </w:r>
    <w:r w:rsidRPr="008C6911">
      <w:rPr>
        <w:rStyle w:val="afc"/>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D089E" w14:textId="77777777" w:rsidR="000770A0" w:rsidRPr="008C6911" w:rsidRDefault="000770A0" w:rsidP="000770A0">
    <w:pPr>
      <w:pStyle w:val="a9"/>
      <w:jc w:val="center"/>
      <w:rPr>
        <w:rFonts w:ascii="Times New Roman" w:eastAsia="宋体" w:hAnsi="Times New Roman" w:cs="Times New Roman"/>
        <w:sz w:val="20"/>
        <w:szCs w:val="20"/>
      </w:rPr>
    </w:pPr>
    <w:r w:rsidRPr="008C6911">
      <w:rPr>
        <w:rFonts w:ascii="Times New Roman" w:eastAsia="宋体" w:hAnsi="Times New Roman" w:cs="Times New Roman"/>
        <w:sz w:val="20"/>
        <w:szCs w:val="20"/>
      </w:rPr>
      <w:t>2-</w:t>
    </w:r>
    <w:r w:rsidRPr="008C6911">
      <w:rPr>
        <w:rStyle w:val="afc"/>
        <w:rFonts w:ascii="Times New Roman" w:hAnsi="Times New Roman" w:cs="Times New Roman"/>
        <w:sz w:val="20"/>
        <w:szCs w:val="20"/>
      </w:rPr>
      <w:fldChar w:fldCharType="begin"/>
    </w:r>
    <w:r w:rsidRPr="008C6911">
      <w:rPr>
        <w:rStyle w:val="afc"/>
        <w:rFonts w:ascii="Times New Roman" w:hAnsi="Times New Roman" w:cs="Times New Roman"/>
        <w:sz w:val="20"/>
        <w:szCs w:val="20"/>
      </w:rPr>
      <w:instrText xml:space="preserve"> PAGE </w:instrText>
    </w:r>
    <w:r w:rsidRPr="008C6911">
      <w:rPr>
        <w:rStyle w:val="afc"/>
        <w:rFonts w:ascii="Times New Roman" w:hAnsi="Times New Roman" w:cs="Times New Roman"/>
        <w:sz w:val="20"/>
        <w:szCs w:val="20"/>
      </w:rPr>
      <w:fldChar w:fldCharType="separate"/>
    </w:r>
    <w:r>
      <w:rPr>
        <w:rStyle w:val="afc"/>
        <w:rFonts w:ascii="Times New Roman" w:hAnsi="Times New Roman" w:cs="Times New Roman"/>
        <w:noProof/>
        <w:sz w:val="20"/>
        <w:szCs w:val="20"/>
      </w:rPr>
      <w:t>1</w:t>
    </w:r>
    <w:r w:rsidRPr="008C6911">
      <w:rPr>
        <w:rStyle w:val="afc"/>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DEAD" w14:textId="77777777" w:rsidR="008C6911" w:rsidRPr="008C6911" w:rsidRDefault="008C6911" w:rsidP="008C6911">
    <w:pPr>
      <w:pStyle w:val="a9"/>
      <w:jc w:val="center"/>
      <w:rPr>
        <w:rFonts w:ascii="Times New Roman" w:eastAsia="宋体" w:hAnsi="Times New Roman" w:cs="Times New Roman"/>
        <w:sz w:val="20"/>
        <w:szCs w:val="20"/>
      </w:rPr>
    </w:pPr>
    <w:r w:rsidRPr="008C6911">
      <w:rPr>
        <w:rFonts w:ascii="Times New Roman" w:eastAsia="宋体" w:hAnsi="Times New Roman" w:cs="Times New Roman"/>
        <w:sz w:val="20"/>
        <w:szCs w:val="20"/>
      </w:rPr>
      <w:t>2-</w:t>
    </w:r>
    <w:r w:rsidRPr="008C6911">
      <w:rPr>
        <w:rStyle w:val="afc"/>
        <w:rFonts w:ascii="Times New Roman" w:hAnsi="Times New Roman" w:cs="Times New Roman"/>
        <w:sz w:val="20"/>
        <w:szCs w:val="20"/>
      </w:rPr>
      <w:fldChar w:fldCharType="begin"/>
    </w:r>
    <w:r w:rsidRPr="008C6911">
      <w:rPr>
        <w:rStyle w:val="afc"/>
        <w:rFonts w:ascii="Times New Roman" w:hAnsi="Times New Roman" w:cs="Times New Roman"/>
        <w:sz w:val="20"/>
        <w:szCs w:val="20"/>
      </w:rPr>
      <w:instrText xml:space="preserve"> PAGE </w:instrText>
    </w:r>
    <w:r w:rsidRPr="008C6911">
      <w:rPr>
        <w:rStyle w:val="afc"/>
        <w:rFonts w:ascii="Times New Roman" w:hAnsi="Times New Roman" w:cs="Times New Roman"/>
        <w:sz w:val="20"/>
        <w:szCs w:val="20"/>
      </w:rPr>
      <w:fldChar w:fldCharType="separate"/>
    </w:r>
    <w:r w:rsidR="000770A0">
      <w:rPr>
        <w:rStyle w:val="afc"/>
        <w:rFonts w:ascii="Times New Roman" w:hAnsi="Times New Roman" w:cs="Times New Roman"/>
        <w:noProof/>
        <w:sz w:val="20"/>
        <w:szCs w:val="20"/>
      </w:rPr>
      <w:t>42</w:t>
    </w:r>
    <w:r w:rsidRPr="008C6911">
      <w:rPr>
        <w:rStyle w:val="afc"/>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7871E" w14:textId="77777777" w:rsidR="0021412F" w:rsidRDefault="0021412F" w:rsidP="00AD33FA">
      <w:r>
        <w:separator/>
      </w:r>
    </w:p>
  </w:footnote>
  <w:footnote w:type="continuationSeparator" w:id="0">
    <w:p w14:paraId="3C295256" w14:textId="77777777" w:rsidR="0021412F" w:rsidRDefault="0021412F" w:rsidP="00AD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33D82" w14:textId="77777777" w:rsidR="008A2055" w:rsidRPr="00B10CAD" w:rsidRDefault="008A2055" w:rsidP="00AD33FA">
    <w:pPr>
      <w:pStyle w:val="a8"/>
      <w:jc w:val="left"/>
      <w:rPr>
        <w:rFonts w:ascii="宋体" w:eastAsia="宋体" w:hAnsi="宋体" w:cs="宋体"/>
        <w:kern w:val="0"/>
      </w:rPr>
    </w:pPr>
    <w:r>
      <w:rPr>
        <w:rFonts w:ascii="宋体" w:eastAsia="宋体" w:hAnsi="宋体" w:cs="宋体" w:hint="eastAsia"/>
        <w:kern w:val="0"/>
      </w:rPr>
      <w:t>上海霍普建筑设计事务所股份有限公司</w:t>
    </w:r>
  </w:p>
  <w:p w14:paraId="118B9E4A" w14:textId="39EA0F5C" w:rsidR="008A2055" w:rsidRPr="00B10CAD" w:rsidRDefault="008A2055" w:rsidP="00AD33FA">
    <w:pPr>
      <w:pStyle w:val="a8"/>
      <w:jc w:val="left"/>
      <w:rPr>
        <w:rFonts w:ascii="宋体" w:eastAsia="宋体" w:hAnsi="宋体" w:cs="宋体"/>
        <w:kern w:val="0"/>
      </w:rPr>
    </w:pPr>
    <w:r w:rsidRPr="00B10CAD">
      <w:rPr>
        <w:rFonts w:ascii="宋体" w:eastAsia="宋体" w:hAnsi="宋体" w:cs="宋体" w:hint="eastAsia"/>
        <w:kern w:val="0"/>
      </w:rPr>
      <w:t>首次公开发行股票并在创业板上市申请文件</w:t>
    </w:r>
  </w:p>
  <w:p w14:paraId="34442C3D" w14:textId="635BFD02" w:rsidR="008A2055" w:rsidRPr="00B10CAD" w:rsidRDefault="008A2055" w:rsidP="00AD33FA">
    <w:pPr>
      <w:pStyle w:val="a8"/>
      <w:jc w:val="left"/>
      <w:rPr>
        <w:rFonts w:ascii="宋体" w:eastAsia="宋体" w:hAnsi="宋体" w:cs="宋体"/>
        <w:kern w:val="0"/>
      </w:rPr>
    </w:pPr>
    <w:r>
      <w:rPr>
        <w:rFonts w:ascii="宋体" w:eastAsia="宋体" w:hAnsi="宋体" w:cs="宋体" w:hint="eastAsia"/>
        <w:kern w:val="0"/>
      </w:rPr>
      <w:t>第二轮</w:t>
    </w:r>
    <w:r w:rsidRPr="00B10CAD">
      <w:rPr>
        <w:rFonts w:ascii="宋体" w:eastAsia="宋体" w:hAnsi="宋体" w:cs="宋体" w:hint="eastAsia"/>
        <w:kern w:val="0"/>
      </w:rPr>
      <w:t>审核问询函的回复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7BDB5" w14:textId="77777777" w:rsidR="008A2055" w:rsidRDefault="008A2055" w:rsidP="009701E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522B"/>
    <w:multiLevelType w:val="hybridMultilevel"/>
    <w:tmpl w:val="3CA4D000"/>
    <w:lvl w:ilvl="0" w:tplc="DF820A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CB3FEC"/>
    <w:multiLevelType w:val="hybridMultilevel"/>
    <w:tmpl w:val="21BEE03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C7CAD"/>
    <w:multiLevelType w:val="hybridMultilevel"/>
    <w:tmpl w:val="53B47F34"/>
    <w:lvl w:ilvl="0" w:tplc="7EB440CE">
      <w:start w:val="1"/>
      <w:numFmt w:val="chineseCountingThousand"/>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506ABA"/>
    <w:multiLevelType w:val="hybridMultilevel"/>
    <w:tmpl w:val="77A8E5A4"/>
    <w:lvl w:ilvl="0" w:tplc="B39ABD3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9C21537"/>
    <w:multiLevelType w:val="hybridMultilevel"/>
    <w:tmpl w:val="394EC5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3D03FF"/>
    <w:multiLevelType w:val="hybridMultilevel"/>
    <w:tmpl w:val="12D8696A"/>
    <w:lvl w:ilvl="0" w:tplc="6FCA2A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D342ECD"/>
    <w:multiLevelType w:val="multilevel"/>
    <w:tmpl w:val="3DB60420"/>
    <w:lvl w:ilvl="0">
      <w:start w:val="1"/>
      <w:numFmt w:val="chineseCountingThousand"/>
      <w:lvlText w:val="(%1)"/>
      <w:lvlJc w:val="left"/>
      <w:pPr>
        <w:ind w:left="709" w:hanging="709"/>
      </w:pPr>
    </w:lvl>
    <w:lvl w:ilvl="1">
      <w:start w:val="1"/>
      <w:numFmt w:val="chineseCountingThousand"/>
      <w:lvlText w:val="%2、"/>
      <w:lvlJc w:val="left"/>
      <w:pPr>
        <w:ind w:left="709" w:hanging="709"/>
      </w:pPr>
      <w:rPr>
        <w:rFonts w:hint="eastAsia"/>
      </w:rPr>
    </w:lvl>
    <w:lvl w:ilvl="2">
      <w:start w:val="1"/>
      <w:numFmt w:val="decimal"/>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0D645F83"/>
    <w:multiLevelType w:val="hybridMultilevel"/>
    <w:tmpl w:val="F61E9E82"/>
    <w:lvl w:ilvl="0" w:tplc="05529BFE">
      <w:start w:val="1"/>
      <w:numFmt w:val="japaneseCounting"/>
      <w:lvlText w:val="（%1）"/>
      <w:lvlJc w:val="left"/>
      <w:pPr>
        <w:ind w:left="117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5465F1B"/>
    <w:multiLevelType w:val="hybridMultilevel"/>
    <w:tmpl w:val="394EC5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5708CA"/>
    <w:multiLevelType w:val="hybridMultilevel"/>
    <w:tmpl w:val="466E5E80"/>
    <w:lvl w:ilvl="0" w:tplc="407057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495BF6"/>
    <w:multiLevelType w:val="hybridMultilevel"/>
    <w:tmpl w:val="394EC5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063626"/>
    <w:multiLevelType w:val="hybridMultilevel"/>
    <w:tmpl w:val="8BE2CE7A"/>
    <w:lvl w:ilvl="0" w:tplc="EBC6A84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12812AF"/>
    <w:multiLevelType w:val="hybridMultilevel"/>
    <w:tmpl w:val="3806CC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7E5291"/>
    <w:multiLevelType w:val="hybridMultilevel"/>
    <w:tmpl w:val="235AB4FE"/>
    <w:lvl w:ilvl="0" w:tplc="B5A05B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4EA2A28"/>
    <w:multiLevelType w:val="multilevel"/>
    <w:tmpl w:val="E2DE24F8"/>
    <w:lvl w:ilvl="0">
      <w:start w:val="1"/>
      <w:numFmt w:val="chineseCounting"/>
      <w:lvlText w:val="%1、"/>
      <w:lvlJc w:val="left"/>
      <w:pPr>
        <w:ind w:left="709" w:hanging="709"/>
      </w:pPr>
    </w:lvl>
    <w:lvl w:ilvl="1">
      <w:start w:val="1"/>
      <w:numFmt w:val="chineseCountingThousand"/>
      <w:lvlText w:val="%2、"/>
      <w:lvlJc w:val="left"/>
      <w:pPr>
        <w:ind w:left="709" w:hanging="709"/>
      </w:pPr>
      <w:rPr>
        <w:rFonts w:hint="eastAsia"/>
      </w:rPr>
    </w:lvl>
    <w:lvl w:ilvl="2">
      <w:start w:val="1"/>
      <w:numFmt w:val="decimal"/>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9CB57A4"/>
    <w:multiLevelType w:val="hybridMultilevel"/>
    <w:tmpl w:val="53B47F34"/>
    <w:lvl w:ilvl="0" w:tplc="7EB440CE">
      <w:start w:val="1"/>
      <w:numFmt w:val="chineseCountingThousand"/>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DA0E87"/>
    <w:multiLevelType w:val="hybridMultilevel"/>
    <w:tmpl w:val="DEDAEA3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295C28"/>
    <w:multiLevelType w:val="hybridMultilevel"/>
    <w:tmpl w:val="36968F7C"/>
    <w:lvl w:ilvl="0" w:tplc="9022108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AB40D6D"/>
    <w:multiLevelType w:val="hybridMultilevel"/>
    <w:tmpl w:val="8AA8B9A4"/>
    <w:lvl w:ilvl="0" w:tplc="7EB440CE">
      <w:start w:val="1"/>
      <w:numFmt w:val="chineseCountingThousand"/>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7276CE"/>
    <w:multiLevelType w:val="hybridMultilevel"/>
    <w:tmpl w:val="125253B4"/>
    <w:lvl w:ilvl="0" w:tplc="B20290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C0E0F"/>
    <w:multiLevelType w:val="hybridMultilevel"/>
    <w:tmpl w:val="C4A8FB88"/>
    <w:lvl w:ilvl="0" w:tplc="3560002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6063139E"/>
    <w:multiLevelType w:val="hybridMultilevel"/>
    <w:tmpl w:val="E780E148"/>
    <w:lvl w:ilvl="0" w:tplc="DAACB6C2">
      <w:start w:val="1"/>
      <w:numFmt w:val="decimal"/>
      <w:lvlText w:val="（%1）"/>
      <w:lvlJc w:val="left"/>
      <w:pPr>
        <w:ind w:left="720" w:hanging="720"/>
      </w:pPr>
      <w:rPr>
        <w:rFonts w:hint="default"/>
      </w:rPr>
    </w:lvl>
    <w:lvl w:ilvl="1" w:tplc="206C3EB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1E7DA3"/>
    <w:multiLevelType w:val="hybridMultilevel"/>
    <w:tmpl w:val="6D364F18"/>
    <w:lvl w:ilvl="0" w:tplc="407057E4">
      <w:start w:val="1"/>
      <w:numFmt w:val="decimalEnclosedCircle"/>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623E24AA"/>
    <w:multiLevelType w:val="hybridMultilevel"/>
    <w:tmpl w:val="DB6436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AA5DDA"/>
    <w:multiLevelType w:val="hybridMultilevel"/>
    <w:tmpl w:val="8F4249A4"/>
    <w:lvl w:ilvl="0" w:tplc="B39ABD36">
      <w:start w:val="1"/>
      <w:numFmt w:val="decimalEnclosedCircle"/>
      <w:lvlText w:val="%1"/>
      <w:lvlJc w:val="left"/>
      <w:pPr>
        <w:ind w:left="846"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22C4D94"/>
    <w:multiLevelType w:val="hybridMultilevel"/>
    <w:tmpl w:val="9258C7D0"/>
    <w:lvl w:ilvl="0" w:tplc="7EB440CE">
      <w:start w:val="1"/>
      <w:numFmt w:val="chineseCountingThousand"/>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5D7EF0"/>
    <w:multiLevelType w:val="hybridMultilevel"/>
    <w:tmpl w:val="08A4F8C2"/>
    <w:lvl w:ilvl="0" w:tplc="E44AA44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4535E8C"/>
    <w:multiLevelType w:val="hybridMultilevel"/>
    <w:tmpl w:val="D876A536"/>
    <w:lvl w:ilvl="0" w:tplc="6D4E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154E3A"/>
    <w:multiLevelType w:val="multilevel"/>
    <w:tmpl w:val="636E0018"/>
    <w:name w:val="BDOTemplate"/>
    <w:lvl w:ilvl="0">
      <w:start w:val="1"/>
      <w:numFmt w:val="chineseCounting"/>
      <w:pStyle w:val="1"/>
      <w:lvlText w:val="%1、"/>
      <w:lvlJc w:val="left"/>
      <w:pPr>
        <w:ind w:left="709" w:hanging="709"/>
      </w:pPr>
    </w:lvl>
    <w:lvl w:ilvl="1">
      <w:start w:val="1"/>
      <w:numFmt w:val="chineseCountingThousand"/>
      <w:lvlText w:val="(%2)"/>
      <w:lvlJc w:val="left"/>
      <w:pPr>
        <w:ind w:left="709" w:hanging="709"/>
      </w:pPr>
    </w:lvl>
    <w:lvl w:ilvl="2">
      <w:start w:val="1"/>
      <w:numFmt w:val="decimal"/>
      <w:pStyle w:val="3"/>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76EC1661"/>
    <w:multiLevelType w:val="multilevel"/>
    <w:tmpl w:val="6F48B8C8"/>
    <w:lvl w:ilvl="0">
      <w:start w:val="1"/>
      <w:numFmt w:val="chineseCountingThousand"/>
      <w:lvlText w:val="(%1)"/>
      <w:lvlJc w:val="left"/>
      <w:pPr>
        <w:ind w:left="709" w:hanging="709"/>
      </w:pPr>
    </w:lvl>
    <w:lvl w:ilvl="1">
      <w:start w:val="1"/>
      <w:numFmt w:val="chineseCountingThousand"/>
      <w:lvlText w:val="%2、"/>
      <w:lvlJc w:val="left"/>
      <w:pPr>
        <w:ind w:left="709" w:hanging="709"/>
      </w:pPr>
      <w:rPr>
        <w:rFonts w:hint="eastAsia"/>
      </w:rPr>
    </w:lvl>
    <w:lvl w:ilvl="2">
      <w:start w:val="1"/>
      <w:numFmt w:val="decimal"/>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77862DC6"/>
    <w:multiLevelType w:val="multilevel"/>
    <w:tmpl w:val="E2DE24F8"/>
    <w:lvl w:ilvl="0">
      <w:start w:val="1"/>
      <w:numFmt w:val="chineseCounting"/>
      <w:lvlText w:val="%1、"/>
      <w:lvlJc w:val="left"/>
      <w:pPr>
        <w:ind w:left="709" w:hanging="709"/>
      </w:pPr>
    </w:lvl>
    <w:lvl w:ilvl="1">
      <w:start w:val="1"/>
      <w:numFmt w:val="chineseCountingThousand"/>
      <w:lvlText w:val="%2、"/>
      <w:lvlJc w:val="left"/>
      <w:pPr>
        <w:ind w:left="709" w:hanging="709"/>
      </w:pPr>
      <w:rPr>
        <w:rFonts w:hint="eastAsia"/>
      </w:rPr>
    </w:lvl>
    <w:lvl w:ilvl="2">
      <w:start w:val="1"/>
      <w:numFmt w:val="decimal"/>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786A493B"/>
    <w:multiLevelType w:val="hybridMultilevel"/>
    <w:tmpl w:val="EF8EA0FE"/>
    <w:lvl w:ilvl="0" w:tplc="AC12A412">
      <w:start w:val="1"/>
      <w:numFmt w:val="japaneseCounting"/>
      <w:lvlText w:val="（%1）"/>
      <w:lvlJc w:val="left"/>
      <w:pPr>
        <w:ind w:left="117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A9F6C81"/>
    <w:multiLevelType w:val="hybridMultilevel"/>
    <w:tmpl w:val="96CC7488"/>
    <w:lvl w:ilvl="0" w:tplc="49E8C2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2135C1"/>
    <w:multiLevelType w:val="multilevel"/>
    <w:tmpl w:val="CBC00CB0"/>
    <w:lvl w:ilvl="0">
      <w:start w:val="1"/>
      <w:numFmt w:val="chineseCountingThousand"/>
      <w:lvlText w:val="(%1)"/>
      <w:lvlJc w:val="left"/>
      <w:pPr>
        <w:ind w:left="709" w:hanging="709"/>
      </w:pPr>
    </w:lvl>
    <w:lvl w:ilvl="1">
      <w:start w:val="1"/>
      <w:numFmt w:val="chineseCountingThousand"/>
      <w:lvlText w:val="%2、"/>
      <w:lvlJc w:val="left"/>
      <w:pPr>
        <w:ind w:left="709" w:hanging="709"/>
      </w:pPr>
      <w:rPr>
        <w:rFonts w:hint="eastAsia"/>
      </w:rPr>
    </w:lvl>
    <w:lvl w:ilvl="2">
      <w:start w:val="1"/>
      <w:numFmt w:val="decimal"/>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28"/>
  </w:num>
  <w:num w:numId="3">
    <w:abstractNumId w:val="21"/>
  </w:num>
  <w:num w:numId="4">
    <w:abstractNumId w:val="9"/>
  </w:num>
  <w:num w:numId="5">
    <w:abstractNumId w:val="22"/>
  </w:num>
  <w:num w:numId="6">
    <w:abstractNumId w:val="5"/>
  </w:num>
  <w:num w:numId="7">
    <w:abstractNumId w:val="32"/>
  </w:num>
  <w:num w:numId="8">
    <w:abstractNumId w:val="13"/>
  </w:num>
  <w:num w:numId="9">
    <w:abstractNumId w:val="26"/>
  </w:num>
  <w:num w:numId="10">
    <w:abstractNumId w:val="27"/>
  </w:num>
  <w:num w:numId="11">
    <w:abstractNumId w:val="12"/>
  </w:num>
  <w:num w:numId="12">
    <w:abstractNumId w:val="23"/>
  </w:num>
  <w:num w:numId="13">
    <w:abstractNumId w:val="8"/>
  </w:num>
  <w:num w:numId="14">
    <w:abstractNumId w:val="1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num>
  <w:num w:numId="18">
    <w:abstractNumId w:val="18"/>
  </w:num>
  <w:num w:numId="19">
    <w:abstractNumId w:val="4"/>
  </w:num>
  <w:num w:numId="20">
    <w:abstractNumId w:val="2"/>
  </w:num>
  <w:num w:numId="21">
    <w:abstractNumId w:val="15"/>
  </w:num>
  <w:num w:numId="22">
    <w:abstractNumId w:val="2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2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3"/>
  </w:num>
  <w:num w:numId="30">
    <w:abstractNumId w:val="0"/>
  </w:num>
  <w:num w:numId="31">
    <w:abstractNumId w:val="3"/>
  </w:num>
  <w:num w:numId="32">
    <w:abstractNumId w:val="31"/>
  </w:num>
  <w:num w:numId="33">
    <w:abstractNumId w:val="17"/>
  </w:num>
  <w:num w:numId="34">
    <w:abstractNumId w:val="20"/>
  </w:num>
  <w:num w:numId="35">
    <w:abstractNumId w:val="11"/>
  </w:num>
  <w:num w:numId="36">
    <w:abstractNumId w:val="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00"/>
    <w:rsid w:val="00000382"/>
    <w:rsid w:val="000021BD"/>
    <w:rsid w:val="000065C8"/>
    <w:rsid w:val="000133BA"/>
    <w:rsid w:val="00036395"/>
    <w:rsid w:val="0003738A"/>
    <w:rsid w:val="00063685"/>
    <w:rsid w:val="00066FBC"/>
    <w:rsid w:val="0007176F"/>
    <w:rsid w:val="00072C56"/>
    <w:rsid w:val="000770A0"/>
    <w:rsid w:val="000A63EB"/>
    <w:rsid w:val="000B0332"/>
    <w:rsid w:val="000B440D"/>
    <w:rsid w:val="000B5406"/>
    <w:rsid w:val="000C1085"/>
    <w:rsid w:val="000D0C18"/>
    <w:rsid w:val="000D43D7"/>
    <w:rsid w:val="000D641B"/>
    <w:rsid w:val="000E0E1C"/>
    <w:rsid w:val="000E5006"/>
    <w:rsid w:val="000E51AB"/>
    <w:rsid w:val="000E6978"/>
    <w:rsid w:val="00100758"/>
    <w:rsid w:val="00100C8D"/>
    <w:rsid w:val="001029D5"/>
    <w:rsid w:val="00110061"/>
    <w:rsid w:val="001100DC"/>
    <w:rsid w:val="00112319"/>
    <w:rsid w:val="0011362B"/>
    <w:rsid w:val="00117B49"/>
    <w:rsid w:val="0012300E"/>
    <w:rsid w:val="00133CFF"/>
    <w:rsid w:val="00135505"/>
    <w:rsid w:val="00143792"/>
    <w:rsid w:val="0016204E"/>
    <w:rsid w:val="00170C44"/>
    <w:rsid w:val="001725FB"/>
    <w:rsid w:val="001824FD"/>
    <w:rsid w:val="00186CFA"/>
    <w:rsid w:val="00190001"/>
    <w:rsid w:val="001A15CA"/>
    <w:rsid w:val="001A51DE"/>
    <w:rsid w:val="001A7BDE"/>
    <w:rsid w:val="001B0C4F"/>
    <w:rsid w:val="001B1DE6"/>
    <w:rsid w:val="001C0818"/>
    <w:rsid w:val="001D2C27"/>
    <w:rsid w:val="001D4D22"/>
    <w:rsid w:val="001D6D2C"/>
    <w:rsid w:val="00202578"/>
    <w:rsid w:val="00203A35"/>
    <w:rsid w:val="00203A73"/>
    <w:rsid w:val="002055D1"/>
    <w:rsid w:val="0021412F"/>
    <w:rsid w:val="00214587"/>
    <w:rsid w:val="002227C2"/>
    <w:rsid w:val="0022448A"/>
    <w:rsid w:val="00231388"/>
    <w:rsid w:val="00235DFE"/>
    <w:rsid w:val="0025077A"/>
    <w:rsid w:val="00251592"/>
    <w:rsid w:val="00253E9C"/>
    <w:rsid w:val="00254FC3"/>
    <w:rsid w:val="0026265B"/>
    <w:rsid w:val="00262BA0"/>
    <w:rsid w:val="002657C2"/>
    <w:rsid w:val="00282156"/>
    <w:rsid w:val="002A0375"/>
    <w:rsid w:val="002A2B06"/>
    <w:rsid w:val="002A5EE3"/>
    <w:rsid w:val="002D476F"/>
    <w:rsid w:val="002E278D"/>
    <w:rsid w:val="002E7D82"/>
    <w:rsid w:val="00301623"/>
    <w:rsid w:val="00305417"/>
    <w:rsid w:val="00312A2E"/>
    <w:rsid w:val="00313281"/>
    <w:rsid w:val="00316737"/>
    <w:rsid w:val="00322E6B"/>
    <w:rsid w:val="003244AF"/>
    <w:rsid w:val="00326B22"/>
    <w:rsid w:val="00327D77"/>
    <w:rsid w:val="00341CF8"/>
    <w:rsid w:val="00342F2A"/>
    <w:rsid w:val="00344DA6"/>
    <w:rsid w:val="00347209"/>
    <w:rsid w:val="00351C81"/>
    <w:rsid w:val="00360CA1"/>
    <w:rsid w:val="00365810"/>
    <w:rsid w:val="00376B34"/>
    <w:rsid w:val="00387C72"/>
    <w:rsid w:val="00391319"/>
    <w:rsid w:val="003930D6"/>
    <w:rsid w:val="00395CB5"/>
    <w:rsid w:val="003969DF"/>
    <w:rsid w:val="003A01F0"/>
    <w:rsid w:val="003A03FB"/>
    <w:rsid w:val="003B1AD4"/>
    <w:rsid w:val="003B3A8F"/>
    <w:rsid w:val="003B73D8"/>
    <w:rsid w:val="003C07E0"/>
    <w:rsid w:val="003C35D5"/>
    <w:rsid w:val="003C3656"/>
    <w:rsid w:val="003D1011"/>
    <w:rsid w:val="003D374A"/>
    <w:rsid w:val="003E610D"/>
    <w:rsid w:val="003F5A58"/>
    <w:rsid w:val="0040154E"/>
    <w:rsid w:val="00401CD8"/>
    <w:rsid w:val="0040263E"/>
    <w:rsid w:val="00405F83"/>
    <w:rsid w:val="004120E8"/>
    <w:rsid w:val="0042105A"/>
    <w:rsid w:val="00426240"/>
    <w:rsid w:val="004275B4"/>
    <w:rsid w:val="00427B61"/>
    <w:rsid w:val="004363FD"/>
    <w:rsid w:val="00437EEB"/>
    <w:rsid w:val="00443FF5"/>
    <w:rsid w:val="004461E7"/>
    <w:rsid w:val="0044680B"/>
    <w:rsid w:val="004512B5"/>
    <w:rsid w:val="00471F62"/>
    <w:rsid w:val="00475704"/>
    <w:rsid w:val="00477D90"/>
    <w:rsid w:val="004815E0"/>
    <w:rsid w:val="00482817"/>
    <w:rsid w:val="004843D8"/>
    <w:rsid w:val="00484FB0"/>
    <w:rsid w:val="00495881"/>
    <w:rsid w:val="004A2446"/>
    <w:rsid w:val="004A28EB"/>
    <w:rsid w:val="004A4064"/>
    <w:rsid w:val="004A46C2"/>
    <w:rsid w:val="004A4832"/>
    <w:rsid w:val="004B0203"/>
    <w:rsid w:val="004B1EC6"/>
    <w:rsid w:val="004B5E1B"/>
    <w:rsid w:val="004B644D"/>
    <w:rsid w:val="004C08DF"/>
    <w:rsid w:val="004C3663"/>
    <w:rsid w:val="004C4557"/>
    <w:rsid w:val="004C57ED"/>
    <w:rsid w:val="004C7A8D"/>
    <w:rsid w:val="004D0ACD"/>
    <w:rsid w:val="004E45A9"/>
    <w:rsid w:val="004F226F"/>
    <w:rsid w:val="004F2B2C"/>
    <w:rsid w:val="004F54C3"/>
    <w:rsid w:val="005061BE"/>
    <w:rsid w:val="00512213"/>
    <w:rsid w:val="0051390C"/>
    <w:rsid w:val="0052066E"/>
    <w:rsid w:val="00525C1C"/>
    <w:rsid w:val="0053682C"/>
    <w:rsid w:val="00537DCD"/>
    <w:rsid w:val="0054054A"/>
    <w:rsid w:val="005419C9"/>
    <w:rsid w:val="00550AE5"/>
    <w:rsid w:val="00550BCD"/>
    <w:rsid w:val="00555922"/>
    <w:rsid w:val="0056537E"/>
    <w:rsid w:val="005736A9"/>
    <w:rsid w:val="00576DFD"/>
    <w:rsid w:val="00583B94"/>
    <w:rsid w:val="00584E35"/>
    <w:rsid w:val="0058684C"/>
    <w:rsid w:val="00590393"/>
    <w:rsid w:val="005A4A82"/>
    <w:rsid w:val="005B7809"/>
    <w:rsid w:val="005C2E05"/>
    <w:rsid w:val="005C3270"/>
    <w:rsid w:val="005E6F1C"/>
    <w:rsid w:val="005E7822"/>
    <w:rsid w:val="005F160F"/>
    <w:rsid w:val="005F5538"/>
    <w:rsid w:val="005F5A0C"/>
    <w:rsid w:val="006032D6"/>
    <w:rsid w:val="006051BF"/>
    <w:rsid w:val="00605B69"/>
    <w:rsid w:val="006079D8"/>
    <w:rsid w:val="00621F7B"/>
    <w:rsid w:val="00622023"/>
    <w:rsid w:val="00622915"/>
    <w:rsid w:val="00626342"/>
    <w:rsid w:val="00630672"/>
    <w:rsid w:val="00631FE3"/>
    <w:rsid w:val="00637C95"/>
    <w:rsid w:val="00644EE7"/>
    <w:rsid w:val="00650768"/>
    <w:rsid w:val="00656B1E"/>
    <w:rsid w:val="00656E81"/>
    <w:rsid w:val="00657741"/>
    <w:rsid w:val="00664CC3"/>
    <w:rsid w:val="00666E24"/>
    <w:rsid w:val="00676947"/>
    <w:rsid w:val="00693ED8"/>
    <w:rsid w:val="00693FD9"/>
    <w:rsid w:val="00694382"/>
    <w:rsid w:val="006A3337"/>
    <w:rsid w:val="006A399C"/>
    <w:rsid w:val="006A7221"/>
    <w:rsid w:val="006B12AB"/>
    <w:rsid w:val="006B2F00"/>
    <w:rsid w:val="006B668F"/>
    <w:rsid w:val="006C0B25"/>
    <w:rsid w:val="006C215A"/>
    <w:rsid w:val="006C5A72"/>
    <w:rsid w:val="006C7EFB"/>
    <w:rsid w:val="006D0B02"/>
    <w:rsid w:val="006D0FCC"/>
    <w:rsid w:val="006E06A2"/>
    <w:rsid w:val="006E49A8"/>
    <w:rsid w:val="006F4C03"/>
    <w:rsid w:val="0070086F"/>
    <w:rsid w:val="007036FC"/>
    <w:rsid w:val="00705019"/>
    <w:rsid w:val="00714008"/>
    <w:rsid w:val="00714C2B"/>
    <w:rsid w:val="0073132B"/>
    <w:rsid w:val="007352F0"/>
    <w:rsid w:val="0074105B"/>
    <w:rsid w:val="00752963"/>
    <w:rsid w:val="00754A38"/>
    <w:rsid w:val="00757720"/>
    <w:rsid w:val="00757E25"/>
    <w:rsid w:val="00761AA4"/>
    <w:rsid w:val="00765D72"/>
    <w:rsid w:val="007660F6"/>
    <w:rsid w:val="0076751A"/>
    <w:rsid w:val="00771A72"/>
    <w:rsid w:val="00773AD0"/>
    <w:rsid w:val="007767AE"/>
    <w:rsid w:val="007835D7"/>
    <w:rsid w:val="00784798"/>
    <w:rsid w:val="00785BCE"/>
    <w:rsid w:val="00785F19"/>
    <w:rsid w:val="007964A0"/>
    <w:rsid w:val="007A030F"/>
    <w:rsid w:val="007A7AE8"/>
    <w:rsid w:val="007B33E0"/>
    <w:rsid w:val="007C49D4"/>
    <w:rsid w:val="007D0BFA"/>
    <w:rsid w:val="007D1758"/>
    <w:rsid w:val="007E5678"/>
    <w:rsid w:val="007E5B88"/>
    <w:rsid w:val="007E7A96"/>
    <w:rsid w:val="00803E3B"/>
    <w:rsid w:val="00806AF3"/>
    <w:rsid w:val="008079E5"/>
    <w:rsid w:val="0081466E"/>
    <w:rsid w:val="00821F46"/>
    <w:rsid w:val="00824B10"/>
    <w:rsid w:val="008271F1"/>
    <w:rsid w:val="00840731"/>
    <w:rsid w:val="008428CD"/>
    <w:rsid w:val="00842DA9"/>
    <w:rsid w:val="0084435C"/>
    <w:rsid w:val="008510E4"/>
    <w:rsid w:val="008539A0"/>
    <w:rsid w:val="00857461"/>
    <w:rsid w:val="008740D1"/>
    <w:rsid w:val="00874C0A"/>
    <w:rsid w:val="00875EF7"/>
    <w:rsid w:val="00877A76"/>
    <w:rsid w:val="00884669"/>
    <w:rsid w:val="00886227"/>
    <w:rsid w:val="008913E0"/>
    <w:rsid w:val="00891451"/>
    <w:rsid w:val="00894B12"/>
    <w:rsid w:val="008A2055"/>
    <w:rsid w:val="008B5285"/>
    <w:rsid w:val="008C420A"/>
    <w:rsid w:val="008C6911"/>
    <w:rsid w:val="008D1EE4"/>
    <w:rsid w:val="008E391A"/>
    <w:rsid w:val="008E6610"/>
    <w:rsid w:val="008F4305"/>
    <w:rsid w:val="008F6815"/>
    <w:rsid w:val="008F7CE0"/>
    <w:rsid w:val="009009BD"/>
    <w:rsid w:val="00903BC4"/>
    <w:rsid w:val="00906760"/>
    <w:rsid w:val="009114D6"/>
    <w:rsid w:val="00921700"/>
    <w:rsid w:val="00924D07"/>
    <w:rsid w:val="009269DF"/>
    <w:rsid w:val="00937DEE"/>
    <w:rsid w:val="00951CD1"/>
    <w:rsid w:val="009535AA"/>
    <w:rsid w:val="0095391D"/>
    <w:rsid w:val="009607D2"/>
    <w:rsid w:val="00962034"/>
    <w:rsid w:val="009701EA"/>
    <w:rsid w:val="0097190F"/>
    <w:rsid w:val="00972ED9"/>
    <w:rsid w:val="009853C4"/>
    <w:rsid w:val="0099716B"/>
    <w:rsid w:val="009B2764"/>
    <w:rsid w:val="009B7FF9"/>
    <w:rsid w:val="009F151E"/>
    <w:rsid w:val="009F5787"/>
    <w:rsid w:val="00A0274C"/>
    <w:rsid w:val="00A117F4"/>
    <w:rsid w:val="00A3546E"/>
    <w:rsid w:val="00A37149"/>
    <w:rsid w:val="00A3725F"/>
    <w:rsid w:val="00A42B31"/>
    <w:rsid w:val="00A434A7"/>
    <w:rsid w:val="00A43FDB"/>
    <w:rsid w:val="00A441FB"/>
    <w:rsid w:val="00A45472"/>
    <w:rsid w:val="00A533BC"/>
    <w:rsid w:val="00A54704"/>
    <w:rsid w:val="00A552F5"/>
    <w:rsid w:val="00A604E2"/>
    <w:rsid w:val="00A64169"/>
    <w:rsid w:val="00A6501B"/>
    <w:rsid w:val="00A73E52"/>
    <w:rsid w:val="00A7722C"/>
    <w:rsid w:val="00A82A96"/>
    <w:rsid w:val="00A86A12"/>
    <w:rsid w:val="00A90F68"/>
    <w:rsid w:val="00AA444A"/>
    <w:rsid w:val="00AA5768"/>
    <w:rsid w:val="00AA5FD3"/>
    <w:rsid w:val="00AB39F1"/>
    <w:rsid w:val="00AB594E"/>
    <w:rsid w:val="00AB61E7"/>
    <w:rsid w:val="00AC6A27"/>
    <w:rsid w:val="00AC7478"/>
    <w:rsid w:val="00AC7A55"/>
    <w:rsid w:val="00AD33FA"/>
    <w:rsid w:val="00AD514E"/>
    <w:rsid w:val="00AD660E"/>
    <w:rsid w:val="00AE2AB5"/>
    <w:rsid w:val="00AE478C"/>
    <w:rsid w:val="00AE6244"/>
    <w:rsid w:val="00AF6C00"/>
    <w:rsid w:val="00B00A51"/>
    <w:rsid w:val="00B02DF7"/>
    <w:rsid w:val="00B0567A"/>
    <w:rsid w:val="00B0748B"/>
    <w:rsid w:val="00B07DEB"/>
    <w:rsid w:val="00B1157A"/>
    <w:rsid w:val="00B16FA9"/>
    <w:rsid w:val="00B20BCD"/>
    <w:rsid w:val="00B27E7A"/>
    <w:rsid w:val="00B30400"/>
    <w:rsid w:val="00B32CB0"/>
    <w:rsid w:val="00B43397"/>
    <w:rsid w:val="00B44A61"/>
    <w:rsid w:val="00B47634"/>
    <w:rsid w:val="00B50405"/>
    <w:rsid w:val="00B57F10"/>
    <w:rsid w:val="00B87F1E"/>
    <w:rsid w:val="00BA3B3E"/>
    <w:rsid w:val="00BB0738"/>
    <w:rsid w:val="00BB5267"/>
    <w:rsid w:val="00BC4582"/>
    <w:rsid w:val="00BC4D22"/>
    <w:rsid w:val="00BD0A13"/>
    <w:rsid w:val="00BD7E2A"/>
    <w:rsid w:val="00BD7F74"/>
    <w:rsid w:val="00BE6B23"/>
    <w:rsid w:val="00BF22E8"/>
    <w:rsid w:val="00BF63FC"/>
    <w:rsid w:val="00BF6ED6"/>
    <w:rsid w:val="00C001F8"/>
    <w:rsid w:val="00C0293B"/>
    <w:rsid w:val="00C051CD"/>
    <w:rsid w:val="00C07237"/>
    <w:rsid w:val="00C10227"/>
    <w:rsid w:val="00C103E2"/>
    <w:rsid w:val="00C1055D"/>
    <w:rsid w:val="00C17BBD"/>
    <w:rsid w:val="00C24BD8"/>
    <w:rsid w:val="00C26752"/>
    <w:rsid w:val="00C27842"/>
    <w:rsid w:val="00C27D36"/>
    <w:rsid w:val="00C313C4"/>
    <w:rsid w:val="00C44782"/>
    <w:rsid w:val="00C46482"/>
    <w:rsid w:val="00C60898"/>
    <w:rsid w:val="00C61510"/>
    <w:rsid w:val="00C63797"/>
    <w:rsid w:val="00C723B0"/>
    <w:rsid w:val="00C76621"/>
    <w:rsid w:val="00C82E21"/>
    <w:rsid w:val="00C92952"/>
    <w:rsid w:val="00C95C1A"/>
    <w:rsid w:val="00CA2F0B"/>
    <w:rsid w:val="00CA5A40"/>
    <w:rsid w:val="00CB0471"/>
    <w:rsid w:val="00CB6A3A"/>
    <w:rsid w:val="00CC0A2D"/>
    <w:rsid w:val="00CC78C5"/>
    <w:rsid w:val="00CD504A"/>
    <w:rsid w:val="00CD56BE"/>
    <w:rsid w:val="00CD74AB"/>
    <w:rsid w:val="00CF47A7"/>
    <w:rsid w:val="00D02DB1"/>
    <w:rsid w:val="00D107CD"/>
    <w:rsid w:val="00D108FE"/>
    <w:rsid w:val="00D15173"/>
    <w:rsid w:val="00D15692"/>
    <w:rsid w:val="00D176E4"/>
    <w:rsid w:val="00D27BE0"/>
    <w:rsid w:val="00D32673"/>
    <w:rsid w:val="00D3581A"/>
    <w:rsid w:val="00D40B37"/>
    <w:rsid w:val="00D41544"/>
    <w:rsid w:val="00D47A30"/>
    <w:rsid w:val="00D5027A"/>
    <w:rsid w:val="00D51EA8"/>
    <w:rsid w:val="00D56120"/>
    <w:rsid w:val="00D56208"/>
    <w:rsid w:val="00D6699C"/>
    <w:rsid w:val="00D70DDA"/>
    <w:rsid w:val="00D71AD9"/>
    <w:rsid w:val="00D96D8A"/>
    <w:rsid w:val="00DA0B78"/>
    <w:rsid w:val="00DA257F"/>
    <w:rsid w:val="00DA7ED6"/>
    <w:rsid w:val="00DB0EF0"/>
    <w:rsid w:val="00DB3424"/>
    <w:rsid w:val="00DB3AB3"/>
    <w:rsid w:val="00DB5826"/>
    <w:rsid w:val="00DD0574"/>
    <w:rsid w:val="00DD225C"/>
    <w:rsid w:val="00DD59C9"/>
    <w:rsid w:val="00DE0820"/>
    <w:rsid w:val="00DE0A5D"/>
    <w:rsid w:val="00DE16F9"/>
    <w:rsid w:val="00DE3AE8"/>
    <w:rsid w:val="00DE3BC0"/>
    <w:rsid w:val="00E0132C"/>
    <w:rsid w:val="00E06044"/>
    <w:rsid w:val="00E07177"/>
    <w:rsid w:val="00E14D4D"/>
    <w:rsid w:val="00E31447"/>
    <w:rsid w:val="00E35039"/>
    <w:rsid w:val="00E424D9"/>
    <w:rsid w:val="00E46119"/>
    <w:rsid w:val="00E51CF7"/>
    <w:rsid w:val="00E574AF"/>
    <w:rsid w:val="00E61C2E"/>
    <w:rsid w:val="00E63057"/>
    <w:rsid w:val="00E662D7"/>
    <w:rsid w:val="00E75EA7"/>
    <w:rsid w:val="00E80B68"/>
    <w:rsid w:val="00E83A8D"/>
    <w:rsid w:val="00E97C21"/>
    <w:rsid w:val="00EA3537"/>
    <w:rsid w:val="00EA4420"/>
    <w:rsid w:val="00EA7C68"/>
    <w:rsid w:val="00ED3906"/>
    <w:rsid w:val="00ED518C"/>
    <w:rsid w:val="00ED66DF"/>
    <w:rsid w:val="00EE4F30"/>
    <w:rsid w:val="00EE5025"/>
    <w:rsid w:val="00F165B1"/>
    <w:rsid w:val="00F17EBB"/>
    <w:rsid w:val="00F3022A"/>
    <w:rsid w:val="00F31A93"/>
    <w:rsid w:val="00F373F8"/>
    <w:rsid w:val="00F41CE5"/>
    <w:rsid w:val="00F4218D"/>
    <w:rsid w:val="00F44953"/>
    <w:rsid w:val="00F544E0"/>
    <w:rsid w:val="00F637CA"/>
    <w:rsid w:val="00F65D65"/>
    <w:rsid w:val="00F70580"/>
    <w:rsid w:val="00F707C6"/>
    <w:rsid w:val="00F765E9"/>
    <w:rsid w:val="00F80BA0"/>
    <w:rsid w:val="00F82472"/>
    <w:rsid w:val="00F825D2"/>
    <w:rsid w:val="00F82936"/>
    <w:rsid w:val="00F869E5"/>
    <w:rsid w:val="00F904E9"/>
    <w:rsid w:val="00FA033C"/>
    <w:rsid w:val="00FA2266"/>
    <w:rsid w:val="00FA4240"/>
    <w:rsid w:val="00FA62AC"/>
    <w:rsid w:val="00FA7A80"/>
    <w:rsid w:val="00FB1E9E"/>
    <w:rsid w:val="00FB34E3"/>
    <w:rsid w:val="00FB58B1"/>
    <w:rsid w:val="00FC4928"/>
    <w:rsid w:val="00FC50C6"/>
    <w:rsid w:val="00FD1438"/>
    <w:rsid w:val="00FD611B"/>
    <w:rsid w:val="00FD65AC"/>
    <w:rsid w:val="00FE7764"/>
    <w:rsid w:val="00FF0D32"/>
    <w:rsid w:val="00FF1AB2"/>
    <w:rsid w:val="00FF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00"/>
    <w:pPr>
      <w:widowControl w:val="0"/>
      <w:jc w:val="both"/>
    </w:pPr>
  </w:style>
  <w:style w:type="paragraph" w:styleId="10">
    <w:name w:val="heading 1"/>
    <w:basedOn w:val="a"/>
    <w:next w:val="a"/>
    <w:link w:val="1Char"/>
    <w:uiPriority w:val="9"/>
    <w:qFormat/>
    <w:rsid w:val="009217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217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rsid w:val="00921700"/>
    <w:pPr>
      <w:keepNext/>
      <w:keepLines/>
      <w:spacing w:before="260" w:after="260" w:line="416" w:lineRule="auto"/>
      <w:outlineLvl w:val="2"/>
    </w:pPr>
    <w:rPr>
      <w:rFonts w:ascii="Times New Roman" w:eastAsia="仿宋"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921700"/>
    <w:rPr>
      <w:b/>
      <w:bCs/>
      <w:kern w:val="44"/>
      <w:sz w:val="44"/>
      <w:szCs w:val="44"/>
    </w:rPr>
  </w:style>
  <w:style w:type="character" w:customStyle="1" w:styleId="2Char">
    <w:name w:val="标题 2 Char"/>
    <w:basedOn w:val="a0"/>
    <w:link w:val="2"/>
    <w:uiPriority w:val="9"/>
    <w:rsid w:val="00921700"/>
    <w:rPr>
      <w:rFonts w:asciiTheme="majorHAnsi" w:eastAsiaTheme="majorEastAsia" w:hAnsiTheme="majorHAnsi" w:cstheme="majorBidi"/>
      <w:b/>
      <w:bCs/>
      <w:sz w:val="32"/>
      <w:szCs w:val="32"/>
    </w:rPr>
  </w:style>
  <w:style w:type="character" w:customStyle="1" w:styleId="3Char">
    <w:name w:val="标题 3 Char"/>
    <w:basedOn w:val="a0"/>
    <w:link w:val="30"/>
    <w:uiPriority w:val="9"/>
    <w:rsid w:val="00921700"/>
    <w:rPr>
      <w:rFonts w:ascii="Times New Roman" w:eastAsia="仿宋" w:hAnsi="Times New Roman" w:cs="Times New Roman"/>
      <w:b/>
      <w:bCs/>
      <w:sz w:val="32"/>
      <w:szCs w:val="32"/>
    </w:rPr>
  </w:style>
  <w:style w:type="character" w:styleId="a3">
    <w:name w:val="Strong"/>
    <w:basedOn w:val="a0"/>
    <w:uiPriority w:val="22"/>
    <w:qFormat/>
    <w:rsid w:val="00921700"/>
    <w:rPr>
      <w:b/>
      <w:bCs/>
    </w:rPr>
  </w:style>
  <w:style w:type="paragraph" w:styleId="a4">
    <w:name w:val="List Paragraph"/>
    <w:basedOn w:val="a"/>
    <w:uiPriority w:val="34"/>
    <w:qFormat/>
    <w:rsid w:val="00921700"/>
    <w:pPr>
      <w:ind w:firstLineChars="200" w:firstLine="420"/>
    </w:pPr>
  </w:style>
  <w:style w:type="paragraph" w:customStyle="1" w:styleId="20">
    <w:name w:val="立信附注正文 [2级]"/>
    <w:link w:val="2Char0"/>
    <w:rsid w:val="00921700"/>
    <w:pPr>
      <w:widowControl w:val="0"/>
      <w:tabs>
        <w:tab w:val="left" w:pos="0"/>
      </w:tabs>
      <w:adjustRightInd w:val="0"/>
      <w:snapToGrid w:val="0"/>
      <w:spacing w:line="400" w:lineRule="atLeast"/>
      <w:ind w:left="714"/>
      <w:jc w:val="both"/>
    </w:pPr>
    <w:rPr>
      <w:rFonts w:ascii="Times New Roman" w:eastAsia="宋体" w:hAnsi="Times New Roman" w:cs="Times New Roman"/>
      <w:color w:val="000000"/>
      <w:szCs w:val="21"/>
    </w:rPr>
  </w:style>
  <w:style w:type="character" w:customStyle="1" w:styleId="2Char0">
    <w:name w:val="立信附注正文 [2级] Char"/>
    <w:link w:val="20"/>
    <w:rsid w:val="00921700"/>
    <w:rPr>
      <w:rFonts w:ascii="Times New Roman" w:eastAsia="宋体" w:hAnsi="Times New Roman" w:cs="Times New Roman"/>
      <w:color w:val="000000"/>
      <w:szCs w:val="21"/>
    </w:rPr>
  </w:style>
  <w:style w:type="paragraph" w:customStyle="1" w:styleId="1">
    <w:name w:val="立信附注标题 [1级]"/>
    <w:next w:val="20"/>
    <w:rsid w:val="00921700"/>
    <w:pPr>
      <w:widowControl w:val="0"/>
      <w:numPr>
        <w:numId w:val="2"/>
      </w:numPr>
      <w:tabs>
        <w:tab w:val="left" w:pos="714"/>
        <w:tab w:val="left" w:pos="850"/>
      </w:tabs>
      <w:adjustRightInd w:val="0"/>
      <w:snapToGrid w:val="0"/>
      <w:spacing w:line="400" w:lineRule="atLeast"/>
      <w:jc w:val="both"/>
      <w:outlineLvl w:val="0"/>
    </w:pPr>
    <w:rPr>
      <w:rFonts w:ascii="Times New Roman" w:eastAsia="宋体" w:hAnsi="Times New Roman" w:cs="Times New Roman"/>
      <w:b/>
      <w:color w:val="000000"/>
      <w:szCs w:val="24"/>
    </w:rPr>
  </w:style>
  <w:style w:type="paragraph" w:customStyle="1" w:styleId="21">
    <w:name w:val="立信附注标题 [2级]"/>
    <w:next w:val="20"/>
    <w:link w:val="2Char1"/>
    <w:rsid w:val="00921700"/>
    <w:pPr>
      <w:widowControl w:val="0"/>
      <w:tabs>
        <w:tab w:val="left" w:pos="714"/>
        <w:tab w:val="left" w:pos="850"/>
      </w:tabs>
      <w:adjustRightInd w:val="0"/>
      <w:snapToGrid w:val="0"/>
      <w:spacing w:line="400" w:lineRule="atLeast"/>
      <w:jc w:val="both"/>
      <w:outlineLvl w:val="1"/>
    </w:pPr>
    <w:rPr>
      <w:rFonts w:ascii="Times New Roman" w:eastAsia="宋体" w:hAnsi="Times New Roman" w:cs="Times New Roman"/>
      <w:b/>
      <w:color w:val="000000"/>
      <w:szCs w:val="24"/>
    </w:rPr>
  </w:style>
  <w:style w:type="character" w:customStyle="1" w:styleId="2Char1">
    <w:name w:val="立信附注标题 [2级] Char"/>
    <w:link w:val="21"/>
    <w:rsid w:val="00921700"/>
    <w:rPr>
      <w:rFonts w:ascii="Times New Roman" w:eastAsia="宋体" w:hAnsi="Times New Roman" w:cs="Times New Roman"/>
      <w:b/>
      <w:color w:val="000000"/>
      <w:szCs w:val="24"/>
    </w:rPr>
  </w:style>
  <w:style w:type="table" w:customStyle="1" w:styleId="a5">
    <w:name w:val="立信年报表格"/>
    <w:basedOn w:val="a1"/>
    <w:rsid w:val="00921700"/>
    <w:pPr>
      <w:jc w:val="both"/>
    </w:pPr>
    <w:rPr>
      <w:rFonts w:ascii="Times New Roman" w:eastAsia="宋体" w:hAnsi="Times New Roman" w:cs="Times New Roman"/>
      <w:color w:val="000000"/>
      <w:sz w:val="18"/>
    </w:rPr>
    <w:tblPr>
      <w:tblBorders>
        <w:top w:val="single" w:sz="12" w:space="0" w:color="auto"/>
        <w:bottom w:val="single" w:sz="12" w:space="0" w:color="auto"/>
        <w:insideH w:val="dotted" w:sz="4" w:space="0" w:color="auto"/>
        <w:insideV w:val="dotted" w:sz="4" w:space="0" w:color="auto"/>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table" w:customStyle="1" w:styleId="22">
    <w:name w:val="立信年报表格 [2级]"/>
    <w:basedOn w:val="a1"/>
    <w:rsid w:val="00921700"/>
    <w:pPr>
      <w:spacing w:line="400" w:lineRule="atLeast"/>
      <w:jc w:val="both"/>
    </w:pPr>
    <w:rPr>
      <w:rFonts w:ascii="Times New Roman" w:eastAsia="宋体" w:hAnsi="Times New Roman" w:cs="Times New Roman"/>
      <w:color w:val="000000"/>
      <w:sz w:val="18"/>
      <w:szCs w:val="21"/>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paragraph" w:styleId="a6">
    <w:name w:val="Date"/>
    <w:basedOn w:val="a"/>
    <w:next w:val="a"/>
    <w:link w:val="Char"/>
    <w:uiPriority w:val="99"/>
    <w:semiHidden/>
    <w:unhideWhenUsed/>
    <w:rsid w:val="00921700"/>
    <w:pPr>
      <w:ind w:leftChars="2500" w:left="100"/>
    </w:pPr>
  </w:style>
  <w:style w:type="character" w:customStyle="1" w:styleId="Char">
    <w:name w:val="日期 Char"/>
    <w:basedOn w:val="a0"/>
    <w:link w:val="a6"/>
    <w:uiPriority w:val="99"/>
    <w:semiHidden/>
    <w:rsid w:val="00921700"/>
  </w:style>
  <w:style w:type="paragraph" w:customStyle="1" w:styleId="31">
    <w:name w:val="立信附注正文 [3级]"/>
    <w:link w:val="3Char0"/>
    <w:rsid w:val="00921700"/>
    <w:pPr>
      <w:widowControl w:val="0"/>
      <w:tabs>
        <w:tab w:val="left" w:pos="0"/>
      </w:tabs>
      <w:adjustRightInd w:val="0"/>
      <w:snapToGrid w:val="0"/>
      <w:spacing w:line="400" w:lineRule="atLeast"/>
      <w:ind w:left="1276"/>
      <w:jc w:val="both"/>
    </w:pPr>
    <w:rPr>
      <w:rFonts w:ascii="Times New Roman" w:eastAsia="宋体" w:hAnsi="Times New Roman" w:cs="Times New Roman"/>
      <w:color w:val="000000"/>
      <w:szCs w:val="21"/>
    </w:rPr>
  </w:style>
  <w:style w:type="character" w:customStyle="1" w:styleId="3Char0">
    <w:name w:val="立信附注正文 [3级] Char"/>
    <w:basedOn w:val="a0"/>
    <w:link w:val="31"/>
    <w:rsid w:val="00921700"/>
    <w:rPr>
      <w:rFonts w:ascii="Times New Roman" w:eastAsia="宋体" w:hAnsi="Times New Roman" w:cs="Times New Roman"/>
      <w:color w:val="000000"/>
      <w:szCs w:val="21"/>
    </w:rPr>
  </w:style>
  <w:style w:type="paragraph" w:styleId="a7">
    <w:name w:val="Balloon Text"/>
    <w:basedOn w:val="a"/>
    <w:link w:val="Char0"/>
    <w:uiPriority w:val="99"/>
    <w:semiHidden/>
    <w:unhideWhenUsed/>
    <w:rsid w:val="00921700"/>
    <w:rPr>
      <w:sz w:val="18"/>
      <w:szCs w:val="18"/>
    </w:rPr>
  </w:style>
  <w:style w:type="character" w:customStyle="1" w:styleId="Char0">
    <w:name w:val="批注框文本 Char"/>
    <w:basedOn w:val="a0"/>
    <w:link w:val="a7"/>
    <w:uiPriority w:val="99"/>
    <w:semiHidden/>
    <w:rsid w:val="00921700"/>
    <w:rPr>
      <w:sz w:val="18"/>
      <w:szCs w:val="18"/>
    </w:rPr>
  </w:style>
  <w:style w:type="paragraph" w:styleId="a8">
    <w:name w:val="header"/>
    <w:aliases w:val="页眉2"/>
    <w:basedOn w:val="a"/>
    <w:link w:val="Char1"/>
    <w:uiPriority w:val="99"/>
    <w:unhideWhenUsed/>
    <w:qFormat/>
    <w:rsid w:val="00921700"/>
    <w:pPr>
      <w:pBdr>
        <w:bottom w:val="single" w:sz="6" w:space="1" w:color="auto"/>
      </w:pBdr>
      <w:tabs>
        <w:tab w:val="center" w:pos="4153"/>
        <w:tab w:val="right" w:pos="8306"/>
      </w:tabs>
      <w:snapToGrid w:val="0"/>
      <w:jc w:val="center"/>
    </w:pPr>
    <w:rPr>
      <w:sz w:val="18"/>
      <w:szCs w:val="18"/>
    </w:rPr>
  </w:style>
  <w:style w:type="character" w:customStyle="1" w:styleId="Char1">
    <w:name w:val="页眉 Char"/>
    <w:aliases w:val="页眉2 Char"/>
    <w:basedOn w:val="a0"/>
    <w:link w:val="a8"/>
    <w:uiPriority w:val="99"/>
    <w:qFormat/>
    <w:rsid w:val="00921700"/>
    <w:rPr>
      <w:sz w:val="18"/>
      <w:szCs w:val="18"/>
    </w:rPr>
  </w:style>
  <w:style w:type="paragraph" w:styleId="a9">
    <w:name w:val="footer"/>
    <w:basedOn w:val="a"/>
    <w:link w:val="Char2"/>
    <w:uiPriority w:val="99"/>
    <w:unhideWhenUsed/>
    <w:qFormat/>
    <w:rsid w:val="00921700"/>
    <w:pPr>
      <w:tabs>
        <w:tab w:val="center" w:pos="4153"/>
        <w:tab w:val="right" w:pos="8306"/>
      </w:tabs>
      <w:snapToGrid w:val="0"/>
      <w:jc w:val="left"/>
    </w:pPr>
    <w:rPr>
      <w:sz w:val="18"/>
      <w:szCs w:val="18"/>
    </w:rPr>
  </w:style>
  <w:style w:type="character" w:customStyle="1" w:styleId="Char2">
    <w:name w:val="页脚 Char"/>
    <w:basedOn w:val="a0"/>
    <w:link w:val="a9"/>
    <w:uiPriority w:val="99"/>
    <w:qFormat/>
    <w:rsid w:val="00921700"/>
    <w:rPr>
      <w:sz w:val="18"/>
      <w:szCs w:val="18"/>
    </w:rPr>
  </w:style>
  <w:style w:type="paragraph" w:customStyle="1" w:styleId="003">
    <w:name w:val="003三级标题"/>
    <w:basedOn w:val="a"/>
    <w:link w:val="003Char"/>
    <w:qFormat/>
    <w:rsid w:val="00921700"/>
    <w:pPr>
      <w:keepNext/>
      <w:keepLines/>
      <w:spacing w:beforeLines="50" w:afterLines="50" w:line="360" w:lineRule="auto"/>
      <w:outlineLvl w:val="2"/>
    </w:pPr>
    <w:rPr>
      <w:rFonts w:ascii="Times New Roman" w:eastAsia="黑体" w:hAnsi="Times New Roman" w:cs="Times New Roman"/>
      <w:b/>
      <w:bCs/>
      <w:sz w:val="24"/>
      <w:szCs w:val="28"/>
      <w:lang w:val="zh-CN"/>
    </w:rPr>
  </w:style>
  <w:style w:type="character" w:customStyle="1" w:styleId="003Char">
    <w:name w:val="003三级标题 Char"/>
    <w:link w:val="003"/>
    <w:rsid w:val="00921700"/>
    <w:rPr>
      <w:rFonts w:ascii="Times New Roman" w:eastAsia="黑体" w:hAnsi="Times New Roman" w:cs="Times New Roman"/>
      <w:b/>
      <w:bCs/>
      <w:sz w:val="24"/>
      <w:szCs w:val="28"/>
      <w:lang w:val="zh-CN"/>
    </w:rPr>
  </w:style>
  <w:style w:type="paragraph" w:customStyle="1" w:styleId="3">
    <w:name w:val="立信附注标题 [3级]"/>
    <w:next w:val="31"/>
    <w:link w:val="3Char1"/>
    <w:rsid w:val="00921700"/>
    <w:pPr>
      <w:widowControl w:val="0"/>
      <w:numPr>
        <w:ilvl w:val="2"/>
        <w:numId w:val="2"/>
      </w:numPr>
      <w:tabs>
        <w:tab w:val="left" w:pos="0"/>
      </w:tabs>
      <w:adjustRightInd w:val="0"/>
      <w:snapToGrid w:val="0"/>
      <w:spacing w:line="400" w:lineRule="atLeast"/>
      <w:jc w:val="both"/>
      <w:outlineLvl w:val="2"/>
    </w:pPr>
    <w:rPr>
      <w:rFonts w:ascii="Times New Roman" w:eastAsia="宋体" w:hAnsi="Times New Roman" w:cs="Times New Roman"/>
      <w:b/>
      <w:color w:val="000000"/>
    </w:rPr>
  </w:style>
  <w:style w:type="character" w:customStyle="1" w:styleId="3Char1">
    <w:name w:val="立信附注标题 [3级] Char"/>
    <w:basedOn w:val="a0"/>
    <w:link w:val="3"/>
    <w:rsid w:val="00921700"/>
    <w:rPr>
      <w:rFonts w:ascii="Times New Roman" w:eastAsia="宋体" w:hAnsi="Times New Roman" w:cs="Times New Roman"/>
      <w:b/>
      <w:color w:val="000000"/>
    </w:rPr>
  </w:style>
  <w:style w:type="character" w:customStyle="1" w:styleId="005Char">
    <w:name w:val="005正文 Char"/>
    <w:link w:val="005"/>
    <w:qFormat/>
    <w:rsid w:val="00921700"/>
    <w:rPr>
      <w:rFonts w:ascii="Times New Roman" w:eastAsia="宋体" w:hAnsi="Times New Roman" w:cs="Times New Roman"/>
      <w:sz w:val="24"/>
    </w:rPr>
  </w:style>
  <w:style w:type="paragraph" w:customStyle="1" w:styleId="005">
    <w:name w:val="005正文"/>
    <w:basedOn w:val="a"/>
    <w:link w:val="005Char"/>
    <w:qFormat/>
    <w:rsid w:val="00921700"/>
    <w:pPr>
      <w:spacing w:beforeLines="50" w:line="360" w:lineRule="auto"/>
      <w:ind w:firstLineChars="200" w:firstLine="200"/>
    </w:pPr>
    <w:rPr>
      <w:rFonts w:ascii="Times New Roman" w:eastAsia="宋体" w:hAnsi="Times New Roman" w:cs="Times New Roman"/>
      <w:sz w:val="24"/>
    </w:rPr>
  </w:style>
  <w:style w:type="table" w:styleId="aa">
    <w:name w:val="Table Grid"/>
    <w:basedOn w:val="a1"/>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2"/>
    <w:uiPriority w:val="99"/>
    <w:semiHidden/>
    <w:unhideWhenUsed/>
    <w:rsid w:val="00921700"/>
  </w:style>
  <w:style w:type="table" w:customStyle="1" w:styleId="12">
    <w:name w:val="网格型1"/>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921700"/>
    <w:rPr>
      <w:sz w:val="21"/>
      <w:szCs w:val="21"/>
    </w:rPr>
  </w:style>
  <w:style w:type="paragraph" w:styleId="ac">
    <w:name w:val="annotation text"/>
    <w:basedOn w:val="a"/>
    <w:link w:val="Char3"/>
    <w:uiPriority w:val="99"/>
    <w:unhideWhenUsed/>
    <w:rsid w:val="00921700"/>
    <w:pPr>
      <w:jc w:val="left"/>
    </w:pPr>
  </w:style>
  <w:style w:type="character" w:customStyle="1" w:styleId="Char3">
    <w:name w:val="批注文字 Char"/>
    <w:basedOn w:val="a0"/>
    <w:link w:val="ac"/>
    <w:uiPriority w:val="99"/>
    <w:rsid w:val="00921700"/>
  </w:style>
  <w:style w:type="paragraph" w:styleId="ad">
    <w:name w:val="annotation subject"/>
    <w:basedOn w:val="ac"/>
    <w:next w:val="ac"/>
    <w:link w:val="Char4"/>
    <w:uiPriority w:val="99"/>
    <w:semiHidden/>
    <w:unhideWhenUsed/>
    <w:rsid w:val="00921700"/>
    <w:rPr>
      <w:b/>
      <w:bCs/>
    </w:rPr>
  </w:style>
  <w:style w:type="character" w:customStyle="1" w:styleId="Char4">
    <w:name w:val="批注主题 Char"/>
    <w:basedOn w:val="Char3"/>
    <w:link w:val="ad"/>
    <w:uiPriority w:val="99"/>
    <w:semiHidden/>
    <w:rsid w:val="00921700"/>
    <w:rPr>
      <w:b/>
      <w:bCs/>
    </w:rPr>
  </w:style>
  <w:style w:type="numbering" w:customStyle="1" w:styleId="23">
    <w:name w:val="无列表2"/>
    <w:next w:val="a2"/>
    <w:uiPriority w:val="99"/>
    <w:semiHidden/>
    <w:unhideWhenUsed/>
    <w:rsid w:val="00921700"/>
  </w:style>
  <w:style w:type="numbering" w:customStyle="1" w:styleId="32">
    <w:name w:val="无列表3"/>
    <w:next w:val="a2"/>
    <w:uiPriority w:val="99"/>
    <w:semiHidden/>
    <w:unhideWhenUsed/>
    <w:rsid w:val="00921700"/>
  </w:style>
  <w:style w:type="paragraph" w:customStyle="1" w:styleId="ae">
    <w:name w:val="答复中问题"/>
    <w:basedOn w:val="a"/>
    <w:link w:val="Char5"/>
    <w:qFormat/>
    <w:rsid w:val="00921700"/>
    <w:pPr>
      <w:spacing w:beforeLines="50" w:afterLines="50" w:line="360" w:lineRule="auto"/>
    </w:pPr>
    <w:rPr>
      <w:rFonts w:ascii="黑体" w:eastAsia="黑体" w:hAnsi="黑体" w:cs="Times New Roman"/>
      <w:b/>
      <w:sz w:val="24"/>
      <w:szCs w:val="24"/>
    </w:rPr>
  </w:style>
  <w:style w:type="character" w:customStyle="1" w:styleId="Char5">
    <w:name w:val="答复中问题 Char"/>
    <w:link w:val="ae"/>
    <w:qFormat/>
    <w:rsid w:val="00921700"/>
    <w:rPr>
      <w:rFonts w:ascii="黑体" w:eastAsia="黑体" w:hAnsi="黑体" w:cs="Times New Roman"/>
      <w:b/>
      <w:sz w:val="24"/>
      <w:szCs w:val="24"/>
    </w:rPr>
  </w:style>
  <w:style w:type="numbering" w:customStyle="1" w:styleId="4">
    <w:name w:val="无列表4"/>
    <w:next w:val="a2"/>
    <w:uiPriority w:val="99"/>
    <w:semiHidden/>
    <w:unhideWhenUsed/>
    <w:rsid w:val="00921700"/>
  </w:style>
  <w:style w:type="table" w:customStyle="1" w:styleId="24">
    <w:name w:val="网格型2"/>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a2"/>
    <w:uiPriority w:val="99"/>
    <w:semiHidden/>
    <w:unhideWhenUsed/>
    <w:rsid w:val="00921700"/>
  </w:style>
  <w:style w:type="table" w:customStyle="1" w:styleId="40">
    <w:name w:val="网格型4"/>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921700"/>
  </w:style>
  <w:style w:type="table" w:customStyle="1" w:styleId="111">
    <w:name w:val="网格型11"/>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答复"/>
    <w:basedOn w:val="a"/>
    <w:qFormat/>
    <w:rsid w:val="00301623"/>
    <w:pPr>
      <w:spacing w:beforeLines="50" w:before="156" w:afterLines="50" w:after="156" w:line="360" w:lineRule="auto"/>
      <w:ind w:firstLineChars="200" w:firstLine="482"/>
    </w:pPr>
    <w:rPr>
      <w:rFonts w:ascii="Times New Roman" w:eastAsia="宋体" w:hAnsi="Times New Roman"/>
      <w:b/>
      <w:bCs/>
      <w:sz w:val="24"/>
      <w:szCs w:val="28"/>
      <w:u w:val="double"/>
    </w:rPr>
  </w:style>
  <w:style w:type="paragraph" w:customStyle="1" w:styleId="af0">
    <w:name w:val="问题（一）"/>
    <w:basedOn w:val="a"/>
    <w:qFormat/>
    <w:rsid w:val="00301623"/>
    <w:pPr>
      <w:spacing w:beforeLines="50" w:before="156" w:afterLines="50" w:after="156" w:line="360" w:lineRule="auto"/>
      <w:ind w:firstLineChars="200" w:firstLine="482"/>
      <w:outlineLvl w:val="2"/>
    </w:pPr>
    <w:rPr>
      <w:rFonts w:ascii="黑体" w:eastAsia="黑体" w:hAnsi="黑体"/>
      <w:b/>
      <w:bCs/>
      <w:sz w:val="24"/>
      <w:szCs w:val="28"/>
    </w:rPr>
  </w:style>
  <w:style w:type="paragraph" w:styleId="13">
    <w:name w:val="toc 1"/>
    <w:basedOn w:val="a"/>
    <w:next w:val="a"/>
    <w:autoRedefine/>
    <w:uiPriority w:val="39"/>
    <w:unhideWhenUsed/>
    <w:rsid w:val="00301623"/>
    <w:pPr>
      <w:tabs>
        <w:tab w:val="right" w:leader="dot" w:pos="8296"/>
      </w:tabs>
      <w:spacing w:line="360" w:lineRule="auto"/>
      <w:jc w:val="center"/>
    </w:pPr>
    <w:rPr>
      <w:rFonts w:ascii="宋体" w:eastAsia="宋体" w:hAnsi="宋体"/>
      <w:sz w:val="28"/>
      <w:szCs w:val="32"/>
    </w:rPr>
  </w:style>
  <w:style w:type="paragraph" w:styleId="25">
    <w:name w:val="toc 2"/>
    <w:basedOn w:val="a"/>
    <w:next w:val="a"/>
    <w:autoRedefine/>
    <w:uiPriority w:val="39"/>
    <w:unhideWhenUsed/>
    <w:rsid w:val="00301623"/>
    <w:pPr>
      <w:ind w:leftChars="200" w:left="420"/>
    </w:pPr>
  </w:style>
  <w:style w:type="paragraph" w:styleId="34">
    <w:name w:val="toc 3"/>
    <w:basedOn w:val="a"/>
    <w:next w:val="a"/>
    <w:autoRedefine/>
    <w:uiPriority w:val="39"/>
    <w:unhideWhenUsed/>
    <w:rsid w:val="00301623"/>
    <w:pPr>
      <w:ind w:leftChars="400" w:left="840"/>
    </w:pPr>
  </w:style>
  <w:style w:type="paragraph" w:styleId="41">
    <w:name w:val="toc 4"/>
    <w:basedOn w:val="a"/>
    <w:next w:val="a"/>
    <w:autoRedefine/>
    <w:uiPriority w:val="39"/>
    <w:unhideWhenUsed/>
    <w:rsid w:val="00301623"/>
    <w:pPr>
      <w:ind w:leftChars="600" w:left="1260"/>
    </w:pPr>
  </w:style>
  <w:style w:type="paragraph" w:styleId="51">
    <w:name w:val="toc 5"/>
    <w:basedOn w:val="a"/>
    <w:next w:val="a"/>
    <w:autoRedefine/>
    <w:uiPriority w:val="39"/>
    <w:unhideWhenUsed/>
    <w:rsid w:val="00301623"/>
    <w:pPr>
      <w:ind w:leftChars="800" w:left="1680"/>
    </w:pPr>
  </w:style>
  <w:style w:type="paragraph" w:styleId="6">
    <w:name w:val="toc 6"/>
    <w:basedOn w:val="a"/>
    <w:next w:val="a"/>
    <w:autoRedefine/>
    <w:uiPriority w:val="39"/>
    <w:unhideWhenUsed/>
    <w:rsid w:val="00301623"/>
    <w:pPr>
      <w:ind w:leftChars="1000" w:left="2100"/>
    </w:pPr>
  </w:style>
  <w:style w:type="paragraph" w:styleId="7">
    <w:name w:val="toc 7"/>
    <w:basedOn w:val="a"/>
    <w:next w:val="a"/>
    <w:autoRedefine/>
    <w:uiPriority w:val="39"/>
    <w:unhideWhenUsed/>
    <w:rsid w:val="00301623"/>
    <w:pPr>
      <w:ind w:leftChars="1200" w:left="2520"/>
    </w:pPr>
  </w:style>
  <w:style w:type="paragraph" w:styleId="8">
    <w:name w:val="toc 8"/>
    <w:basedOn w:val="a"/>
    <w:next w:val="a"/>
    <w:autoRedefine/>
    <w:uiPriority w:val="39"/>
    <w:unhideWhenUsed/>
    <w:rsid w:val="00301623"/>
    <w:pPr>
      <w:ind w:leftChars="1400" w:left="2940"/>
    </w:pPr>
  </w:style>
  <w:style w:type="paragraph" w:styleId="9">
    <w:name w:val="toc 9"/>
    <w:basedOn w:val="a"/>
    <w:next w:val="a"/>
    <w:autoRedefine/>
    <w:uiPriority w:val="39"/>
    <w:unhideWhenUsed/>
    <w:rsid w:val="00301623"/>
    <w:pPr>
      <w:ind w:leftChars="1600" w:left="3360"/>
    </w:pPr>
  </w:style>
  <w:style w:type="character" w:styleId="af1">
    <w:name w:val="Hyperlink"/>
    <w:basedOn w:val="a0"/>
    <w:uiPriority w:val="99"/>
    <w:unhideWhenUsed/>
    <w:rsid w:val="00301623"/>
    <w:rPr>
      <w:color w:val="0563C1" w:themeColor="hyperlink"/>
      <w:u w:val="single"/>
    </w:rPr>
  </w:style>
  <w:style w:type="character" w:customStyle="1" w:styleId="UnresolvedMention">
    <w:name w:val="Unresolved Mention"/>
    <w:basedOn w:val="a0"/>
    <w:uiPriority w:val="99"/>
    <w:semiHidden/>
    <w:unhideWhenUsed/>
    <w:rsid w:val="00301623"/>
    <w:rPr>
      <w:color w:val="605E5C"/>
      <w:shd w:val="clear" w:color="auto" w:fill="E1DFDD"/>
    </w:rPr>
  </w:style>
  <w:style w:type="paragraph" w:styleId="af2">
    <w:name w:val="footnote text"/>
    <w:basedOn w:val="a"/>
    <w:link w:val="Char6"/>
    <w:uiPriority w:val="99"/>
    <w:semiHidden/>
    <w:unhideWhenUsed/>
    <w:rsid w:val="00301623"/>
    <w:pPr>
      <w:snapToGrid w:val="0"/>
      <w:jc w:val="left"/>
    </w:pPr>
    <w:rPr>
      <w:sz w:val="18"/>
      <w:szCs w:val="18"/>
    </w:rPr>
  </w:style>
  <w:style w:type="character" w:customStyle="1" w:styleId="Char6">
    <w:name w:val="脚注文本 Char"/>
    <w:basedOn w:val="a0"/>
    <w:link w:val="af2"/>
    <w:uiPriority w:val="99"/>
    <w:semiHidden/>
    <w:rsid w:val="00301623"/>
    <w:rPr>
      <w:sz w:val="18"/>
      <w:szCs w:val="18"/>
    </w:rPr>
  </w:style>
  <w:style w:type="character" w:styleId="af3">
    <w:name w:val="footnote reference"/>
    <w:basedOn w:val="a0"/>
    <w:uiPriority w:val="99"/>
    <w:semiHidden/>
    <w:unhideWhenUsed/>
    <w:rsid w:val="00301623"/>
    <w:rPr>
      <w:vertAlign w:val="superscript"/>
    </w:rPr>
  </w:style>
  <w:style w:type="paragraph" w:styleId="af4">
    <w:name w:val="Revision"/>
    <w:hidden/>
    <w:uiPriority w:val="99"/>
    <w:semiHidden/>
    <w:rsid w:val="00301623"/>
  </w:style>
  <w:style w:type="character" w:styleId="af5">
    <w:name w:val="FollowedHyperlink"/>
    <w:basedOn w:val="a0"/>
    <w:uiPriority w:val="99"/>
    <w:semiHidden/>
    <w:unhideWhenUsed/>
    <w:rsid w:val="00301623"/>
    <w:rPr>
      <w:color w:val="954F72" w:themeColor="followedHyperlink"/>
      <w:u w:val="single"/>
    </w:rPr>
  </w:style>
  <w:style w:type="paragraph" w:customStyle="1" w:styleId="af6">
    <w:name w:val="问题"/>
    <w:basedOn w:val="a"/>
    <w:qFormat/>
    <w:rsid w:val="00301623"/>
    <w:pPr>
      <w:spacing w:beforeLines="50" w:before="156" w:afterLines="50" w:after="156" w:line="360" w:lineRule="auto"/>
      <w:ind w:firstLineChars="200" w:firstLine="482"/>
      <w:outlineLvl w:val="0"/>
    </w:pPr>
    <w:rPr>
      <w:rFonts w:ascii="Times New Roman" w:eastAsia="宋体" w:hAnsi="Times New Roman"/>
      <w:b/>
      <w:bCs/>
      <w:sz w:val="24"/>
      <w:szCs w:val="28"/>
    </w:rPr>
  </w:style>
  <w:style w:type="paragraph" w:customStyle="1" w:styleId="14">
    <w:name w:val="正文1"/>
    <w:basedOn w:val="a"/>
    <w:qFormat/>
    <w:rsid w:val="00301623"/>
    <w:pPr>
      <w:widowControl/>
      <w:autoSpaceDE w:val="0"/>
      <w:autoSpaceDN w:val="0"/>
      <w:adjustRightInd w:val="0"/>
      <w:spacing w:beforeLines="50" w:before="156" w:afterLines="50" w:after="156" w:line="360" w:lineRule="auto"/>
      <w:ind w:firstLineChars="200" w:firstLine="480"/>
    </w:pPr>
    <w:rPr>
      <w:rFonts w:ascii="Times New Roman" w:eastAsia="宋体" w:hAnsi="Times New Roman" w:cs="宋体"/>
      <w:kern w:val="0"/>
      <w:sz w:val="24"/>
      <w:szCs w:val="24"/>
    </w:rPr>
  </w:style>
  <w:style w:type="paragraph" w:customStyle="1" w:styleId="af7">
    <w:name w:val="披露正文"/>
    <w:basedOn w:val="a"/>
    <w:qFormat/>
    <w:rsid w:val="00301623"/>
    <w:pPr>
      <w:spacing w:beforeLines="50" w:before="156" w:afterLines="50" w:after="156" w:line="360" w:lineRule="auto"/>
      <w:ind w:firstLineChars="200" w:firstLine="482"/>
    </w:pPr>
    <w:rPr>
      <w:rFonts w:ascii="楷体" w:eastAsia="楷体" w:hAnsi="楷体" w:cs="Times New Roman"/>
      <w:b/>
      <w:bCs/>
      <w:color w:val="000000"/>
      <w:kern w:val="0"/>
      <w:sz w:val="24"/>
      <w:szCs w:val="24"/>
      <w:lang w:bidi="en-US"/>
    </w:rPr>
  </w:style>
  <w:style w:type="table" w:customStyle="1" w:styleId="15">
    <w:name w:val="样式1"/>
    <w:basedOn w:val="a1"/>
    <w:uiPriority w:val="99"/>
    <w:rsid w:val="006E49A8"/>
    <w:pPr>
      <w:jc w:val="center"/>
    </w:pPr>
    <w:rPr>
      <w:rFonts w:ascii="KaiTi" w:eastAsia="KaiTi" w:cs="Times New Roman (正文 CS 字体)"/>
      <w:b/>
      <w:szCs w:val="24"/>
    </w:rPr>
    <w:tblPr>
      <w:jc w:val="center"/>
      <w:tblBorders>
        <w:top w:val="single" w:sz="12" w:space="0" w:color="313196"/>
        <w:left w:val="single" w:sz="4" w:space="0" w:color="313196"/>
        <w:bottom w:val="single" w:sz="12" w:space="0" w:color="313196"/>
        <w:right w:val="single" w:sz="4" w:space="0" w:color="313196"/>
        <w:insideH w:val="single" w:sz="4" w:space="0" w:color="313196"/>
        <w:insideV w:val="single" w:sz="4" w:space="0" w:color="313196"/>
      </w:tblBorders>
    </w:tblPr>
    <w:trPr>
      <w:jc w:val="center"/>
    </w:trPr>
    <w:tcPr>
      <w:vAlign w:val="center"/>
    </w:tcPr>
  </w:style>
  <w:style w:type="paragraph" w:customStyle="1" w:styleId="af8">
    <w:name w:val="【补充】/【说明】"/>
    <w:basedOn w:val="a"/>
    <w:qFormat/>
    <w:rsid w:val="006E49A8"/>
    <w:pPr>
      <w:spacing w:beforeLines="50" w:before="156" w:afterLines="50" w:after="156" w:line="360" w:lineRule="auto"/>
      <w:ind w:firstLineChars="200" w:firstLine="482"/>
      <w:outlineLvl w:val="1"/>
    </w:pPr>
    <w:rPr>
      <w:rFonts w:ascii="宋体" w:eastAsia="宋体" w:hAnsi="宋体" w:cs="Times New Roman"/>
      <w:b/>
      <w:bCs/>
      <w:sz w:val="24"/>
      <w:szCs w:val="24"/>
    </w:rPr>
  </w:style>
  <w:style w:type="paragraph" w:customStyle="1" w:styleId="af9">
    <w:name w:val="（问题）"/>
    <w:basedOn w:val="a"/>
    <w:qFormat/>
    <w:rsid w:val="006E49A8"/>
    <w:pPr>
      <w:spacing w:beforeLines="50" w:before="156" w:afterLines="50" w:after="156" w:line="360" w:lineRule="auto"/>
      <w:ind w:firstLineChars="200" w:firstLine="482"/>
      <w:outlineLvl w:val="2"/>
    </w:pPr>
    <w:rPr>
      <w:rFonts w:ascii="黑体" w:eastAsia="黑体" w:hAnsi="黑体" w:cs="Times New Roman"/>
      <w:b/>
      <w:bCs/>
      <w:sz w:val="24"/>
      <w:szCs w:val="24"/>
    </w:rPr>
  </w:style>
  <w:style w:type="paragraph" w:customStyle="1" w:styleId="afa">
    <w:name w:val="（核查过程/结论）"/>
    <w:basedOn w:val="a"/>
    <w:qFormat/>
    <w:rsid w:val="006E49A8"/>
    <w:pPr>
      <w:spacing w:beforeLines="50" w:before="156" w:afterLines="50" w:after="156" w:line="360" w:lineRule="auto"/>
      <w:ind w:firstLineChars="200" w:firstLine="482"/>
      <w:jc w:val="left"/>
      <w:outlineLvl w:val="2"/>
    </w:pPr>
    <w:rPr>
      <w:rFonts w:ascii="宋体" w:eastAsia="Times New Roman" w:hAnsi="宋体" w:cs="Times New Roman"/>
      <w:b/>
      <w:color w:val="000000"/>
      <w:kern w:val="0"/>
      <w:sz w:val="24"/>
      <w:szCs w:val="24"/>
      <w:lang w:bidi="en-US"/>
    </w:rPr>
  </w:style>
  <w:style w:type="character" w:customStyle="1" w:styleId="26">
    <w:name w:val="批注文字 字符2"/>
    <w:locked/>
    <w:rsid w:val="006E49A8"/>
    <w:rPr>
      <w:kern w:val="2"/>
      <w:sz w:val="21"/>
    </w:rPr>
  </w:style>
  <w:style w:type="paragraph" w:styleId="afb">
    <w:name w:val="No Spacing"/>
    <w:aliases w:val="表格正文"/>
    <w:uiPriority w:val="1"/>
    <w:qFormat/>
    <w:rsid w:val="006E49A8"/>
    <w:pPr>
      <w:widowControl w:val="0"/>
      <w:snapToGrid w:val="0"/>
      <w:spacing w:beforeLines="30" w:before="30" w:afterLines="30" w:after="30"/>
      <w:jc w:val="both"/>
    </w:pPr>
    <w:rPr>
      <w:rFonts w:ascii="Times New Roman" w:eastAsia="宋体" w:hAnsi="Times New Roman" w:cs="Times New Roman"/>
      <w:szCs w:val="20"/>
    </w:rPr>
  </w:style>
  <w:style w:type="character" w:customStyle="1" w:styleId="16">
    <w:name w:val="未处理的提及1"/>
    <w:basedOn w:val="a0"/>
    <w:uiPriority w:val="99"/>
    <w:semiHidden/>
    <w:unhideWhenUsed/>
    <w:rsid w:val="007767AE"/>
    <w:rPr>
      <w:color w:val="605E5C"/>
      <w:shd w:val="clear" w:color="auto" w:fill="E1DFDD"/>
    </w:rPr>
  </w:style>
  <w:style w:type="character" w:styleId="afc">
    <w:name w:val="page number"/>
    <w:basedOn w:val="a0"/>
    <w:uiPriority w:val="99"/>
    <w:semiHidden/>
    <w:unhideWhenUsed/>
    <w:rsid w:val="008C6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00"/>
    <w:pPr>
      <w:widowControl w:val="0"/>
      <w:jc w:val="both"/>
    </w:pPr>
  </w:style>
  <w:style w:type="paragraph" w:styleId="10">
    <w:name w:val="heading 1"/>
    <w:basedOn w:val="a"/>
    <w:next w:val="a"/>
    <w:link w:val="1Char"/>
    <w:uiPriority w:val="9"/>
    <w:qFormat/>
    <w:rsid w:val="009217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217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rsid w:val="00921700"/>
    <w:pPr>
      <w:keepNext/>
      <w:keepLines/>
      <w:spacing w:before="260" w:after="260" w:line="416" w:lineRule="auto"/>
      <w:outlineLvl w:val="2"/>
    </w:pPr>
    <w:rPr>
      <w:rFonts w:ascii="Times New Roman" w:eastAsia="仿宋"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921700"/>
    <w:rPr>
      <w:b/>
      <w:bCs/>
      <w:kern w:val="44"/>
      <w:sz w:val="44"/>
      <w:szCs w:val="44"/>
    </w:rPr>
  </w:style>
  <w:style w:type="character" w:customStyle="1" w:styleId="2Char">
    <w:name w:val="标题 2 Char"/>
    <w:basedOn w:val="a0"/>
    <w:link w:val="2"/>
    <w:uiPriority w:val="9"/>
    <w:rsid w:val="00921700"/>
    <w:rPr>
      <w:rFonts w:asciiTheme="majorHAnsi" w:eastAsiaTheme="majorEastAsia" w:hAnsiTheme="majorHAnsi" w:cstheme="majorBidi"/>
      <w:b/>
      <w:bCs/>
      <w:sz w:val="32"/>
      <w:szCs w:val="32"/>
    </w:rPr>
  </w:style>
  <w:style w:type="character" w:customStyle="1" w:styleId="3Char">
    <w:name w:val="标题 3 Char"/>
    <w:basedOn w:val="a0"/>
    <w:link w:val="30"/>
    <w:uiPriority w:val="9"/>
    <w:rsid w:val="00921700"/>
    <w:rPr>
      <w:rFonts w:ascii="Times New Roman" w:eastAsia="仿宋" w:hAnsi="Times New Roman" w:cs="Times New Roman"/>
      <w:b/>
      <w:bCs/>
      <w:sz w:val="32"/>
      <w:szCs w:val="32"/>
    </w:rPr>
  </w:style>
  <w:style w:type="character" w:styleId="a3">
    <w:name w:val="Strong"/>
    <w:basedOn w:val="a0"/>
    <w:uiPriority w:val="22"/>
    <w:qFormat/>
    <w:rsid w:val="00921700"/>
    <w:rPr>
      <w:b/>
      <w:bCs/>
    </w:rPr>
  </w:style>
  <w:style w:type="paragraph" w:styleId="a4">
    <w:name w:val="List Paragraph"/>
    <w:basedOn w:val="a"/>
    <w:uiPriority w:val="34"/>
    <w:qFormat/>
    <w:rsid w:val="00921700"/>
    <w:pPr>
      <w:ind w:firstLineChars="200" w:firstLine="420"/>
    </w:pPr>
  </w:style>
  <w:style w:type="paragraph" w:customStyle="1" w:styleId="20">
    <w:name w:val="立信附注正文 [2级]"/>
    <w:link w:val="2Char0"/>
    <w:rsid w:val="00921700"/>
    <w:pPr>
      <w:widowControl w:val="0"/>
      <w:tabs>
        <w:tab w:val="left" w:pos="0"/>
      </w:tabs>
      <w:adjustRightInd w:val="0"/>
      <w:snapToGrid w:val="0"/>
      <w:spacing w:line="400" w:lineRule="atLeast"/>
      <w:ind w:left="714"/>
      <w:jc w:val="both"/>
    </w:pPr>
    <w:rPr>
      <w:rFonts w:ascii="Times New Roman" w:eastAsia="宋体" w:hAnsi="Times New Roman" w:cs="Times New Roman"/>
      <w:color w:val="000000"/>
      <w:szCs w:val="21"/>
    </w:rPr>
  </w:style>
  <w:style w:type="character" w:customStyle="1" w:styleId="2Char0">
    <w:name w:val="立信附注正文 [2级] Char"/>
    <w:link w:val="20"/>
    <w:rsid w:val="00921700"/>
    <w:rPr>
      <w:rFonts w:ascii="Times New Roman" w:eastAsia="宋体" w:hAnsi="Times New Roman" w:cs="Times New Roman"/>
      <w:color w:val="000000"/>
      <w:szCs w:val="21"/>
    </w:rPr>
  </w:style>
  <w:style w:type="paragraph" w:customStyle="1" w:styleId="1">
    <w:name w:val="立信附注标题 [1级]"/>
    <w:next w:val="20"/>
    <w:rsid w:val="00921700"/>
    <w:pPr>
      <w:widowControl w:val="0"/>
      <w:numPr>
        <w:numId w:val="2"/>
      </w:numPr>
      <w:tabs>
        <w:tab w:val="left" w:pos="714"/>
        <w:tab w:val="left" w:pos="850"/>
      </w:tabs>
      <w:adjustRightInd w:val="0"/>
      <w:snapToGrid w:val="0"/>
      <w:spacing w:line="400" w:lineRule="atLeast"/>
      <w:jc w:val="both"/>
      <w:outlineLvl w:val="0"/>
    </w:pPr>
    <w:rPr>
      <w:rFonts w:ascii="Times New Roman" w:eastAsia="宋体" w:hAnsi="Times New Roman" w:cs="Times New Roman"/>
      <w:b/>
      <w:color w:val="000000"/>
      <w:szCs w:val="24"/>
    </w:rPr>
  </w:style>
  <w:style w:type="paragraph" w:customStyle="1" w:styleId="21">
    <w:name w:val="立信附注标题 [2级]"/>
    <w:next w:val="20"/>
    <w:link w:val="2Char1"/>
    <w:rsid w:val="00921700"/>
    <w:pPr>
      <w:widowControl w:val="0"/>
      <w:tabs>
        <w:tab w:val="left" w:pos="714"/>
        <w:tab w:val="left" w:pos="850"/>
      </w:tabs>
      <w:adjustRightInd w:val="0"/>
      <w:snapToGrid w:val="0"/>
      <w:spacing w:line="400" w:lineRule="atLeast"/>
      <w:jc w:val="both"/>
      <w:outlineLvl w:val="1"/>
    </w:pPr>
    <w:rPr>
      <w:rFonts w:ascii="Times New Roman" w:eastAsia="宋体" w:hAnsi="Times New Roman" w:cs="Times New Roman"/>
      <w:b/>
      <w:color w:val="000000"/>
      <w:szCs w:val="24"/>
    </w:rPr>
  </w:style>
  <w:style w:type="character" w:customStyle="1" w:styleId="2Char1">
    <w:name w:val="立信附注标题 [2级] Char"/>
    <w:link w:val="21"/>
    <w:rsid w:val="00921700"/>
    <w:rPr>
      <w:rFonts w:ascii="Times New Roman" w:eastAsia="宋体" w:hAnsi="Times New Roman" w:cs="Times New Roman"/>
      <w:b/>
      <w:color w:val="000000"/>
      <w:szCs w:val="24"/>
    </w:rPr>
  </w:style>
  <w:style w:type="table" w:customStyle="1" w:styleId="a5">
    <w:name w:val="立信年报表格"/>
    <w:basedOn w:val="a1"/>
    <w:rsid w:val="00921700"/>
    <w:pPr>
      <w:jc w:val="both"/>
    </w:pPr>
    <w:rPr>
      <w:rFonts w:ascii="Times New Roman" w:eastAsia="宋体" w:hAnsi="Times New Roman" w:cs="Times New Roman"/>
      <w:color w:val="000000"/>
      <w:sz w:val="18"/>
    </w:rPr>
    <w:tblPr>
      <w:tblBorders>
        <w:top w:val="single" w:sz="12" w:space="0" w:color="auto"/>
        <w:bottom w:val="single" w:sz="12" w:space="0" w:color="auto"/>
        <w:insideH w:val="dotted" w:sz="4" w:space="0" w:color="auto"/>
        <w:insideV w:val="dotted" w:sz="4" w:space="0" w:color="auto"/>
      </w:tblBorders>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table" w:customStyle="1" w:styleId="22">
    <w:name w:val="立信年报表格 [2级]"/>
    <w:basedOn w:val="a1"/>
    <w:rsid w:val="00921700"/>
    <w:pPr>
      <w:spacing w:line="400" w:lineRule="atLeast"/>
      <w:jc w:val="both"/>
    </w:pPr>
    <w:rPr>
      <w:rFonts w:ascii="Times New Roman" w:eastAsia="宋体" w:hAnsi="Times New Roman" w:cs="Times New Roman"/>
      <w:color w:val="000000"/>
      <w:sz w:val="18"/>
      <w:szCs w:val="21"/>
    </w:rPr>
    <w:tblPr>
      <w:tblInd w:w="714" w:type="dxa"/>
      <w:tblBorders>
        <w:top w:val="single" w:sz="12" w:space="0" w:color="auto"/>
        <w:bottom w:val="single" w:sz="12" w:space="0" w:color="auto"/>
        <w:insideH w:val="dotted" w:sz="4" w:space="0" w:color="auto"/>
        <w:insideV w:val="dotted" w:sz="4" w:space="0" w:color="auto"/>
      </w:tblBorders>
    </w:tblPr>
    <w:tcPr>
      <w:shd w:val="clear" w:color="auto" w:fill="auto"/>
    </w:tcPr>
  </w:style>
  <w:style w:type="paragraph" w:styleId="a6">
    <w:name w:val="Date"/>
    <w:basedOn w:val="a"/>
    <w:next w:val="a"/>
    <w:link w:val="Char"/>
    <w:uiPriority w:val="99"/>
    <w:semiHidden/>
    <w:unhideWhenUsed/>
    <w:rsid w:val="00921700"/>
    <w:pPr>
      <w:ind w:leftChars="2500" w:left="100"/>
    </w:pPr>
  </w:style>
  <w:style w:type="character" w:customStyle="1" w:styleId="Char">
    <w:name w:val="日期 Char"/>
    <w:basedOn w:val="a0"/>
    <w:link w:val="a6"/>
    <w:uiPriority w:val="99"/>
    <w:semiHidden/>
    <w:rsid w:val="00921700"/>
  </w:style>
  <w:style w:type="paragraph" w:customStyle="1" w:styleId="31">
    <w:name w:val="立信附注正文 [3级]"/>
    <w:link w:val="3Char0"/>
    <w:rsid w:val="00921700"/>
    <w:pPr>
      <w:widowControl w:val="0"/>
      <w:tabs>
        <w:tab w:val="left" w:pos="0"/>
      </w:tabs>
      <w:adjustRightInd w:val="0"/>
      <w:snapToGrid w:val="0"/>
      <w:spacing w:line="400" w:lineRule="atLeast"/>
      <w:ind w:left="1276"/>
      <w:jc w:val="both"/>
    </w:pPr>
    <w:rPr>
      <w:rFonts w:ascii="Times New Roman" w:eastAsia="宋体" w:hAnsi="Times New Roman" w:cs="Times New Roman"/>
      <w:color w:val="000000"/>
      <w:szCs w:val="21"/>
    </w:rPr>
  </w:style>
  <w:style w:type="character" w:customStyle="1" w:styleId="3Char0">
    <w:name w:val="立信附注正文 [3级] Char"/>
    <w:basedOn w:val="a0"/>
    <w:link w:val="31"/>
    <w:rsid w:val="00921700"/>
    <w:rPr>
      <w:rFonts w:ascii="Times New Roman" w:eastAsia="宋体" w:hAnsi="Times New Roman" w:cs="Times New Roman"/>
      <w:color w:val="000000"/>
      <w:szCs w:val="21"/>
    </w:rPr>
  </w:style>
  <w:style w:type="paragraph" w:styleId="a7">
    <w:name w:val="Balloon Text"/>
    <w:basedOn w:val="a"/>
    <w:link w:val="Char0"/>
    <w:uiPriority w:val="99"/>
    <w:semiHidden/>
    <w:unhideWhenUsed/>
    <w:rsid w:val="00921700"/>
    <w:rPr>
      <w:sz w:val="18"/>
      <w:szCs w:val="18"/>
    </w:rPr>
  </w:style>
  <w:style w:type="character" w:customStyle="1" w:styleId="Char0">
    <w:name w:val="批注框文本 Char"/>
    <w:basedOn w:val="a0"/>
    <w:link w:val="a7"/>
    <w:uiPriority w:val="99"/>
    <w:semiHidden/>
    <w:rsid w:val="00921700"/>
    <w:rPr>
      <w:sz w:val="18"/>
      <w:szCs w:val="18"/>
    </w:rPr>
  </w:style>
  <w:style w:type="paragraph" w:styleId="a8">
    <w:name w:val="header"/>
    <w:aliases w:val="页眉2"/>
    <w:basedOn w:val="a"/>
    <w:link w:val="Char1"/>
    <w:uiPriority w:val="99"/>
    <w:unhideWhenUsed/>
    <w:qFormat/>
    <w:rsid w:val="00921700"/>
    <w:pPr>
      <w:pBdr>
        <w:bottom w:val="single" w:sz="6" w:space="1" w:color="auto"/>
      </w:pBdr>
      <w:tabs>
        <w:tab w:val="center" w:pos="4153"/>
        <w:tab w:val="right" w:pos="8306"/>
      </w:tabs>
      <w:snapToGrid w:val="0"/>
      <w:jc w:val="center"/>
    </w:pPr>
    <w:rPr>
      <w:sz w:val="18"/>
      <w:szCs w:val="18"/>
    </w:rPr>
  </w:style>
  <w:style w:type="character" w:customStyle="1" w:styleId="Char1">
    <w:name w:val="页眉 Char"/>
    <w:aliases w:val="页眉2 Char"/>
    <w:basedOn w:val="a0"/>
    <w:link w:val="a8"/>
    <w:uiPriority w:val="99"/>
    <w:qFormat/>
    <w:rsid w:val="00921700"/>
    <w:rPr>
      <w:sz w:val="18"/>
      <w:szCs w:val="18"/>
    </w:rPr>
  </w:style>
  <w:style w:type="paragraph" w:styleId="a9">
    <w:name w:val="footer"/>
    <w:basedOn w:val="a"/>
    <w:link w:val="Char2"/>
    <w:uiPriority w:val="99"/>
    <w:unhideWhenUsed/>
    <w:qFormat/>
    <w:rsid w:val="00921700"/>
    <w:pPr>
      <w:tabs>
        <w:tab w:val="center" w:pos="4153"/>
        <w:tab w:val="right" w:pos="8306"/>
      </w:tabs>
      <w:snapToGrid w:val="0"/>
      <w:jc w:val="left"/>
    </w:pPr>
    <w:rPr>
      <w:sz w:val="18"/>
      <w:szCs w:val="18"/>
    </w:rPr>
  </w:style>
  <w:style w:type="character" w:customStyle="1" w:styleId="Char2">
    <w:name w:val="页脚 Char"/>
    <w:basedOn w:val="a0"/>
    <w:link w:val="a9"/>
    <w:uiPriority w:val="99"/>
    <w:qFormat/>
    <w:rsid w:val="00921700"/>
    <w:rPr>
      <w:sz w:val="18"/>
      <w:szCs w:val="18"/>
    </w:rPr>
  </w:style>
  <w:style w:type="paragraph" w:customStyle="1" w:styleId="003">
    <w:name w:val="003三级标题"/>
    <w:basedOn w:val="a"/>
    <w:link w:val="003Char"/>
    <w:qFormat/>
    <w:rsid w:val="00921700"/>
    <w:pPr>
      <w:keepNext/>
      <w:keepLines/>
      <w:spacing w:beforeLines="50" w:afterLines="50" w:line="360" w:lineRule="auto"/>
      <w:outlineLvl w:val="2"/>
    </w:pPr>
    <w:rPr>
      <w:rFonts w:ascii="Times New Roman" w:eastAsia="黑体" w:hAnsi="Times New Roman" w:cs="Times New Roman"/>
      <w:b/>
      <w:bCs/>
      <w:sz w:val="24"/>
      <w:szCs w:val="28"/>
      <w:lang w:val="zh-CN"/>
    </w:rPr>
  </w:style>
  <w:style w:type="character" w:customStyle="1" w:styleId="003Char">
    <w:name w:val="003三级标题 Char"/>
    <w:link w:val="003"/>
    <w:rsid w:val="00921700"/>
    <w:rPr>
      <w:rFonts w:ascii="Times New Roman" w:eastAsia="黑体" w:hAnsi="Times New Roman" w:cs="Times New Roman"/>
      <w:b/>
      <w:bCs/>
      <w:sz w:val="24"/>
      <w:szCs w:val="28"/>
      <w:lang w:val="zh-CN"/>
    </w:rPr>
  </w:style>
  <w:style w:type="paragraph" w:customStyle="1" w:styleId="3">
    <w:name w:val="立信附注标题 [3级]"/>
    <w:next w:val="31"/>
    <w:link w:val="3Char1"/>
    <w:rsid w:val="00921700"/>
    <w:pPr>
      <w:widowControl w:val="0"/>
      <w:numPr>
        <w:ilvl w:val="2"/>
        <w:numId w:val="2"/>
      </w:numPr>
      <w:tabs>
        <w:tab w:val="left" w:pos="0"/>
      </w:tabs>
      <w:adjustRightInd w:val="0"/>
      <w:snapToGrid w:val="0"/>
      <w:spacing w:line="400" w:lineRule="atLeast"/>
      <w:jc w:val="both"/>
      <w:outlineLvl w:val="2"/>
    </w:pPr>
    <w:rPr>
      <w:rFonts w:ascii="Times New Roman" w:eastAsia="宋体" w:hAnsi="Times New Roman" w:cs="Times New Roman"/>
      <w:b/>
      <w:color w:val="000000"/>
    </w:rPr>
  </w:style>
  <w:style w:type="character" w:customStyle="1" w:styleId="3Char1">
    <w:name w:val="立信附注标题 [3级] Char"/>
    <w:basedOn w:val="a0"/>
    <w:link w:val="3"/>
    <w:rsid w:val="00921700"/>
    <w:rPr>
      <w:rFonts w:ascii="Times New Roman" w:eastAsia="宋体" w:hAnsi="Times New Roman" w:cs="Times New Roman"/>
      <w:b/>
      <w:color w:val="000000"/>
    </w:rPr>
  </w:style>
  <w:style w:type="character" w:customStyle="1" w:styleId="005Char">
    <w:name w:val="005正文 Char"/>
    <w:link w:val="005"/>
    <w:qFormat/>
    <w:rsid w:val="00921700"/>
    <w:rPr>
      <w:rFonts w:ascii="Times New Roman" w:eastAsia="宋体" w:hAnsi="Times New Roman" w:cs="Times New Roman"/>
      <w:sz w:val="24"/>
    </w:rPr>
  </w:style>
  <w:style w:type="paragraph" w:customStyle="1" w:styleId="005">
    <w:name w:val="005正文"/>
    <w:basedOn w:val="a"/>
    <w:link w:val="005Char"/>
    <w:qFormat/>
    <w:rsid w:val="00921700"/>
    <w:pPr>
      <w:spacing w:beforeLines="50" w:line="360" w:lineRule="auto"/>
      <w:ind w:firstLineChars="200" w:firstLine="200"/>
    </w:pPr>
    <w:rPr>
      <w:rFonts w:ascii="Times New Roman" w:eastAsia="宋体" w:hAnsi="Times New Roman" w:cs="Times New Roman"/>
      <w:sz w:val="24"/>
    </w:rPr>
  </w:style>
  <w:style w:type="table" w:styleId="aa">
    <w:name w:val="Table Grid"/>
    <w:basedOn w:val="a1"/>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2"/>
    <w:uiPriority w:val="99"/>
    <w:semiHidden/>
    <w:unhideWhenUsed/>
    <w:rsid w:val="00921700"/>
  </w:style>
  <w:style w:type="table" w:customStyle="1" w:styleId="12">
    <w:name w:val="网格型1"/>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921700"/>
    <w:rPr>
      <w:sz w:val="21"/>
      <w:szCs w:val="21"/>
    </w:rPr>
  </w:style>
  <w:style w:type="paragraph" w:styleId="ac">
    <w:name w:val="annotation text"/>
    <w:basedOn w:val="a"/>
    <w:link w:val="Char3"/>
    <w:uiPriority w:val="99"/>
    <w:unhideWhenUsed/>
    <w:rsid w:val="00921700"/>
    <w:pPr>
      <w:jc w:val="left"/>
    </w:pPr>
  </w:style>
  <w:style w:type="character" w:customStyle="1" w:styleId="Char3">
    <w:name w:val="批注文字 Char"/>
    <w:basedOn w:val="a0"/>
    <w:link w:val="ac"/>
    <w:uiPriority w:val="99"/>
    <w:rsid w:val="00921700"/>
  </w:style>
  <w:style w:type="paragraph" w:styleId="ad">
    <w:name w:val="annotation subject"/>
    <w:basedOn w:val="ac"/>
    <w:next w:val="ac"/>
    <w:link w:val="Char4"/>
    <w:uiPriority w:val="99"/>
    <w:semiHidden/>
    <w:unhideWhenUsed/>
    <w:rsid w:val="00921700"/>
    <w:rPr>
      <w:b/>
      <w:bCs/>
    </w:rPr>
  </w:style>
  <w:style w:type="character" w:customStyle="1" w:styleId="Char4">
    <w:name w:val="批注主题 Char"/>
    <w:basedOn w:val="Char3"/>
    <w:link w:val="ad"/>
    <w:uiPriority w:val="99"/>
    <w:semiHidden/>
    <w:rsid w:val="00921700"/>
    <w:rPr>
      <w:b/>
      <w:bCs/>
    </w:rPr>
  </w:style>
  <w:style w:type="numbering" w:customStyle="1" w:styleId="23">
    <w:name w:val="无列表2"/>
    <w:next w:val="a2"/>
    <w:uiPriority w:val="99"/>
    <w:semiHidden/>
    <w:unhideWhenUsed/>
    <w:rsid w:val="00921700"/>
  </w:style>
  <w:style w:type="numbering" w:customStyle="1" w:styleId="32">
    <w:name w:val="无列表3"/>
    <w:next w:val="a2"/>
    <w:uiPriority w:val="99"/>
    <w:semiHidden/>
    <w:unhideWhenUsed/>
    <w:rsid w:val="00921700"/>
  </w:style>
  <w:style w:type="paragraph" w:customStyle="1" w:styleId="ae">
    <w:name w:val="答复中问题"/>
    <w:basedOn w:val="a"/>
    <w:link w:val="Char5"/>
    <w:qFormat/>
    <w:rsid w:val="00921700"/>
    <w:pPr>
      <w:spacing w:beforeLines="50" w:afterLines="50" w:line="360" w:lineRule="auto"/>
    </w:pPr>
    <w:rPr>
      <w:rFonts w:ascii="黑体" w:eastAsia="黑体" w:hAnsi="黑体" w:cs="Times New Roman"/>
      <w:b/>
      <w:sz w:val="24"/>
      <w:szCs w:val="24"/>
    </w:rPr>
  </w:style>
  <w:style w:type="character" w:customStyle="1" w:styleId="Char5">
    <w:name w:val="答复中问题 Char"/>
    <w:link w:val="ae"/>
    <w:qFormat/>
    <w:rsid w:val="00921700"/>
    <w:rPr>
      <w:rFonts w:ascii="黑体" w:eastAsia="黑体" w:hAnsi="黑体" w:cs="Times New Roman"/>
      <w:b/>
      <w:sz w:val="24"/>
      <w:szCs w:val="24"/>
    </w:rPr>
  </w:style>
  <w:style w:type="numbering" w:customStyle="1" w:styleId="4">
    <w:name w:val="无列表4"/>
    <w:next w:val="a2"/>
    <w:uiPriority w:val="99"/>
    <w:semiHidden/>
    <w:unhideWhenUsed/>
    <w:rsid w:val="00921700"/>
  </w:style>
  <w:style w:type="table" w:customStyle="1" w:styleId="24">
    <w:name w:val="网格型2"/>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无列表5"/>
    <w:next w:val="a2"/>
    <w:uiPriority w:val="99"/>
    <w:semiHidden/>
    <w:unhideWhenUsed/>
    <w:rsid w:val="00921700"/>
  </w:style>
  <w:style w:type="table" w:customStyle="1" w:styleId="40">
    <w:name w:val="网格型4"/>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921700"/>
  </w:style>
  <w:style w:type="table" w:customStyle="1" w:styleId="111">
    <w:name w:val="网格型11"/>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a"/>
    <w:uiPriority w:val="39"/>
    <w:rsid w:val="0092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答复"/>
    <w:basedOn w:val="a"/>
    <w:qFormat/>
    <w:rsid w:val="00301623"/>
    <w:pPr>
      <w:spacing w:beforeLines="50" w:before="156" w:afterLines="50" w:after="156" w:line="360" w:lineRule="auto"/>
      <w:ind w:firstLineChars="200" w:firstLine="482"/>
    </w:pPr>
    <w:rPr>
      <w:rFonts w:ascii="Times New Roman" w:eastAsia="宋体" w:hAnsi="Times New Roman"/>
      <w:b/>
      <w:bCs/>
      <w:sz w:val="24"/>
      <w:szCs w:val="28"/>
      <w:u w:val="double"/>
    </w:rPr>
  </w:style>
  <w:style w:type="paragraph" w:customStyle="1" w:styleId="af0">
    <w:name w:val="问题（一）"/>
    <w:basedOn w:val="a"/>
    <w:qFormat/>
    <w:rsid w:val="00301623"/>
    <w:pPr>
      <w:spacing w:beforeLines="50" w:before="156" w:afterLines="50" w:after="156" w:line="360" w:lineRule="auto"/>
      <w:ind w:firstLineChars="200" w:firstLine="482"/>
      <w:outlineLvl w:val="2"/>
    </w:pPr>
    <w:rPr>
      <w:rFonts w:ascii="黑体" w:eastAsia="黑体" w:hAnsi="黑体"/>
      <w:b/>
      <w:bCs/>
      <w:sz w:val="24"/>
      <w:szCs w:val="28"/>
    </w:rPr>
  </w:style>
  <w:style w:type="paragraph" w:styleId="13">
    <w:name w:val="toc 1"/>
    <w:basedOn w:val="a"/>
    <w:next w:val="a"/>
    <w:autoRedefine/>
    <w:uiPriority w:val="39"/>
    <w:unhideWhenUsed/>
    <w:rsid w:val="00301623"/>
    <w:pPr>
      <w:tabs>
        <w:tab w:val="right" w:leader="dot" w:pos="8296"/>
      </w:tabs>
      <w:spacing w:line="360" w:lineRule="auto"/>
      <w:jc w:val="center"/>
    </w:pPr>
    <w:rPr>
      <w:rFonts w:ascii="宋体" w:eastAsia="宋体" w:hAnsi="宋体"/>
      <w:sz w:val="28"/>
      <w:szCs w:val="32"/>
    </w:rPr>
  </w:style>
  <w:style w:type="paragraph" w:styleId="25">
    <w:name w:val="toc 2"/>
    <w:basedOn w:val="a"/>
    <w:next w:val="a"/>
    <w:autoRedefine/>
    <w:uiPriority w:val="39"/>
    <w:unhideWhenUsed/>
    <w:rsid w:val="00301623"/>
    <w:pPr>
      <w:ind w:leftChars="200" w:left="420"/>
    </w:pPr>
  </w:style>
  <w:style w:type="paragraph" w:styleId="34">
    <w:name w:val="toc 3"/>
    <w:basedOn w:val="a"/>
    <w:next w:val="a"/>
    <w:autoRedefine/>
    <w:uiPriority w:val="39"/>
    <w:unhideWhenUsed/>
    <w:rsid w:val="00301623"/>
    <w:pPr>
      <w:ind w:leftChars="400" w:left="840"/>
    </w:pPr>
  </w:style>
  <w:style w:type="paragraph" w:styleId="41">
    <w:name w:val="toc 4"/>
    <w:basedOn w:val="a"/>
    <w:next w:val="a"/>
    <w:autoRedefine/>
    <w:uiPriority w:val="39"/>
    <w:unhideWhenUsed/>
    <w:rsid w:val="00301623"/>
    <w:pPr>
      <w:ind w:leftChars="600" w:left="1260"/>
    </w:pPr>
  </w:style>
  <w:style w:type="paragraph" w:styleId="51">
    <w:name w:val="toc 5"/>
    <w:basedOn w:val="a"/>
    <w:next w:val="a"/>
    <w:autoRedefine/>
    <w:uiPriority w:val="39"/>
    <w:unhideWhenUsed/>
    <w:rsid w:val="00301623"/>
    <w:pPr>
      <w:ind w:leftChars="800" w:left="1680"/>
    </w:pPr>
  </w:style>
  <w:style w:type="paragraph" w:styleId="6">
    <w:name w:val="toc 6"/>
    <w:basedOn w:val="a"/>
    <w:next w:val="a"/>
    <w:autoRedefine/>
    <w:uiPriority w:val="39"/>
    <w:unhideWhenUsed/>
    <w:rsid w:val="00301623"/>
    <w:pPr>
      <w:ind w:leftChars="1000" w:left="2100"/>
    </w:pPr>
  </w:style>
  <w:style w:type="paragraph" w:styleId="7">
    <w:name w:val="toc 7"/>
    <w:basedOn w:val="a"/>
    <w:next w:val="a"/>
    <w:autoRedefine/>
    <w:uiPriority w:val="39"/>
    <w:unhideWhenUsed/>
    <w:rsid w:val="00301623"/>
    <w:pPr>
      <w:ind w:leftChars="1200" w:left="2520"/>
    </w:pPr>
  </w:style>
  <w:style w:type="paragraph" w:styleId="8">
    <w:name w:val="toc 8"/>
    <w:basedOn w:val="a"/>
    <w:next w:val="a"/>
    <w:autoRedefine/>
    <w:uiPriority w:val="39"/>
    <w:unhideWhenUsed/>
    <w:rsid w:val="00301623"/>
    <w:pPr>
      <w:ind w:leftChars="1400" w:left="2940"/>
    </w:pPr>
  </w:style>
  <w:style w:type="paragraph" w:styleId="9">
    <w:name w:val="toc 9"/>
    <w:basedOn w:val="a"/>
    <w:next w:val="a"/>
    <w:autoRedefine/>
    <w:uiPriority w:val="39"/>
    <w:unhideWhenUsed/>
    <w:rsid w:val="00301623"/>
    <w:pPr>
      <w:ind w:leftChars="1600" w:left="3360"/>
    </w:pPr>
  </w:style>
  <w:style w:type="character" w:styleId="af1">
    <w:name w:val="Hyperlink"/>
    <w:basedOn w:val="a0"/>
    <w:uiPriority w:val="99"/>
    <w:unhideWhenUsed/>
    <w:rsid w:val="00301623"/>
    <w:rPr>
      <w:color w:val="0563C1" w:themeColor="hyperlink"/>
      <w:u w:val="single"/>
    </w:rPr>
  </w:style>
  <w:style w:type="character" w:customStyle="1" w:styleId="UnresolvedMention">
    <w:name w:val="Unresolved Mention"/>
    <w:basedOn w:val="a0"/>
    <w:uiPriority w:val="99"/>
    <w:semiHidden/>
    <w:unhideWhenUsed/>
    <w:rsid w:val="00301623"/>
    <w:rPr>
      <w:color w:val="605E5C"/>
      <w:shd w:val="clear" w:color="auto" w:fill="E1DFDD"/>
    </w:rPr>
  </w:style>
  <w:style w:type="paragraph" w:styleId="af2">
    <w:name w:val="footnote text"/>
    <w:basedOn w:val="a"/>
    <w:link w:val="Char6"/>
    <w:uiPriority w:val="99"/>
    <w:semiHidden/>
    <w:unhideWhenUsed/>
    <w:rsid w:val="00301623"/>
    <w:pPr>
      <w:snapToGrid w:val="0"/>
      <w:jc w:val="left"/>
    </w:pPr>
    <w:rPr>
      <w:sz w:val="18"/>
      <w:szCs w:val="18"/>
    </w:rPr>
  </w:style>
  <w:style w:type="character" w:customStyle="1" w:styleId="Char6">
    <w:name w:val="脚注文本 Char"/>
    <w:basedOn w:val="a0"/>
    <w:link w:val="af2"/>
    <w:uiPriority w:val="99"/>
    <w:semiHidden/>
    <w:rsid w:val="00301623"/>
    <w:rPr>
      <w:sz w:val="18"/>
      <w:szCs w:val="18"/>
    </w:rPr>
  </w:style>
  <w:style w:type="character" w:styleId="af3">
    <w:name w:val="footnote reference"/>
    <w:basedOn w:val="a0"/>
    <w:uiPriority w:val="99"/>
    <w:semiHidden/>
    <w:unhideWhenUsed/>
    <w:rsid w:val="00301623"/>
    <w:rPr>
      <w:vertAlign w:val="superscript"/>
    </w:rPr>
  </w:style>
  <w:style w:type="paragraph" w:styleId="af4">
    <w:name w:val="Revision"/>
    <w:hidden/>
    <w:uiPriority w:val="99"/>
    <w:semiHidden/>
    <w:rsid w:val="00301623"/>
  </w:style>
  <w:style w:type="character" w:styleId="af5">
    <w:name w:val="FollowedHyperlink"/>
    <w:basedOn w:val="a0"/>
    <w:uiPriority w:val="99"/>
    <w:semiHidden/>
    <w:unhideWhenUsed/>
    <w:rsid w:val="00301623"/>
    <w:rPr>
      <w:color w:val="954F72" w:themeColor="followedHyperlink"/>
      <w:u w:val="single"/>
    </w:rPr>
  </w:style>
  <w:style w:type="paragraph" w:customStyle="1" w:styleId="af6">
    <w:name w:val="问题"/>
    <w:basedOn w:val="a"/>
    <w:qFormat/>
    <w:rsid w:val="00301623"/>
    <w:pPr>
      <w:spacing w:beforeLines="50" w:before="156" w:afterLines="50" w:after="156" w:line="360" w:lineRule="auto"/>
      <w:ind w:firstLineChars="200" w:firstLine="482"/>
      <w:outlineLvl w:val="0"/>
    </w:pPr>
    <w:rPr>
      <w:rFonts w:ascii="Times New Roman" w:eastAsia="宋体" w:hAnsi="Times New Roman"/>
      <w:b/>
      <w:bCs/>
      <w:sz w:val="24"/>
      <w:szCs w:val="28"/>
    </w:rPr>
  </w:style>
  <w:style w:type="paragraph" w:customStyle="1" w:styleId="14">
    <w:name w:val="正文1"/>
    <w:basedOn w:val="a"/>
    <w:qFormat/>
    <w:rsid w:val="00301623"/>
    <w:pPr>
      <w:widowControl/>
      <w:autoSpaceDE w:val="0"/>
      <w:autoSpaceDN w:val="0"/>
      <w:adjustRightInd w:val="0"/>
      <w:spacing w:beforeLines="50" w:before="156" w:afterLines="50" w:after="156" w:line="360" w:lineRule="auto"/>
      <w:ind w:firstLineChars="200" w:firstLine="480"/>
    </w:pPr>
    <w:rPr>
      <w:rFonts w:ascii="Times New Roman" w:eastAsia="宋体" w:hAnsi="Times New Roman" w:cs="宋体"/>
      <w:kern w:val="0"/>
      <w:sz w:val="24"/>
      <w:szCs w:val="24"/>
    </w:rPr>
  </w:style>
  <w:style w:type="paragraph" w:customStyle="1" w:styleId="af7">
    <w:name w:val="披露正文"/>
    <w:basedOn w:val="a"/>
    <w:qFormat/>
    <w:rsid w:val="00301623"/>
    <w:pPr>
      <w:spacing w:beforeLines="50" w:before="156" w:afterLines="50" w:after="156" w:line="360" w:lineRule="auto"/>
      <w:ind w:firstLineChars="200" w:firstLine="482"/>
    </w:pPr>
    <w:rPr>
      <w:rFonts w:ascii="楷体" w:eastAsia="楷体" w:hAnsi="楷体" w:cs="Times New Roman"/>
      <w:b/>
      <w:bCs/>
      <w:color w:val="000000"/>
      <w:kern w:val="0"/>
      <w:sz w:val="24"/>
      <w:szCs w:val="24"/>
      <w:lang w:bidi="en-US"/>
    </w:rPr>
  </w:style>
  <w:style w:type="table" w:customStyle="1" w:styleId="15">
    <w:name w:val="样式1"/>
    <w:basedOn w:val="a1"/>
    <w:uiPriority w:val="99"/>
    <w:rsid w:val="006E49A8"/>
    <w:pPr>
      <w:jc w:val="center"/>
    </w:pPr>
    <w:rPr>
      <w:rFonts w:ascii="KaiTi" w:eastAsia="KaiTi" w:cs="Times New Roman (正文 CS 字体)"/>
      <w:b/>
      <w:szCs w:val="24"/>
    </w:rPr>
    <w:tblPr>
      <w:jc w:val="center"/>
      <w:tblBorders>
        <w:top w:val="single" w:sz="12" w:space="0" w:color="313196"/>
        <w:left w:val="single" w:sz="4" w:space="0" w:color="313196"/>
        <w:bottom w:val="single" w:sz="12" w:space="0" w:color="313196"/>
        <w:right w:val="single" w:sz="4" w:space="0" w:color="313196"/>
        <w:insideH w:val="single" w:sz="4" w:space="0" w:color="313196"/>
        <w:insideV w:val="single" w:sz="4" w:space="0" w:color="313196"/>
      </w:tblBorders>
    </w:tblPr>
    <w:trPr>
      <w:jc w:val="center"/>
    </w:trPr>
    <w:tcPr>
      <w:vAlign w:val="center"/>
    </w:tcPr>
  </w:style>
  <w:style w:type="paragraph" w:customStyle="1" w:styleId="af8">
    <w:name w:val="【补充】/【说明】"/>
    <w:basedOn w:val="a"/>
    <w:qFormat/>
    <w:rsid w:val="006E49A8"/>
    <w:pPr>
      <w:spacing w:beforeLines="50" w:before="156" w:afterLines="50" w:after="156" w:line="360" w:lineRule="auto"/>
      <w:ind w:firstLineChars="200" w:firstLine="482"/>
      <w:outlineLvl w:val="1"/>
    </w:pPr>
    <w:rPr>
      <w:rFonts w:ascii="宋体" w:eastAsia="宋体" w:hAnsi="宋体" w:cs="Times New Roman"/>
      <w:b/>
      <w:bCs/>
      <w:sz w:val="24"/>
      <w:szCs w:val="24"/>
    </w:rPr>
  </w:style>
  <w:style w:type="paragraph" w:customStyle="1" w:styleId="af9">
    <w:name w:val="（问题）"/>
    <w:basedOn w:val="a"/>
    <w:qFormat/>
    <w:rsid w:val="006E49A8"/>
    <w:pPr>
      <w:spacing w:beforeLines="50" w:before="156" w:afterLines="50" w:after="156" w:line="360" w:lineRule="auto"/>
      <w:ind w:firstLineChars="200" w:firstLine="482"/>
      <w:outlineLvl w:val="2"/>
    </w:pPr>
    <w:rPr>
      <w:rFonts w:ascii="黑体" w:eastAsia="黑体" w:hAnsi="黑体" w:cs="Times New Roman"/>
      <w:b/>
      <w:bCs/>
      <w:sz w:val="24"/>
      <w:szCs w:val="24"/>
    </w:rPr>
  </w:style>
  <w:style w:type="paragraph" w:customStyle="1" w:styleId="afa">
    <w:name w:val="（核查过程/结论）"/>
    <w:basedOn w:val="a"/>
    <w:qFormat/>
    <w:rsid w:val="006E49A8"/>
    <w:pPr>
      <w:spacing w:beforeLines="50" w:before="156" w:afterLines="50" w:after="156" w:line="360" w:lineRule="auto"/>
      <w:ind w:firstLineChars="200" w:firstLine="482"/>
      <w:jc w:val="left"/>
      <w:outlineLvl w:val="2"/>
    </w:pPr>
    <w:rPr>
      <w:rFonts w:ascii="宋体" w:eastAsia="Times New Roman" w:hAnsi="宋体" w:cs="Times New Roman"/>
      <w:b/>
      <w:color w:val="000000"/>
      <w:kern w:val="0"/>
      <w:sz w:val="24"/>
      <w:szCs w:val="24"/>
      <w:lang w:bidi="en-US"/>
    </w:rPr>
  </w:style>
  <w:style w:type="character" w:customStyle="1" w:styleId="26">
    <w:name w:val="批注文字 字符2"/>
    <w:locked/>
    <w:rsid w:val="006E49A8"/>
    <w:rPr>
      <w:kern w:val="2"/>
      <w:sz w:val="21"/>
    </w:rPr>
  </w:style>
  <w:style w:type="paragraph" w:styleId="afb">
    <w:name w:val="No Spacing"/>
    <w:aliases w:val="表格正文"/>
    <w:uiPriority w:val="1"/>
    <w:qFormat/>
    <w:rsid w:val="006E49A8"/>
    <w:pPr>
      <w:widowControl w:val="0"/>
      <w:snapToGrid w:val="0"/>
      <w:spacing w:beforeLines="30" w:before="30" w:afterLines="30" w:after="30"/>
      <w:jc w:val="both"/>
    </w:pPr>
    <w:rPr>
      <w:rFonts w:ascii="Times New Roman" w:eastAsia="宋体" w:hAnsi="Times New Roman" w:cs="Times New Roman"/>
      <w:szCs w:val="20"/>
    </w:rPr>
  </w:style>
  <w:style w:type="character" w:customStyle="1" w:styleId="16">
    <w:name w:val="未处理的提及1"/>
    <w:basedOn w:val="a0"/>
    <w:uiPriority w:val="99"/>
    <w:semiHidden/>
    <w:unhideWhenUsed/>
    <w:rsid w:val="007767AE"/>
    <w:rPr>
      <w:color w:val="605E5C"/>
      <w:shd w:val="clear" w:color="auto" w:fill="E1DFDD"/>
    </w:rPr>
  </w:style>
  <w:style w:type="character" w:styleId="afc">
    <w:name w:val="page number"/>
    <w:basedOn w:val="a0"/>
    <w:uiPriority w:val="99"/>
    <w:semiHidden/>
    <w:unhideWhenUsed/>
    <w:rsid w:val="008C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15E1-FF8A-4015-ACCF-904D3DDA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42</Pages>
  <Words>5613</Words>
  <Characters>31995</Characters>
  <Application>Microsoft Office Word</Application>
  <DocSecurity>0</DocSecurity>
  <Lines>266</Lines>
  <Paragraphs>75</Paragraphs>
  <ScaleCrop>false</ScaleCrop>
  <Company/>
  <LinksUpToDate>false</LinksUpToDate>
  <CharactersWithSpaces>37533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Weicheng</dc:creator>
  <cp:keywords/>
  <dc:description/>
  <cp:lastModifiedBy>rd</cp:lastModifiedBy>
  <cp:revision>14</cp:revision>
  <cp:lastPrinted>2021-03-22T09:26:00Z</cp:lastPrinted>
  <dcterms:created xsi:type="dcterms:W3CDTF">2020-11-16T01:56:00Z</dcterms:created>
  <dcterms:modified xsi:type="dcterms:W3CDTF">2021-03-27T16:08:00Z</dcterms:modified>
</cp:coreProperties>
</file>