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0D2" w:rsidRPr="0095224C" w:rsidRDefault="00B050D2" w:rsidP="00B050D2">
      <w:pPr>
        <w:widowControl/>
        <w:jc w:val="center"/>
        <w:rPr>
          <w:rFonts w:ascii="华文楷体" w:eastAsia="华文楷体" w:hAnsi="华文楷体" w:cs="Times New Roman" w:hint="eastAsia"/>
          <w:b/>
          <w:sz w:val="40"/>
          <w:szCs w:val="20"/>
        </w:rPr>
      </w:pPr>
    </w:p>
    <w:p w:rsidR="00B050D2" w:rsidRPr="0095224C" w:rsidRDefault="00B050D2" w:rsidP="00B050D2">
      <w:pPr>
        <w:widowControl/>
        <w:jc w:val="center"/>
        <w:rPr>
          <w:rFonts w:ascii="华文楷体" w:eastAsia="华文楷体" w:hAnsi="华文楷体" w:cs="Times New Roman"/>
          <w:b/>
          <w:sz w:val="48"/>
          <w:szCs w:val="20"/>
        </w:rPr>
      </w:pPr>
    </w:p>
    <w:p w:rsidR="00B050D2" w:rsidRPr="0095224C" w:rsidRDefault="00B050D2" w:rsidP="00B050D2">
      <w:pPr>
        <w:tabs>
          <w:tab w:val="center" w:pos="4153"/>
          <w:tab w:val="center" w:pos="4204"/>
          <w:tab w:val="right" w:pos="8306"/>
        </w:tabs>
        <w:snapToGrid w:val="0"/>
        <w:ind w:right="150"/>
        <w:jc w:val="center"/>
        <w:rPr>
          <w:rFonts w:ascii="Verdana" w:eastAsia="宋体" w:hAnsi="Verdana" w:cs="Arial"/>
          <w:b/>
          <w:color w:val="333333"/>
          <w:sz w:val="20"/>
          <w:szCs w:val="20"/>
        </w:rPr>
      </w:pPr>
    </w:p>
    <w:p w:rsidR="00B050D2" w:rsidRPr="0095224C" w:rsidRDefault="00B050D2" w:rsidP="00B050D2">
      <w:pPr>
        <w:widowControl/>
        <w:snapToGrid w:val="0"/>
        <w:spacing w:line="360" w:lineRule="auto"/>
        <w:jc w:val="center"/>
        <w:rPr>
          <w:rFonts w:ascii="楷体" w:eastAsia="楷体" w:hAnsi="楷体" w:cs="Times New Roman"/>
          <w:b/>
          <w:sz w:val="48"/>
          <w:szCs w:val="48"/>
        </w:rPr>
      </w:pPr>
      <w:r w:rsidRPr="0095224C">
        <w:rPr>
          <w:rFonts w:ascii="Verdana" w:eastAsia="宋体" w:hAnsi="Verdana" w:cs="Arial"/>
          <w:b/>
          <w:noProof/>
          <w:color w:val="333333"/>
          <w:sz w:val="20"/>
          <w:szCs w:val="20"/>
        </w:rPr>
        <w:drawing>
          <wp:inline distT="0" distB="0" distL="0" distR="0" wp14:anchorId="685D1551" wp14:editId="5607B08C">
            <wp:extent cx="2371725" cy="542925"/>
            <wp:effectExtent l="0" t="0" r="9525" b="9525"/>
            <wp:docPr id="11" name="图片 11" descr="logo（横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横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542925"/>
                    </a:xfrm>
                    <a:prstGeom prst="rect">
                      <a:avLst/>
                    </a:prstGeom>
                    <a:noFill/>
                    <a:ln>
                      <a:noFill/>
                    </a:ln>
                  </pic:spPr>
                </pic:pic>
              </a:graphicData>
            </a:graphic>
          </wp:inline>
        </w:drawing>
      </w:r>
    </w:p>
    <w:p w:rsidR="00B050D2" w:rsidRPr="0095224C" w:rsidRDefault="00B050D2" w:rsidP="00903E66">
      <w:pPr>
        <w:widowControl/>
        <w:snapToGrid w:val="0"/>
        <w:spacing w:beforeLines="100" w:before="312" w:line="300" w:lineRule="auto"/>
        <w:jc w:val="center"/>
        <w:rPr>
          <w:rFonts w:ascii="楷体" w:eastAsia="楷体" w:hAnsi="楷体" w:cs="Times New Roman"/>
          <w:b/>
          <w:sz w:val="36"/>
          <w:szCs w:val="36"/>
        </w:rPr>
      </w:pPr>
      <w:r w:rsidRPr="0095224C">
        <w:rPr>
          <w:rFonts w:ascii="楷体" w:eastAsia="楷体" w:hAnsi="楷体" w:cs="Times New Roman" w:hint="eastAsia"/>
          <w:b/>
          <w:sz w:val="36"/>
          <w:szCs w:val="36"/>
        </w:rPr>
        <w:t>关于上海霍普建筑设计事务所股份有限公司</w:t>
      </w:r>
    </w:p>
    <w:p w:rsidR="00B050D2" w:rsidRPr="0095224C" w:rsidRDefault="00B050D2" w:rsidP="00903E66">
      <w:pPr>
        <w:widowControl/>
        <w:snapToGrid w:val="0"/>
        <w:spacing w:beforeLines="100" w:before="312" w:line="300" w:lineRule="auto"/>
        <w:jc w:val="center"/>
        <w:rPr>
          <w:rFonts w:ascii="楷体" w:eastAsia="楷体" w:hAnsi="楷体" w:cs="Times New Roman"/>
          <w:b/>
          <w:sz w:val="36"/>
          <w:szCs w:val="36"/>
        </w:rPr>
      </w:pPr>
      <w:r w:rsidRPr="0095224C">
        <w:rPr>
          <w:rFonts w:ascii="楷体" w:eastAsia="楷体" w:hAnsi="楷体" w:cs="Times New Roman" w:hint="eastAsia"/>
          <w:b/>
          <w:sz w:val="36"/>
          <w:szCs w:val="36"/>
        </w:rPr>
        <w:t>首次公开发行股票并在创业板上市</w:t>
      </w:r>
      <w:r w:rsidR="000372CA">
        <w:rPr>
          <w:rFonts w:ascii="楷体" w:eastAsia="楷体" w:hAnsi="楷体" w:cs="Times New Roman" w:hint="eastAsia"/>
          <w:b/>
          <w:sz w:val="36"/>
          <w:szCs w:val="36"/>
        </w:rPr>
        <w:t>的</w:t>
      </w:r>
    </w:p>
    <w:p w:rsidR="00B050D2" w:rsidRDefault="00B050D2" w:rsidP="00903E66">
      <w:pPr>
        <w:widowControl/>
        <w:snapToGrid w:val="0"/>
        <w:spacing w:beforeLines="100" w:before="312" w:line="300" w:lineRule="auto"/>
        <w:jc w:val="center"/>
        <w:rPr>
          <w:rFonts w:ascii="楷体" w:eastAsia="楷体" w:hAnsi="楷体" w:cs="Times New Roman"/>
          <w:b/>
          <w:sz w:val="36"/>
          <w:szCs w:val="36"/>
        </w:rPr>
      </w:pPr>
      <w:r>
        <w:rPr>
          <w:rFonts w:ascii="楷体" w:eastAsia="楷体" w:hAnsi="楷体" w:cs="Times New Roman" w:hint="eastAsia"/>
          <w:b/>
          <w:sz w:val="36"/>
          <w:szCs w:val="36"/>
        </w:rPr>
        <w:t>审核</w:t>
      </w:r>
      <w:r w:rsidR="000372CA">
        <w:rPr>
          <w:rFonts w:ascii="楷体" w:eastAsia="楷体" w:hAnsi="楷体" w:cs="Times New Roman" w:hint="eastAsia"/>
          <w:b/>
          <w:sz w:val="36"/>
          <w:szCs w:val="36"/>
        </w:rPr>
        <w:t>中心意见落实函</w:t>
      </w:r>
      <w:r w:rsidRPr="0095224C">
        <w:rPr>
          <w:rFonts w:ascii="楷体" w:eastAsia="楷体" w:hAnsi="楷体" w:cs="Times New Roman" w:hint="eastAsia"/>
          <w:b/>
          <w:sz w:val="36"/>
          <w:szCs w:val="36"/>
        </w:rPr>
        <w:t>的回复</w:t>
      </w:r>
    </w:p>
    <w:p w:rsidR="00566CF7" w:rsidRPr="00566CF7" w:rsidRDefault="00566CF7" w:rsidP="00903E66">
      <w:pPr>
        <w:widowControl/>
        <w:snapToGrid w:val="0"/>
        <w:spacing w:beforeLines="100" w:before="312" w:line="300" w:lineRule="auto"/>
        <w:jc w:val="center"/>
        <w:rPr>
          <w:rFonts w:ascii="楷体" w:eastAsia="楷体" w:hAnsi="楷体" w:cs="Times New Roman"/>
          <w:b/>
          <w:sz w:val="36"/>
          <w:szCs w:val="36"/>
        </w:rPr>
      </w:pPr>
      <w:r w:rsidRPr="00566CF7">
        <w:rPr>
          <w:rFonts w:ascii="楷体" w:eastAsia="楷体" w:hAnsi="楷体" w:cs="Times New Roman" w:hint="eastAsia"/>
          <w:b/>
          <w:sz w:val="36"/>
          <w:szCs w:val="36"/>
        </w:rPr>
        <w:t>（</w:t>
      </w:r>
      <w:r w:rsidRPr="00566CF7">
        <w:rPr>
          <w:rFonts w:ascii="楷体" w:eastAsia="楷体" w:hAnsi="楷体" w:cs="Times New Roman"/>
          <w:b/>
          <w:sz w:val="36"/>
          <w:szCs w:val="36"/>
        </w:rPr>
        <w:t>2020年年报数据更新）</w:t>
      </w:r>
    </w:p>
    <w:p w:rsidR="00B050D2" w:rsidRPr="0095224C" w:rsidRDefault="00B050D2" w:rsidP="00B050D2">
      <w:pPr>
        <w:jc w:val="center"/>
        <w:rPr>
          <w:rFonts w:ascii="华文楷体" w:eastAsia="华文楷体" w:hAnsi="楷体_GB2312" w:cs="Times New Roman"/>
          <w:b/>
          <w:bCs/>
          <w:sz w:val="40"/>
          <w:szCs w:val="44"/>
        </w:rPr>
      </w:pPr>
    </w:p>
    <w:p w:rsidR="00B050D2" w:rsidRPr="0095224C" w:rsidRDefault="00B050D2" w:rsidP="00B050D2">
      <w:pPr>
        <w:adjustRightInd w:val="0"/>
        <w:spacing w:line="360" w:lineRule="auto"/>
        <w:jc w:val="center"/>
        <w:textAlignment w:val="baseline"/>
        <w:rPr>
          <w:rFonts w:ascii="华文楷体" w:eastAsia="华文楷体" w:hAnsi="华文楷体" w:cs="Times New Roman"/>
          <w:b/>
          <w:sz w:val="44"/>
          <w:szCs w:val="20"/>
        </w:rPr>
      </w:pPr>
    </w:p>
    <w:p w:rsidR="00B050D2" w:rsidRPr="0095224C" w:rsidRDefault="00B050D2" w:rsidP="00B050D2">
      <w:pPr>
        <w:adjustRightInd w:val="0"/>
        <w:spacing w:line="360" w:lineRule="auto"/>
        <w:jc w:val="center"/>
        <w:textAlignment w:val="baseline"/>
        <w:rPr>
          <w:rFonts w:ascii="华文楷体" w:eastAsia="华文楷体" w:hAnsi="华文楷体" w:cs="Times New Roman"/>
          <w:b/>
          <w:sz w:val="44"/>
          <w:szCs w:val="20"/>
        </w:rPr>
      </w:pPr>
    </w:p>
    <w:p w:rsidR="00B050D2" w:rsidRPr="0095224C" w:rsidRDefault="00B050D2" w:rsidP="00B050D2">
      <w:pPr>
        <w:adjustRightInd w:val="0"/>
        <w:spacing w:line="360" w:lineRule="auto"/>
        <w:jc w:val="center"/>
        <w:textAlignment w:val="baseline"/>
        <w:rPr>
          <w:rFonts w:ascii="楷体" w:eastAsia="楷体" w:hAnsi="楷体" w:cs="Times New Roman"/>
          <w:b/>
          <w:sz w:val="28"/>
          <w:szCs w:val="28"/>
        </w:rPr>
      </w:pPr>
      <w:r w:rsidRPr="0095224C">
        <w:rPr>
          <w:rFonts w:ascii="楷体" w:eastAsia="楷体" w:hAnsi="楷体" w:cs="Times New Roman" w:hint="eastAsia"/>
          <w:b/>
          <w:sz w:val="28"/>
          <w:szCs w:val="28"/>
        </w:rPr>
        <w:t>保荐人（主承销商）：</w:t>
      </w:r>
    </w:p>
    <w:p w:rsidR="00B050D2" w:rsidRPr="0095224C" w:rsidRDefault="00B050D2" w:rsidP="00B050D2">
      <w:pPr>
        <w:widowControl/>
        <w:adjustRightInd w:val="0"/>
        <w:snapToGrid w:val="0"/>
        <w:spacing w:before="156" w:after="156" w:line="360" w:lineRule="auto"/>
        <w:ind w:firstLine="480"/>
        <w:jc w:val="center"/>
        <w:rPr>
          <w:rFonts w:ascii="Times New Roman" w:eastAsia="宋体" w:hAnsi="Times New Roman" w:cs="Times New Roman"/>
          <w:b/>
          <w:kern w:val="24"/>
          <w:sz w:val="24"/>
          <w:szCs w:val="20"/>
        </w:rPr>
      </w:pPr>
      <w:r w:rsidRPr="0095224C">
        <w:rPr>
          <w:rFonts w:ascii="Times New Roman" w:eastAsia="宋体" w:hAnsi="Times New Roman" w:cs="Times New Roman"/>
          <w:noProof/>
          <w:spacing w:val="8"/>
          <w:kern w:val="24"/>
          <w:sz w:val="24"/>
          <w:szCs w:val="20"/>
        </w:rPr>
        <w:drawing>
          <wp:inline distT="0" distB="0" distL="0" distR="0" wp14:anchorId="000CC8D3" wp14:editId="0580F197">
            <wp:extent cx="4248150" cy="809625"/>
            <wp:effectExtent l="19050" t="0" r="0" b="0"/>
            <wp:docPr id="12" name="图片 12" descr="中英文全称横版组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英文全称横版组合"/>
                    <pic:cNvPicPr>
                      <a:picLocks noChangeAspect="1" noChangeArrowheads="1"/>
                    </pic:cNvPicPr>
                  </pic:nvPicPr>
                  <pic:blipFill>
                    <a:blip r:embed="rId9" cstate="print"/>
                    <a:srcRect/>
                    <a:stretch>
                      <a:fillRect/>
                    </a:stretch>
                  </pic:blipFill>
                  <pic:spPr>
                    <a:xfrm>
                      <a:off x="0" y="0"/>
                      <a:ext cx="4248150" cy="809625"/>
                    </a:xfrm>
                    <a:prstGeom prst="rect">
                      <a:avLst/>
                    </a:prstGeom>
                    <a:noFill/>
                    <a:ln w="9525">
                      <a:noFill/>
                      <a:miter lim="800000"/>
                      <a:headEnd/>
                      <a:tailEnd/>
                    </a:ln>
                  </pic:spPr>
                </pic:pic>
              </a:graphicData>
            </a:graphic>
          </wp:inline>
        </w:drawing>
      </w:r>
    </w:p>
    <w:p w:rsidR="00B050D2" w:rsidRPr="0095224C" w:rsidRDefault="00B050D2" w:rsidP="00B050D2">
      <w:pPr>
        <w:widowControl/>
        <w:adjustRightInd w:val="0"/>
        <w:snapToGrid w:val="0"/>
        <w:spacing w:before="156" w:after="156" w:line="360" w:lineRule="auto"/>
        <w:ind w:firstLine="723"/>
        <w:jc w:val="center"/>
        <w:rPr>
          <w:rFonts w:ascii="Times New Roman" w:eastAsia="宋体" w:hAnsi="Times New Roman" w:cs="Times New Roman"/>
          <w:b/>
          <w:kern w:val="32"/>
          <w:sz w:val="36"/>
          <w:szCs w:val="36"/>
        </w:rPr>
      </w:pPr>
      <w:bookmarkStart w:id="0" w:name="_Hlk45729675"/>
      <w:r w:rsidRPr="0095224C">
        <w:rPr>
          <w:rFonts w:ascii="Times New Roman" w:eastAsia="宋体" w:hAnsi="Times New Roman" w:cs="Times New Roman" w:hint="eastAsia"/>
          <w:b/>
          <w:kern w:val="32"/>
          <w:sz w:val="28"/>
          <w:szCs w:val="28"/>
        </w:rPr>
        <w:t>中国（上海）自由贸易试验区世纪大道</w:t>
      </w:r>
      <w:r w:rsidRPr="0095224C">
        <w:rPr>
          <w:rFonts w:ascii="Times New Roman" w:eastAsia="宋体" w:hAnsi="Times New Roman" w:cs="Times New Roman"/>
          <w:b/>
          <w:kern w:val="32"/>
          <w:sz w:val="28"/>
          <w:szCs w:val="28"/>
        </w:rPr>
        <w:t>1198</w:t>
      </w:r>
      <w:r w:rsidRPr="0095224C">
        <w:rPr>
          <w:rFonts w:ascii="Times New Roman" w:eastAsia="宋体" w:hAnsi="Times New Roman" w:cs="Times New Roman" w:hint="eastAsia"/>
          <w:b/>
          <w:kern w:val="32"/>
          <w:sz w:val="28"/>
          <w:szCs w:val="28"/>
        </w:rPr>
        <w:t>号</w:t>
      </w:r>
      <w:r w:rsidRPr="0095224C">
        <w:rPr>
          <w:rFonts w:ascii="Times New Roman" w:eastAsia="宋体" w:hAnsi="Times New Roman" w:cs="Times New Roman"/>
          <w:b/>
          <w:kern w:val="32"/>
          <w:sz w:val="28"/>
          <w:szCs w:val="28"/>
        </w:rPr>
        <w:t>28</w:t>
      </w:r>
      <w:r w:rsidRPr="0095224C">
        <w:rPr>
          <w:rFonts w:ascii="Times New Roman" w:eastAsia="宋体" w:hAnsi="Times New Roman" w:cs="Times New Roman" w:hint="eastAsia"/>
          <w:b/>
          <w:kern w:val="32"/>
          <w:sz w:val="28"/>
          <w:szCs w:val="28"/>
        </w:rPr>
        <w:t>层</w:t>
      </w:r>
    </w:p>
    <w:bookmarkEnd w:id="0"/>
    <w:p w:rsidR="00B050D2" w:rsidRDefault="00B050D2" w:rsidP="00B050D2">
      <w:pPr>
        <w:widowControl/>
        <w:jc w:val="center"/>
        <w:rPr>
          <w:rFonts w:ascii="华文楷体" w:eastAsia="华文楷体" w:hAnsi="华文楷体" w:cs="Times New Roman"/>
          <w:b/>
          <w:kern w:val="0"/>
          <w:sz w:val="32"/>
          <w:szCs w:val="32"/>
        </w:rPr>
      </w:pPr>
    </w:p>
    <w:p w:rsidR="00B050D2" w:rsidRDefault="00B050D2" w:rsidP="00B050D2">
      <w:pPr>
        <w:widowControl/>
        <w:jc w:val="center"/>
        <w:rPr>
          <w:rFonts w:ascii="华文楷体" w:eastAsia="华文楷体" w:hAnsi="华文楷体" w:cs="Times New Roman"/>
          <w:b/>
          <w:kern w:val="0"/>
          <w:sz w:val="32"/>
          <w:szCs w:val="32"/>
        </w:rPr>
      </w:pPr>
      <w:r w:rsidRPr="0095224C">
        <w:rPr>
          <w:rFonts w:ascii="华文楷体" w:eastAsia="华文楷体" w:hAnsi="华文楷体" w:cs="Times New Roman"/>
          <w:b/>
          <w:kern w:val="0"/>
          <w:sz w:val="32"/>
          <w:szCs w:val="32"/>
        </w:rPr>
        <w:t>二</w:t>
      </w:r>
      <w:r w:rsidRPr="0095224C">
        <w:rPr>
          <w:rFonts w:ascii="华文楷体" w:eastAsia="华文楷体" w:hAnsi="华文楷体" w:cs="Times New Roman" w:hint="eastAsia"/>
          <w:b/>
          <w:kern w:val="0"/>
          <w:sz w:val="32"/>
          <w:szCs w:val="32"/>
        </w:rPr>
        <w:t>〇</w:t>
      </w:r>
      <w:r w:rsidRPr="0095224C">
        <w:rPr>
          <w:rFonts w:ascii="华文楷体" w:eastAsia="华文楷体" w:hAnsi="华文楷体" w:cs="Times New Roman"/>
          <w:b/>
          <w:kern w:val="0"/>
          <w:sz w:val="32"/>
          <w:szCs w:val="32"/>
        </w:rPr>
        <w:t>二</w:t>
      </w:r>
      <w:r w:rsidR="00566CF7">
        <w:rPr>
          <w:rFonts w:ascii="华文楷体" w:eastAsia="华文楷体" w:hAnsi="华文楷体" w:cs="Times New Roman" w:hint="eastAsia"/>
          <w:b/>
          <w:kern w:val="0"/>
          <w:sz w:val="32"/>
          <w:szCs w:val="32"/>
        </w:rPr>
        <w:t>一</w:t>
      </w:r>
      <w:r w:rsidRPr="0095224C">
        <w:rPr>
          <w:rFonts w:ascii="华文楷体" w:eastAsia="华文楷体" w:hAnsi="华文楷体" w:cs="Times New Roman"/>
          <w:b/>
          <w:kern w:val="0"/>
          <w:sz w:val="32"/>
          <w:szCs w:val="32"/>
        </w:rPr>
        <w:t>年</w:t>
      </w:r>
      <w:r w:rsidR="00566CF7">
        <w:rPr>
          <w:rFonts w:ascii="华文楷体" w:eastAsia="华文楷体" w:hAnsi="华文楷体" w:cs="Times New Roman" w:hint="eastAsia"/>
          <w:b/>
          <w:kern w:val="0"/>
          <w:sz w:val="32"/>
          <w:szCs w:val="32"/>
        </w:rPr>
        <w:t>三</w:t>
      </w:r>
      <w:r w:rsidRPr="0095224C">
        <w:rPr>
          <w:rFonts w:ascii="华文楷体" w:eastAsia="华文楷体" w:hAnsi="华文楷体" w:cs="Times New Roman" w:hint="eastAsia"/>
          <w:b/>
          <w:kern w:val="0"/>
          <w:sz w:val="32"/>
          <w:szCs w:val="32"/>
        </w:rPr>
        <w:t>月</w:t>
      </w:r>
    </w:p>
    <w:p w:rsidR="00B050D2" w:rsidRPr="00B748BA" w:rsidRDefault="00B050D2" w:rsidP="00903E66">
      <w:pPr>
        <w:snapToGrid w:val="0"/>
        <w:spacing w:beforeLines="50" w:before="156" w:afterLines="50" w:after="156" w:line="360" w:lineRule="auto"/>
        <w:jc w:val="center"/>
        <w:rPr>
          <w:rFonts w:ascii="Times New Roman" w:eastAsia="黑体" w:hAnsi="Times New Roman" w:cs="Times New Roman"/>
          <w:color w:val="000000"/>
          <w:kern w:val="0"/>
          <w:sz w:val="31"/>
          <w:szCs w:val="31"/>
          <w:lang w:bidi="en-US"/>
        </w:rPr>
      </w:pPr>
      <w:r>
        <w:rPr>
          <w:rFonts w:ascii="华文楷体" w:eastAsia="华文楷体" w:hAnsi="华文楷体" w:cs="Times New Roman"/>
          <w:b/>
          <w:kern w:val="0"/>
          <w:sz w:val="32"/>
          <w:szCs w:val="32"/>
        </w:rPr>
        <w:br w:type="page"/>
      </w:r>
      <w:r w:rsidRPr="00B748BA">
        <w:rPr>
          <w:rFonts w:ascii="Times New Roman" w:eastAsia="黑体" w:hAnsi="Times New Roman" w:cs="Times New Roman" w:hint="eastAsia"/>
          <w:color w:val="000000"/>
          <w:kern w:val="0"/>
          <w:sz w:val="31"/>
          <w:szCs w:val="31"/>
          <w:lang w:bidi="en-US"/>
        </w:rPr>
        <w:lastRenderedPageBreak/>
        <w:t>关于上海霍普建筑设计事务所股份有限公司</w:t>
      </w:r>
    </w:p>
    <w:p w:rsidR="00B050D2" w:rsidRPr="00B748BA" w:rsidRDefault="00B050D2" w:rsidP="00903E66">
      <w:pPr>
        <w:snapToGrid w:val="0"/>
        <w:spacing w:beforeLines="50" w:before="156" w:afterLines="50" w:after="156" w:line="360" w:lineRule="auto"/>
        <w:jc w:val="center"/>
        <w:rPr>
          <w:rFonts w:ascii="Times New Roman" w:eastAsia="黑体" w:hAnsi="Times New Roman" w:cs="Times New Roman"/>
          <w:color w:val="000000"/>
          <w:kern w:val="0"/>
          <w:sz w:val="31"/>
          <w:szCs w:val="31"/>
          <w:lang w:bidi="en-US"/>
        </w:rPr>
      </w:pPr>
      <w:r w:rsidRPr="00B748BA">
        <w:rPr>
          <w:rFonts w:ascii="Times New Roman" w:eastAsia="黑体" w:hAnsi="Times New Roman" w:cs="Times New Roman"/>
          <w:color w:val="000000"/>
          <w:kern w:val="0"/>
          <w:sz w:val="31"/>
          <w:szCs w:val="31"/>
          <w:lang w:bidi="en-US"/>
        </w:rPr>
        <w:t>首次公开发行股票并在创业板上市</w:t>
      </w:r>
      <w:r w:rsidR="000372CA">
        <w:rPr>
          <w:rFonts w:ascii="Times New Roman" w:eastAsia="黑体" w:hAnsi="Times New Roman" w:cs="Times New Roman" w:hint="eastAsia"/>
          <w:color w:val="000000"/>
          <w:kern w:val="0"/>
          <w:sz w:val="31"/>
          <w:szCs w:val="31"/>
          <w:lang w:bidi="en-US"/>
        </w:rPr>
        <w:t>的</w:t>
      </w:r>
    </w:p>
    <w:p w:rsidR="00B050D2" w:rsidRPr="00B748BA" w:rsidRDefault="000372CA" w:rsidP="00903E66">
      <w:pPr>
        <w:snapToGrid w:val="0"/>
        <w:spacing w:beforeLines="50" w:before="156" w:afterLines="50" w:after="156" w:line="360" w:lineRule="auto"/>
        <w:jc w:val="center"/>
        <w:rPr>
          <w:rFonts w:ascii="Times New Roman" w:eastAsia="黑体" w:hAnsi="Times New Roman" w:cs="Times New Roman"/>
          <w:color w:val="000000"/>
          <w:kern w:val="0"/>
          <w:sz w:val="31"/>
          <w:szCs w:val="31"/>
          <w:lang w:bidi="en-US"/>
        </w:rPr>
      </w:pPr>
      <w:r w:rsidRPr="000372CA">
        <w:rPr>
          <w:rFonts w:ascii="Times New Roman" w:eastAsia="黑体" w:hAnsi="Times New Roman" w:cs="Times New Roman"/>
          <w:color w:val="000000"/>
          <w:kern w:val="0"/>
          <w:sz w:val="31"/>
          <w:szCs w:val="31"/>
          <w:lang w:bidi="en-US"/>
        </w:rPr>
        <w:t>审核中心意见落实函的回复</w:t>
      </w:r>
    </w:p>
    <w:p w:rsidR="00B050D2" w:rsidRPr="00B748BA" w:rsidRDefault="00B050D2" w:rsidP="00B050D2">
      <w:pPr>
        <w:rPr>
          <w:rFonts w:ascii="Times New Roman" w:eastAsia="Times New Roman" w:hAnsi="Times New Roman" w:cs="Times New Roman"/>
          <w:color w:val="000000"/>
          <w:kern w:val="0"/>
          <w:sz w:val="24"/>
          <w:szCs w:val="24"/>
          <w:lang w:bidi="en-US"/>
        </w:rPr>
      </w:pPr>
    </w:p>
    <w:p w:rsidR="00B050D2" w:rsidRPr="00B748BA" w:rsidRDefault="00B050D2" w:rsidP="00903E66">
      <w:pPr>
        <w:snapToGrid w:val="0"/>
        <w:spacing w:beforeLines="50" w:before="156" w:afterLines="50" w:after="156" w:line="360" w:lineRule="auto"/>
        <w:jc w:val="left"/>
        <w:rPr>
          <w:rFonts w:ascii="Times New Roman" w:eastAsia="黑体" w:hAnsi="Times New Roman" w:cs="Times New Roman"/>
          <w:color w:val="000000"/>
          <w:kern w:val="0"/>
          <w:sz w:val="27"/>
          <w:szCs w:val="27"/>
          <w:lang w:bidi="en-US"/>
        </w:rPr>
      </w:pPr>
      <w:r>
        <w:rPr>
          <w:rFonts w:ascii="Times New Roman" w:eastAsia="黑体" w:hAnsi="Times New Roman" w:cs="Times New Roman" w:hint="eastAsia"/>
          <w:color w:val="000000"/>
          <w:kern w:val="0"/>
          <w:sz w:val="27"/>
          <w:szCs w:val="27"/>
          <w:lang w:bidi="en-US"/>
        </w:rPr>
        <w:t>深圳证券交易所</w:t>
      </w:r>
      <w:r w:rsidRPr="00B748BA">
        <w:rPr>
          <w:rFonts w:ascii="Times New Roman" w:eastAsia="黑体" w:hAnsi="Times New Roman" w:cs="Times New Roman"/>
          <w:color w:val="000000"/>
          <w:kern w:val="0"/>
          <w:sz w:val="27"/>
          <w:szCs w:val="27"/>
          <w:lang w:bidi="en-US"/>
        </w:rPr>
        <w:t>：</w:t>
      </w:r>
    </w:p>
    <w:p w:rsidR="00B050D2" w:rsidRPr="00206529" w:rsidRDefault="00B050D2" w:rsidP="00903E66">
      <w:pPr>
        <w:autoSpaceDE w:val="0"/>
        <w:autoSpaceDN w:val="0"/>
        <w:adjustRightInd w:val="0"/>
        <w:spacing w:beforeLines="50" w:before="156" w:afterLines="50" w:after="156" w:line="360" w:lineRule="auto"/>
        <w:ind w:firstLineChars="200" w:firstLine="480"/>
        <w:rPr>
          <w:rFonts w:ascii="宋体" w:eastAsia="宋体" w:hAnsi="宋体" w:cs="宋体"/>
          <w:color w:val="000000"/>
          <w:kern w:val="0"/>
          <w:sz w:val="24"/>
          <w:lang w:bidi="en-US"/>
        </w:rPr>
      </w:pPr>
      <w:r w:rsidRPr="00206529">
        <w:rPr>
          <w:rFonts w:ascii="宋体" w:eastAsia="宋体" w:hAnsi="宋体" w:cs="宋体" w:hint="eastAsia"/>
          <w:color w:val="000000"/>
          <w:kern w:val="0"/>
          <w:sz w:val="24"/>
          <w:lang w:bidi="en-US"/>
        </w:rPr>
        <w:t>贵所于</w:t>
      </w:r>
      <w:r w:rsidRPr="00206529">
        <w:rPr>
          <w:rFonts w:ascii="宋体" w:eastAsia="宋体" w:hAnsi="宋体" w:cs="宋体"/>
          <w:color w:val="000000"/>
          <w:kern w:val="0"/>
          <w:sz w:val="24"/>
          <w:lang w:bidi="en-US"/>
        </w:rPr>
        <w:t>2020年</w:t>
      </w:r>
      <w:r>
        <w:rPr>
          <w:rFonts w:ascii="宋体" w:eastAsia="宋体" w:hAnsi="宋体" w:cs="宋体"/>
          <w:color w:val="000000"/>
          <w:kern w:val="0"/>
          <w:sz w:val="24"/>
          <w:lang w:bidi="en-US"/>
        </w:rPr>
        <w:t>1</w:t>
      </w:r>
      <w:r w:rsidR="000372CA">
        <w:rPr>
          <w:rFonts w:ascii="宋体" w:eastAsia="宋体" w:hAnsi="宋体" w:cs="宋体"/>
          <w:color w:val="000000"/>
          <w:kern w:val="0"/>
          <w:sz w:val="24"/>
          <w:lang w:bidi="en-US"/>
        </w:rPr>
        <w:t>2</w:t>
      </w:r>
      <w:r w:rsidRPr="00206529">
        <w:rPr>
          <w:rFonts w:ascii="宋体" w:eastAsia="宋体" w:hAnsi="宋体" w:cs="宋体"/>
          <w:color w:val="000000"/>
          <w:kern w:val="0"/>
          <w:sz w:val="24"/>
          <w:lang w:bidi="en-US"/>
        </w:rPr>
        <w:t>月</w:t>
      </w:r>
      <w:r w:rsidR="000372CA">
        <w:rPr>
          <w:rFonts w:ascii="宋体" w:eastAsia="宋体" w:hAnsi="宋体" w:cs="宋体"/>
          <w:color w:val="000000"/>
          <w:kern w:val="0"/>
          <w:sz w:val="24"/>
          <w:lang w:bidi="en-US"/>
        </w:rPr>
        <w:t>1</w:t>
      </w:r>
      <w:r>
        <w:rPr>
          <w:rFonts w:ascii="宋体" w:eastAsia="宋体" w:hAnsi="宋体" w:cs="宋体"/>
          <w:color w:val="000000"/>
          <w:kern w:val="0"/>
          <w:sz w:val="24"/>
          <w:lang w:bidi="en-US"/>
        </w:rPr>
        <w:t>1</w:t>
      </w:r>
      <w:r w:rsidRPr="00206529">
        <w:rPr>
          <w:rFonts w:ascii="宋体" w:eastAsia="宋体" w:hAnsi="宋体" w:cs="宋体"/>
          <w:color w:val="000000"/>
          <w:kern w:val="0"/>
          <w:sz w:val="24"/>
          <w:lang w:bidi="en-US"/>
        </w:rPr>
        <w:t>日出具的《</w:t>
      </w:r>
      <w:r w:rsidR="000372CA" w:rsidRPr="000372CA">
        <w:rPr>
          <w:rFonts w:ascii="宋体" w:eastAsia="宋体" w:hAnsi="宋体" w:cs="宋体"/>
          <w:color w:val="000000"/>
          <w:kern w:val="0"/>
          <w:sz w:val="24"/>
          <w:lang w:bidi="en-US"/>
        </w:rPr>
        <w:t>关于上海霍普建筑设计事务所股份有限公司申请首次公开发行股票并在创业板上市的审核中心意见落实函</w:t>
      </w:r>
      <w:r w:rsidRPr="00206529">
        <w:rPr>
          <w:rFonts w:ascii="宋体" w:eastAsia="宋体" w:hAnsi="宋体" w:cs="宋体" w:hint="eastAsia"/>
          <w:color w:val="000000"/>
          <w:kern w:val="0"/>
          <w:sz w:val="24"/>
          <w:lang w:bidi="en-US"/>
        </w:rPr>
        <w:t>》（以下简称“《</w:t>
      </w:r>
      <w:r w:rsidR="000372CA">
        <w:rPr>
          <w:rFonts w:ascii="宋体" w:eastAsia="宋体" w:hAnsi="宋体" w:cs="宋体" w:hint="eastAsia"/>
          <w:color w:val="000000"/>
          <w:kern w:val="0"/>
          <w:sz w:val="24"/>
          <w:lang w:bidi="en-US"/>
        </w:rPr>
        <w:t>意见落实</w:t>
      </w:r>
      <w:r w:rsidRPr="00206529">
        <w:rPr>
          <w:rFonts w:ascii="宋体" w:eastAsia="宋体" w:hAnsi="宋体" w:cs="宋体" w:hint="eastAsia"/>
          <w:color w:val="000000"/>
          <w:kern w:val="0"/>
          <w:sz w:val="24"/>
          <w:lang w:bidi="en-US"/>
        </w:rPr>
        <w:t>函》”）已收悉，长江证券承销保荐有限公司（以下简称“保荐机构”、“</w:t>
      </w:r>
      <w:r>
        <w:rPr>
          <w:rFonts w:ascii="宋体" w:eastAsia="宋体" w:hAnsi="宋体" w:cs="宋体" w:hint="eastAsia"/>
          <w:color w:val="000000"/>
          <w:kern w:val="0"/>
          <w:sz w:val="24"/>
          <w:lang w:bidi="en-US"/>
        </w:rPr>
        <w:t>长江保荐</w:t>
      </w:r>
      <w:r w:rsidRPr="00206529">
        <w:rPr>
          <w:rFonts w:ascii="宋体" w:eastAsia="宋体" w:hAnsi="宋体" w:cs="宋体" w:hint="eastAsia"/>
          <w:color w:val="000000"/>
          <w:kern w:val="0"/>
          <w:sz w:val="24"/>
          <w:lang w:bidi="en-US"/>
        </w:rPr>
        <w:t>”）、上海霍普建筑设计事务所股份有限公司（以下简称“发行人”、“公司”、“</w:t>
      </w:r>
      <w:r>
        <w:rPr>
          <w:rFonts w:ascii="宋体" w:eastAsia="宋体" w:hAnsi="宋体" w:cs="宋体" w:hint="eastAsia"/>
          <w:color w:val="000000"/>
          <w:kern w:val="0"/>
          <w:sz w:val="24"/>
          <w:lang w:bidi="en-US"/>
        </w:rPr>
        <w:t>霍普股份</w:t>
      </w:r>
      <w:r w:rsidRPr="00206529">
        <w:rPr>
          <w:rFonts w:ascii="宋体" w:eastAsia="宋体" w:hAnsi="宋体" w:cs="宋体" w:hint="eastAsia"/>
          <w:color w:val="000000"/>
          <w:kern w:val="0"/>
          <w:sz w:val="24"/>
          <w:lang w:bidi="en-US"/>
        </w:rPr>
        <w:t>”）、北京金诚同达律师事务所（以下简称“发行人律师”）、立信会计师事务所（特殊普通合伙）（以下简称“申报会计师”）等相关方对</w:t>
      </w:r>
      <w:r w:rsidR="000372CA">
        <w:rPr>
          <w:rFonts w:ascii="宋体" w:eastAsia="宋体" w:hAnsi="宋体" w:cs="宋体" w:hint="eastAsia"/>
          <w:color w:val="000000"/>
          <w:kern w:val="0"/>
          <w:sz w:val="24"/>
          <w:lang w:bidi="en-US"/>
        </w:rPr>
        <w:t>意见落实函</w:t>
      </w:r>
      <w:r w:rsidRPr="00206529">
        <w:rPr>
          <w:rFonts w:ascii="宋体" w:eastAsia="宋体" w:hAnsi="宋体" w:cs="宋体" w:hint="eastAsia"/>
          <w:color w:val="000000"/>
          <w:kern w:val="0"/>
          <w:sz w:val="24"/>
          <w:lang w:bidi="en-US"/>
        </w:rPr>
        <w:t>所列问题进行了逐项核查，现回复如下，请予审核。</w:t>
      </w:r>
    </w:p>
    <w:p w:rsidR="00B050D2" w:rsidRDefault="00B050D2" w:rsidP="00903E66">
      <w:pPr>
        <w:autoSpaceDE w:val="0"/>
        <w:autoSpaceDN w:val="0"/>
        <w:adjustRightInd w:val="0"/>
        <w:spacing w:beforeLines="50" w:before="156" w:afterLines="50" w:after="156" w:line="360" w:lineRule="auto"/>
        <w:ind w:firstLineChars="200" w:firstLine="480"/>
        <w:rPr>
          <w:rFonts w:ascii="宋体" w:eastAsia="宋体" w:hAnsi="宋体" w:cs="宋体"/>
          <w:color w:val="000000"/>
          <w:kern w:val="0"/>
          <w:sz w:val="24"/>
          <w:lang w:bidi="en-US"/>
        </w:rPr>
      </w:pPr>
      <w:r w:rsidRPr="00206529">
        <w:rPr>
          <w:rFonts w:ascii="宋体" w:eastAsia="宋体" w:hAnsi="宋体" w:cs="宋体" w:hint="eastAsia"/>
          <w:color w:val="000000"/>
          <w:kern w:val="0"/>
          <w:sz w:val="24"/>
          <w:lang w:bidi="en-US"/>
        </w:rPr>
        <w:t>除另有说明外，本回复报告所用简称与《</w:t>
      </w:r>
      <w:r>
        <w:rPr>
          <w:rFonts w:ascii="宋体" w:eastAsia="宋体" w:hAnsi="宋体" w:cs="宋体" w:hint="eastAsia"/>
          <w:color w:val="000000"/>
          <w:kern w:val="0"/>
          <w:sz w:val="24"/>
          <w:lang w:bidi="en-US"/>
        </w:rPr>
        <w:t>上海霍普建筑设计事务所股份有限公司</w:t>
      </w:r>
      <w:r w:rsidRPr="00206529">
        <w:rPr>
          <w:rFonts w:ascii="宋体" w:eastAsia="宋体" w:hAnsi="宋体" w:cs="宋体" w:hint="eastAsia"/>
          <w:color w:val="000000"/>
          <w:kern w:val="0"/>
          <w:sz w:val="24"/>
          <w:lang w:bidi="en-US"/>
        </w:rPr>
        <w:t>首次公开发行股票并在创业板上市招股说明书（</w:t>
      </w:r>
      <w:r w:rsidR="000372CA">
        <w:rPr>
          <w:rFonts w:ascii="宋体" w:eastAsia="宋体" w:hAnsi="宋体" w:cs="宋体" w:hint="eastAsia"/>
          <w:color w:val="000000"/>
          <w:kern w:val="0"/>
          <w:sz w:val="24"/>
          <w:lang w:bidi="en-US"/>
        </w:rPr>
        <w:t>上会</w:t>
      </w:r>
      <w:r w:rsidRPr="00206529">
        <w:rPr>
          <w:rFonts w:ascii="宋体" w:eastAsia="宋体" w:hAnsi="宋体" w:cs="宋体" w:hint="eastAsia"/>
          <w:color w:val="000000"/>
          <w:kern w:val="0"/>
          <w:sz w:val="24"/>
          <w:lang w:bidi="en-US"/>
        </w:rPr>
        <w:t>稿）》（以下简称“招股说明书”）中的释义相同。</w:t>
      </w:r>
    </w:p>
    <w:p w:rsidR="00B050D2" w:rsidRPr="00B748BA" w:rsidRDefault="000372CA" w:rsidP="00903E66">
      <w:pPr>
        <w:autoSpaceDE w:val="0"/>
        <w:autoSpaceDN w:val="0"/>
        <w:adjustRightInd w:val="0"/>
        <w:spacing w:beforeLines="50" w:before="156" w:afterLines="50" w:after="156" w:line="360" w:lineRule="auto"/>
        <w:ind w:firstLineChars="200" w:firstLine="480"/>
        <w:rPr>
          <w:rFonts w:ascii="宋体" w:eastAsia="Times New Roman" w:hAnsi="宋体" w:cs="Times New Roman"/>
          <w:color w:val="000000"/>
          <w:sz w:val="24"/>
          <w:szCs w:val="24"/>
          <w:lang w:bidi="en-US"/>
        </w:rPr>
      </w:pPr>
      <w:r>
        <w:rPr>
          <w:rFonts w:ascii="宋体" w:eastAsia="宋体" w:hAnsi="宋体" w:cs="宋体" w:hint="eastAsia"/>
          <w:color w:val="000000"/>
          <w:kern w:val="0"/>
          <w:sz w:val="24"/>
          <w:lang w:bidi="en-US"/>
        </w:rPr>
        <w:t>意见落实函</w:t>
      </w:r>
      <w:r w:rsidR="00B050D2">
        <w:rPr>
          <w:rFonts w:ascii="宋体" w:eastAsia="宋体" w:hAnsi="宋体" w:cs="宋体" w:hint="eastAsia"/>
          <w:color w:val="000000"/>
          <w:kern w:val="0"/>
          <w:sz w:val="24"/>
          <w:lang w:bidi="en-US"/>
        </w:rPr>
        <w:t>回复</w:t>
      </w:r>
      <w:r w:rsidR="00B050D2" w:rsidRPr="00B050D2">
        <w:rPr>
          <w:rFonts w:ascii="宋体" w:eastAsia="宋体" w:hAnsi="宋体" w:cs="宋体"/>
          <w:color w:val="000000"/>
          <w:kern w:val="0"/>
          <w:sz w:val="24"/>
          <w:lang w:bidi="en-US"/>
        </w:rPr>
        <w:t>中涉及</w:t>
      </w:r>
      <w:r w:rsidR="00566CF7" w:rsidRPr="00566CF7">
        <w:rPr>
          <w:rFonts w:ascii="楷体" w:eastAsia="楷体" w:hAnsi="楷体" w:cs="宋体"/>
          <w:b/>
          <w:bCs/>
          <w:color w:val="000000"/>
          <w:kern w:val="0"/>
          <w:sz w:val="24"/>
          <w:lang w:bidi="en-US"/>
        </w:rPr>
        <w:t>2020年年报数据更新</w:t>
      </w:r>
      <w:r w:rsidR="00B050D2" w:rsidRPr="00B050D2">
        <w:rPr>
          <w:rFonts w:ascii="宋体" w:eastAsia="宋体" w:hAnsi="宋体" w:cs="宋体"/>
          <w:color w:val="000000"/>
          <w:kern w:val="0"/>
          <w:sz w:val="24"/>
          <w:lang w:bidi="en-US"/>
        </w:rPr>
        <w:t>的修改部分，已用楷体加粗予以标明。</w:t>
      </w:r>
    </w:p>
    <w:p w:rsidR="00B050D2" w:rsidRPr="000372CA" w:rsidRDefault="00B050D2" w:rsidP="00903E66">
      <w:pPr>
        <w:autoSpaceDE w:val="0"/>
        <w:autoSpaceDN w:val="0"/>
        <w:adjustRightInd w:val="0"/>
        <w:spacing w:beforeLines="50" w:before="156" w:afterLines="50" w:after="156" w:line="360" w:lineRule="auto"/>
        <w:ind w:firstLineChars="200" w:firstLine="480"/>
        <w:rPr>
          <w:rFonts w:ascii="宋体" w:eastAsia="Times New Roman" w:hAnsi="宋体" w:cs="Times New Roman"/>
          <w:color w:val="000000"/>
          <w:sz w:val="24"/>
          <w:szCs w:val="24"/>
          <w:lang w:bidi="en-US"/>
        </w:rPr>
      </w:pPr>
    </w:p>
    <w:p w:rsidR="00B050D2" w:rsidRPr="00B050D2" w:rsidRDefault="00B050D2">
      <w:pPr>
        <w:widowControl/>
        <w:jc w:val="left"/>
        <w:rPr>
          <w:rFonts w:ascii="华文楷体" w:eastAsia="华文楷体" w:hAnsi="华文楷体" w:cs="Times New Roman"/>
          <w:b/>
          <w:kern w:val="0"/>
          <w:sz w:val="32"/>
          <w:szCs w:val="32"/>
        </w:rPr>
      </w:pPr>
    </w:p>
    <w:p w:rsidR="00B050D2" w:rsidRDefault="00B050D2" w:rsidP="00B050D2">
      <w:pPr>
        <w:widowControl/>
        <w:jc w:val="center"/>
        <w:rPr>
          <w:rFonts w:ascii="华文楷体" w:eastAsia="华文楷体" w:hAnsi="华文楷体" w:cs="Times New Roman"/>
          <w:b/>
          <w:kern w:val="0"/>
          <w:sz w:val="32"/>
          <w:szCs w:val="32"/>
        </w:rPr>
      </w:pPr>
    </w:p>
    <w:p w:rsidR="00D85E46" w:rsidRDefault="00B050D2">
      <w:pPr>
        <w:widowControl/>
        <w:jc w:val="left"/>
      </w:pPr>
      <w:r>
        <w:br w:type="page"/>
      </w:r>
    </w:p>
    <w:p w:rsidR="009458FA" w:rsidRPr="00D63A86" w:rsidRDefault="009458FA" w:rsidP="00D63A86">
      <w:pPr>
        <w:pStyle w:val="12"/>
        <w:rPr>
          <w:rFonts w:ascii="Times New Roman" w:hAnsi="Times New Roman" w:cs="Times New Roman"/>
        </w:rPr>
      </w:pPr>
      <w:r w:rsidRPr="00D63A86">
        <w:rPr>
          <w:rFonts w:hint="eastAsia"/>
        </w:rPr>
        <w:lastRenderedPageBreak/>
        <w:t xml:space="preserve">目 </w:t>
      </w:r>
      <w:r w:rsidRPr="00D63A86">
        <w:t xml:space="preserve"> </w:t>
      </w:r>
      <w:r w:rsidRPr="00D63A86">
        <w:rPr>
          <w:rFonts w:hint="eastAsia"/>
        </w:rPr>
        <w:t>录</w:t>
      </w:r>
    </w:p>
    <w:p w:rsidR="00D63A86" w:rsidRPr="00D63A86" w:rsidRDefault="009B691B" w:rsidP="00D63A86">
      <w:pPr>
        <w:pStyle w:val="12"/>
        <w:rPr>
          <w:rFonts w:ascii="Times" w:hAnsi="Times"/>
          <w:noProof/>
          <w:sz w:val="20"/>
          <w:szCs w:val="22"/>
        </w:rPr>
      </w:pPr>
      <w:r w:rsidRPr="00D63A86">
        <w:rPr>
          <w:rFonts w:ascii="Times" w:hAnsi="Times"/>
          <w:sz w:val="28"/>
          <w:szCs w:val="28"/>
        </w:rPr>
        <w:fldChar w:fldCharType="begin"/>
      </w:r>
      <w:r w:rsidR="009458FA" w:rsidRPr="00D63A86">
        <w:rPr>
          <w:rFonts w:ascii="Times" w:hAnsi="Times"/>
          <w:sz w:val="28"/>
          <w:szCs w:val="28"/>
        </w:rPr>
        <w:instrText xml:space="preserve"> TOC \o "1-1" \h \z \u </w:instrText>
      </w:r>
      <w:r w:rsidRPr="00D63A86">
        <w:rPr>
          <w:rFonts w:ascii="Times" w:hAnsi="Times"/>
          <w:sz w:val="28"/>
          <w:szCs w:val="28"/>
        </w:rPr>
        <w:fldChar w:fldCharType="separate"/>
      </w:r>
      <w:hyperlink w:anchor="_Toc58669583" w:history="1">
        <w:r w:rsidR="00D63A86" w:rsidRPr="00D63A86">
          <w:rPr>
            <w:rStyle w:val="aa"/>
            <w:rFonts w:ascii="Times" w:hAnsi="Times" w:cs="Times New Roman"/>
            <w:noProof/>
            <w:sz w:val="28"/>
            <w:szCs w:val="28"/>
          </w:rPr>
          <w:t>问题</w:t>
        </w:r>
        <w:r w:rsidR="00D63A86" w:rsidRPr="00D63A86">
          <w:rPr>
            <w:rStyle w:val="aa"/>
            <w:rFonts w:ascii="Times" w:hAnsi="Times" w:cs="Times New Roman"/>
            <w:noProof/>
            <w:sz w:val="28"/>
            <w:szCs w:val="28"/>
          </w:rPr>
          <w:t>1</w:t>
        </w:r>
        <w:r w:rsidR="00D63A86" w:rsidRPr="00D63A86">
          <w:rPr>
            <w:rFonts w:ascii="Times" w:hAnsi="Times"/>
            <w:noProof/>
            <w:webHidden/>
            <w:sz w:val="28"/>
            <w:szCs w:val="28"/>
          </w:rPr>
          <w:tab/>
        </w:r>
        <w:r w:rsidRPr="00D63A86">
          <w:rPr>
            <w:rFonts w:ascii="Times" w:hAnsi="Times"/>
            <w:noProof/>
            <w:webHidden/>
            <w:sz w:val="28"/>
            <w:szCs w:val="28"/>
          </w:rPr>
          <w:fldChar w:fldCharType="begin"/>
        </w:r>
        <w:r w:rsidR="00D63A86" w:rsidRPr="00D63A86">
          <w:rPr>
            <w:rFonts w:ascii="Times" w:hAnsi="Times"/>
            <w:noProof/>
            <w:webHidden/>
            <w:sz w:val="28"/>
            <w:szCs w:val="28"/>
          </w:rPr>
          <w:instrText xml:space="preserve"> PAGEREF _Toc58669583 \h </w:instrText>
        </w:r>
        <w:r w:rsidRPr="00D63A86">
          <w:rPr>
            <w:rFonts w:ascii="Times" w:hAnsi="Times"/>
            <w:noProof/>
            <w:webHidden/>
            <w:sz w:val="28"/>
            <w:szCs w:val="28"/>
          </w:rPr>
        </w:r>
        <w:r w:rsidRPr="00D63A86">
          <w:rPr>
            <w:rFonts w:ascii="Times" w:hAnsi="Times"/>
            <w:noProof/>
            <w:webHidden/>
            <w:sz w:val="28"/>
            <w:szCs w:val="28"/>
          </w:rPr>
          <w:fldChar w:fldCharType="separate"/>
        </w:r>
        <w:r w:rsidR="00E449CC">
          <w:rPr>
            <w:rFonts w:ascii="Times" w:hAnsi="Times"/>
            <w:noProof/>
            <w:webHidden/>
            <w:sz w:val="28"/>
            <w:szCs w:val="28"/>
          </w:rPr>
          <w:t>4</w:t>
        </w:r>
        <w:r w:rsidRPr="00D63A86">
          <w:rPr>
            <w:rFonts w:ascii="Times" w:hAnsi="Times"/>
            <w:noProof/>
            <w:webHidden/>
            <w:sz w:val="28"/>
            <w:szCs w:val="28"/>
          </w:rPr>
          <w:fldChar w:fldCharType="end"/>
        </w:r>
      </w:hyperlink>
    </w:p>
    <w:p w:rsidR="00D63A86" w:rsidRPr="00D63A86" w:rsidRDefault="008813BD" w:rsidP="00D63A86">
      <w:pPr>
        <w:pStyle w:val="12"/>
        <w:rPr>
          <w:rFonts w:ascii="Times" w:hAnsi="Times"/>
          <w:noProof/>
          <w:sz w:val="20"/>
          <w:szCs w:val="22"/>
        </w:rPr>
      </w:pPr>
      <w:hyperlink w:anchor="_Toc58669584" w:history="1">
        <w:r w:rsidR="00D63A86" w:rsidRPr="00D63A86">
          <w:rPr>
            <w:rStyle w:val="aa"/>
            <w:rFonts w:ascii="Times" w:hAnsi="Times" w:cs="Times New Roman"/>
            <w:noProof/>
            <w:sz w:val="28"/>
            <w:szCs w:val="28"/>
          </w:rPr>
          <w:t>问题</w:t>
        </w:r>
        <w:r w:rsidR="00D63A86" w:rsidRPr="00D63A86">
          <w:rPr>
            <w:rStyle w:val="aa"/>
            <w:rFonts w:ascii="Times" w:hAnsi="Times" w:cs="Times New Roman"/>
            <w:noProof/>
            <w:sz w:val="28"/>
            <w:szCs w:val="28"/>
          </w:rPr>
          <w:t>2</w:t>
        </w:r>
        <w:r w:rsidR="00D63A86" w:rsidRPr="00D63A86">
          <w:rPr>
            <w:rFonts w:ascii="Times" w:hAnsi="Times"/>
            <w:noProof/>
            <w:webHidden/>
            <w:sz w:val="28"/>
            <w:szCs w:val="28"/>
          </w:rPr>
          <w:tab/>
        </w:r>
        <w:r w:rsidR="009B691B" w:rsidRPr="00D63A86">
          <w:rPr>
            <w:rFonts w:ascii="Times" w:hAnsi="Times"/>
            <w:noProof/>
            <w:webHidden/>
            <w:sz w:val="28"/>
            <w:szCs w:val="28"/>
          </w:rPr>
          <w:fldChar w:fldCharType="begin"/>
        </w:r>
        <w:r w:rsidR="00D63A86" w:rsidRPr="00D63A86">
          <w:rPr>
            <w:rFonts w:ascii="Times" w:hAnsi="Times"/>
            <w:noProof/>
            <w:webHidden/>
            <w:sz w:val="28"/>
            <w:szCs w:val="28"/>
          </w:rPr>
          <w:instrText xml:space="preserve"> PAGEREF _Toc58669584 \h </w:instrText>
        </w:r>
        <w:r w:rsidR="009B691B" w:rsidRPr="00D63A86">
          <w:rPr>
            <w:rFonts w:ascii="Times" w:hAnsi="Times"/>
            <w:noProof/>
            <w:webHidden/>
            <w:sz w:val="28"/>
            <w:szCs w:val="28"/>
          </w:rPr>
        </w:r>
        <w:r w:rsidR="009B691B" w:rsidRPr="00D63A86">
          <w:rPr>
            <w:rFonts w:ascii="Times" w:hAnsi="Times"/>
            <w:noProof/>
            <w:webHidden/>
            <w:sz w:val="28"/>
            <w:szCs w:val="28"/>
          </w:rPr>
          <w:fldChar w:fldCharType="separate"/>
        </w:r>
        <w:r w:rsidR="00E449CC">
          <w:rPr>
            <w:rFonts w:ascii="Times" w:hAnsi="Times"/>
            <w:noProof/>
            <w:webHidden/>
            <w:sz w:val="28"/>
            <w:szCs w:val="28"/>
          </w:rPr>
          <w:t>8</w:t>
        </w:r>
        <w:r w:rsidR="009B691B" w:rsidRPr="00D63A86">
          <w:rPr>
            <w:rFonts w:ascii="Times" w:hAnsi="Times"/>
            <w:noProof/>
            <w:webHidden/>
            <w:sz w:val="28"/>
            <w:szCs w:val="28"/>
          </w:rPr>
          <w:fldChar w:fldCharType="end"/>
        </w:r>
      </w:hyperlink>
    </w:p>
    <w:p w:rsidR="00D63A86" w:rsidRPr="00D63A86" w:rsidRDefault="008813BD" w:rsidP="00D63A86">
      <w:pPr>
        <w:pStyle w:val="12"/>
        <w:rPr>
          <w:rFonts w:ascii="Times" w:hAnsi="Times"/>
          <w:noProof/>
          <w:sz w:val="20"/>
          <w:szCs w:val="22"/>
        </w:rPr>
      </w:pPr>
      <w:hyperlink w:anchor="_Toc58669585" w:history="1">
        <w:r w:rsidR="00D63A86" w:rsidRPr="00D63A86">
          <w:rPr>
            <w:rStyle w:val="aa"/>
            <w:rFonts w:ascii="Times" w:hAnsi="Times" w:cs="Times New Roman"/>
            <w:noProof/>
            <w:sz w:val="28"/>
            <w:szCs w:val="28"/>
          </w:rPr>
          <w:t>问题</w:t>
        </w:r>
        <w:r w:rsidR="00D63A86" w:rsidRPr="00D63A86">
          <w:rPr>
            <w:rStyle w:val="aa"/>
            <w:rFonts w:ascii="Times" w:hAnsi="Times" w:cs="Times New Roman"/>
            <w:noProof/>
            <w:sz w:val="28"/>
            <w:szCs w:val="28"/>
          </w:rPr>
          <w:t>3</w:t>
        </w:r>
        <w:r w:rsidR="00D63A86" w:rsidRPr="00D63A86">
          <w:rPr>
            <w:rFonts w:ascii="Times" w:hAnsi="Times"/>
            <w:noProof/>
            <w:webHidden/>
            <w:sz w:val="28"/>
            <w:szCs w:val="28"/>
          </w:rPr>
          <w:tab/>
        </w:r>
        <w:r w:rsidR="009B691B" w:rsidRPr="00D63A86">
          <w:rPr>
            <w:rFonts w:ascii="Times" w:hAnsi="Times"/>
            <w:noProof/>
            <w:webHidden/>
            <w:sz w:val="28"/>
            <w:szCs w:val="28"/>
          </w:rPr>
          <w:fldChar w:fldCharType="begin"/>
        </w:r>
        <w:r w:rsidR="00D63A86" w:rsidRPr="00D63A86">
          <w:rPr>
            <w:rFonts w:ascii="Times" w:hAnsi="Times"/>
            <w:noProof/>
            <w:webHidden/>
            <w:sz w:val="28"/>
            <w:szCs w:val="28"/>
          </w:rPr>
          <w:instrText xml:space="preserve"> PAGEREF _Toc58669585 \h </w:instrText>
        </w:r>
        <w:r w:rsidR="009B691B" w:rsidRPr="00D63A86">
          <w:rPr>
            <w:rFonts w:ascii="Times" w:hAnsi="Times"/>
            <w:noProof/>
            <w:webHidden/>
            <w:sz w:val="28"/>
            <w:szCs w:val="28"/>
          </w:rPr>
        </w:r>
        <w:r w:rsidR="009B691B" w:rsidRPr="00D63A86">
          <w:rPr>
            <w:rFonts w:ascii="Times" w:hAnsi="Times"/>
            <w:noProof/>
            <w:webHidden/>
            <w:sz w:val="28"/>
            <w:szCs w:val="28"/>
          </w:rPr>
          <w:fldChar w:fldCharType="separate"/>
        </w:r>
        <w:r w:rsidR="00E449CC">
          <w:rPr>
            <w:rFonts w:ascii="Times" w:hAnsi="Times"/>
            <w:noProof/>
            <w:webHidden/>
            <w:sz w:val="28"/>
            <w:szCs w:val="28"/>
          </w:rPr>
          <w:t>13</w:t>
        </w:r>
        <w:r w:rsidR="009B691B" w:rsidRPr="00D63A86">
          <w:rPr>
            <w:rFonts w:ascii="Times" w:hAnsi="Times"/>
            <w:noProof/>
            <w:webHidden/>
            <w:sz w:val="28"/>
            <w:szCs w:val="28"/>
          </w:rPr>
          <w:fldChar w:fldCharType="end"/>
        </w:r>
      </w:hyperlink>
    </w:p>
    <w:p w:rsidR="00D63A86" w:rsidRPr="00D63A86" w:rsidRDefault="008813BD" w:rsidP="00D63A86">
      <w:pPr>
        <w:pStyle w:val="12"/>
        <w:rPr>
          <w:rFonts w:ascii="Times" w:hAnsi="Times"/>
          <w:noProof/>
          <w:sz w:val="20"/>
          <w:szCs w:val="22"/>
        </w:rPr>
      </w:pPr>
      <w:hyperlink w:anchor="_Toc58669586" w:history="1">
        <w:r w:rsidR="00D63A86" w:rsidRPr="00D63A86">
          <w:rPr>
            <w:rStyle w:val="aa"/>
            <w:rFonts w:ascii="Times" w:hAnsi="Times" w:cs="Times New Roman"/>
            <w:noProof/>
            <w:sz w:val="28"/>
            <w:szCs w:val="28"/>
          </w:rPr>
          <w:t>问题</w:t>
        </w:r>
        <w:r w:rsidR="00D63A86" w:rsidRPr="00D63A86">
          <w:rPr>
            <w:rStyle w:val="aa"/>
            <w:rFonts w:ascii="Times" w:hAnsi="Times" w:cs="Times New Roman"/>
            <w:noProof/>
            <w:sz w:val="28"/>
            <w:szCs w:val="28"/>
          </w:rPr>
          <w:t>4</w:t>
        </w:r>
        <w:r w:rsidR="00D63A86" w:rsidRPr="00D63A86">
          <w:rPr>
            <w:rFonts w:ascii="Times" w:hAnsi="Times"/>
            <w:noProof/>
            <w:webHidden/>
            <w:sz w:val="28"/>
            <w:szCs w:val="28"/>
          </w:rPr>
          <w:tab/>
        </w:r>
        <w:r w:rsidR="009B691B" w:rsidRPr="00D63A86">
          <w:rPr>
            <w:rFonts w:ascii="Times" w:hAnsi="Times"/>
            <w:noProof/>
            <w:webHidden/>
            <w:sz w:val="28"/>
            <w:szCs w:val="28"/>
          </w:rPr>
          <w:fldChar w:fldCharType="begin"/>
        </w:r>
        <w:r w:rsidR="00D63A86" w:rsidRPr="00D63A86">
          <w:rPr>
            <w:rFonts w:ascii="Times" w:hAnsi="Times"/>
            <w:noProof/>
            <w:webHidden/>
            <w:sz w:val="28"/>
            <w:szCs w:val="28"/>
          </w:rPr>
          <w:instrText xml:space="preserve"> PAGEREF _Toc58669586 \h </w:instrText>
        </w:r>
        <w:r w:rsidR="009B691B" w:rsidRPr="00D63A86">
          <w:rPr>
            <w:rFonts w:ascii="Times" w:hAnsi="Times"/>
            <w:noProof/>
            <w:webHidden/>
            <w:sz w:val="28"/>
            <w:szCs w:val="28"/>
          </w:rPr>
        </w:r>
        <w:r w:rsidR="009B691B" w:rsidRPr="00D63A86">
          <w:rPr>
            <w:rFonts w:ascii="Times" w:hAnsi="Times"/>
            <w:noProof/>
            <w:webHidden/>
            <w:sz w:val="28"/>
            <w:szCs w:val="28"/>
          </w:rPr>
          <w:fldChar w:fldCharType="separate"/>
        </w:r>
        <w:r w:rsidR="00E449CC">
          <w:rPr>
            <w:rFonts w:ascii="Times" w:hAnsi="Times"/>
            <w:noProof/>
            <w:webHidden/>
            <w:sz w:val="28"/>
            <w:szCs w:val="28"/>
          </w:rPr>
          <w:t>21</w:t>
        </w:r>
        <w:r w:rsidR="009B691B" w:rsidRPr="00D63A86">
          <w:rPr>
            <w:rFonts w:ascii="Times" w:hAnsi="Times"/>
            <w:noProof/>
            <w:webHidden/>
            <w:sz w:val="28"/>
            <w:szCs w:val="28"/>
          </w:rPr>
          <w:fldChar w:fldCharType="end"/>
        </w:r>
      </w:hyperlink>
    </w:p>
    <w:p w:rsidR="009458FA" w:rsidRDefault="009B691B" w:rsidP="00D63A86">
      <w:pPr>
        <w:pStyle w:val="12"/>
        <w:rPr>
          <w:sz w:val="24"/>
        </w:rPr>
        <w:sectPr w:rsidR="009458FA" w:rsidSect="00E449CC">
          <w:headerReference w:type="default" r:id="rId10"/>
          <w:footerReference w:type="default" r:id="rId11"/>
          <w:pgSz w:w="11906" w:h="16838"/>
          <w:pgMar w:top="1440" w:right="1800" w:bottom="1440" w:left="1800" w:header="851" w:footer="992" w:gutter="0"/>
          <w:pgNumType w:start="1"/>
          <w:cols w:space="425"/>
          <w:docGrid w:type="lines" w:linePitch="312"/>
        </w:sectPr>
      </w:pPr>
      <w:r w:rsidRPr="00D63A86">
        <w:rPr>
          <w:rFonts w:ascii="Times" w:hAnsi="Times"/>
          <w:sz w:val="28"/>
          <w:szCs w:val="28"/>
        </w:rPr>
        <w:fldChar w:fldCharType="end"/>
      </w:r>
    </w:p>
    <w:p w:rsidR="001438EB" w:rsidRPr="009C0832" w:rsidRDefault="001438EB" w:rsidP="00903E66">
      <w:pPr>
        <w:spacing w:beforeLines="50" w:before="156" w:afterLines="50" w:after="156" w:line="360" w:lineRule="auto"/>
        <w:ind w:firstLineChars="200" w:firstLine="482"/>
        <w:outlineLvl w:val="0"/>
        <w:rPr>
          <w:rFonts w:ascii="Times New Roman" w:eastAsia="宋体" w:hAnsi="Times New Roman" w:cs="Times New Roman"/>
          <w:b/>
          <w:sz w:val="24"/>
        </w:rPr>
      </w:pPr>
      <w:bookmarkStart w:id="1" w:name="_Toc58669583"/>
      <w:r w:rsidRPr="009C0832">
        <w:rPr>
          <w:rFonts w:ascii="Times New Roman" w:eastAsia="宋体" w:hAnsi="Times New Roman" w:cs="Times New Roman" w:hint="eastAsia"/>
          <w:b/>
          <w:sz w:val="24"/>
        </w:rPr>
        <w:lastRenderedPageBreak/>
        <w:t>问题</w:t>
      </w:r>
      <w:r>
        <w:rPr>
          <w:rFonts w:ascii="Times New Roman" w:eastAsia="宋体" w:hAnsi="Times New Roman" w:cs="Times New Roman"/>
          <w:b/>
          <w:sz w:val="24"/>
        </w:rPr>
        <w:t>1</w:t>
      </w:r>
      <w:bookmarkEnd w:id="1"/>
    </w:p>
    <w:p w:rsidR="000372CA" w:rsidRPr="000372CA" w:rsidRDefault="001438EB" w:rsidP="00903E66">
      <w:pPr>
        <w:spacing w:beforeLines="50" w:before="156" w:afterLines="50" w:after="156" w:line="360" w:lineRule="auto"/>
        <w:ind w:firstLineChars="200" w:firstLine="482"/>
        <w:rPr>
          <w:rFonts w:ascii="Times New Roman" w:eastAsia="宋体" w:hAnsi="Times New Roman" w:cs="Times New Roman"/>
          <w:b/>
          <w:sz w:val="24"/>
        </w:rPr>
      </w:pPr>
      <w:r>
        <w:rPr>
          <w:rFonts w:ascii="Times New Roman" w:eastAsia="宋体" w:hAnsi="Times New Roman" w:cs="Times New Roman"/>
          <w:b/>
          <w:sz w:val="24"/>
        </w:rPr>
        <w:t>1</w:t>
      </w:r>
      <w:r w:rsidRPr="009C0832">
        <w:rPr>
          <w:rFonts w:ascii="Times New Roman" w:eastAsia="宋体" w:hAnsi="Times New Roman" w:cs="Times New Roman"/>
          <w:b/>
          <w:sz w:val="24"/>
        </w:rPr>
        <w:t>.</w:t>
      </w:r>
      <w:r w:rsidRPr="001438EB">
        <w:t xml:space="preserve"> </w:t>
      </w:r>
      <w:r w:rsidR="000372CA" w:rsidRPr="000372CA">
        <w:rPr>
          <w:rFonts w:ascii="Times New Roman" w:eastAsia="宋体" w:hAnsi="Times New Roman" w:cs="Times New Roman"/>
          <w:b/>
          <w:sz w:val="24"/>
        </w:rPr>
        <w:t>根据申报材料及审核问询回复：（</w:t>
      </w:r>
      <w:r w:rsidR="000372CA" w:rsidRPr="000372CA">
        <w:rPr>
          <w:rFonts w:ascii="Times New Roman" w:eastAsia="宋体" w:hAnsi="Times New Roman" w:cs="Times New Roman"/>
          <w:b/>
          <w:sz w:val="24"/>
        </w:rPr>
        <w:t>1</w:t>
      </w:r>
      <w:r w:rsidR="000372CA" w:rsidRPr="000372CA">
        <w:rPr>
          <w:rFonts w:ascii="Times New Roman" w:eastAsia="宋体" w:hAnsi="Times New Roman" w:cs="Times New Roman"/>
          <w:b/>
          <w:sz w:val="24"/>
        </w:rPr>
        <w:t>）发行人是在全国范围内具有一定品牌知名度的建筑方案公司，是国内知名的建筑设计技术与咨询服务提供商；（</w:t>
      </w:r>
      <w:r w:rsidR="000372CA" w:rsidRPr="000372CA">
        <w:rPr>
          <w:rFonts w:ascii="Times New Roman" w:eastAsia="宋体" w:hAnsi="Times New Roman" w:cs="Times New Roman"/>
          <w:b/>
          <w:sz w:val="24"/>
        </w:rPr>
        <w:t>2</w:t>
      </w:r>
      <w:r w:rsidR="000372CA" w:rsidRPr="000372CA">
        <w:rPr>
          <w:rFonts w:ascii="Times New Roman" w:eastAsia="宋体" w:hAnsi="Times New Roman" w:cs="Times New Roman"/>
          <w:b/>
          <w:sz w:val="24"/>
        </w:rPr>
        <w:t>）除发行人、发行人控股股东霍普控股、发行人参控股子公司霍普国际、都市霍普、麦格霍普外，类似商号且涉及建筑设计类的企业还包括</w:t>
      </w:r>
      <w:r w:rsidR="000372CA" w:rsidRPr="000372CA">
        <w:rPr>
          <w:rFonts w:ascii="Times New Roman" w:eastAsia="宋体" w:hAnsi="Times New Roman" w:cs="Times New Roman"/>
          <w:b/>
          <w:sz w:val="24"/>
        </w:rPr>
        <w:t>7</w:t>
      </w:r>
      <w:r w:rsidR="000372CA" w:rsidRPr="000372CA">
        <w:rPr>
          <w:rFonts w:ascii="Times New Roman" w:eastAsia="宋体" w:hAnsi="Times New Roman" w:cs="Times New Roman"/>
          <w:b/>
          <w:sz w:val="24"/>
        </w:rPr>
        <w:t>家；（</w:t>
      </w:r>
      <w:r w:rsidR="000372CA" w:rsidRPr="000372CA">
        <w:rPr>
          <w:rFonts w:ascii="Times New Roman" w:eastAsia="宋体" w:hAnsi="Times New Roman" w:cs="Times New Roman"/>
          <w:b/>
          <w:sz w:val="24"/>
        </w:rPr>
        <w:t>3</w:t>
      </w:r>
      <w:r w:rsidR="000372CA" w:rsidRPr="000372CA">
        <w:rPr>
          <w:rFonts w:ascii="Times New Roman" w:eastAsia="宋体" w:hAnsi="Times New Roman" w:cs="Times New Roman"/>
          <w:b/>
          <w:sz w:val="24"/>
        </w:rPr>
        <w:t>）发行人实际控制人龚俊与深圳市霍普建筑设计有限公司（以下简称</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深圳霍普</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）控股股东欧阳颖为校友，曾共同创业。发行人与深圳霍普报告期存在交易；（</w:t>
      </w:r>
      <w:r w:rsidR="000372CA" w:rsidRPr="000372CA">
        <w:rPr>
          <w:rFonts w:ascii="Times New Roman" w:eastAsia="宋体" w:hAnsi="Times New Roman" w:cs="Times New Roman"/>
          <w:b/>
          <w:sz w:val="24"/>
        </w:rPr>
        <w:t>4</w:t>
      </w:r>
      <w:r w:rsidR="000372CA" w:rsidRPr="000372CA">
        <w:rPr>
          <w:rFonts w:ascii="Times New Roman" w:eastAsia="宋体" w:hAnsi="Times New Roman" w:cs="Times New Roman"/>
          <w:b/>
          <w:sz w:val="24"/>
        </w:rPr>
        <w:t>）公司每年冠名</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霍普杯</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国际大学生建筑设计竞赛。请发行人补充披露：（</w:t>
      </w:r>
      <w:r w:rsidR="000372CA" w:rsidRPr="000372CA">
        <w:rPr>
          <w:rFonts w:ascii="Times New Roman" w:eastAsia="宋体" w:hAnsi="Times New Roman" w:cs="Times New Roman"/>
          <w:b/>
          <w:sz w:val="24"/>
        </w:rPr>
        <w:t>1</w:t>
      </w:r>
      <w:r w:rsidR="000372CA" w:rsidRPr="000372CA">
        <w:rPr>
          <w:rFonts w:ascii="Times New Roman" w:eastAsia="宋体" w:hAnsi="Times New Roman" w:cs="Times New Roman"/>
          <w:b/>
          <w:sz w:val="24"/>
        </w:rPr>
        <w:t>）发行人</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霍普</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品牌的知名度情况，与类似商号且涉及建筑设计类的企业的品牌是否能够有效区分；（</w:t>
      </w:r>
      <w:r w:rsidR="000372CA" w:rsidRPr="000372CA">
        <w:rPr>
          <w:rFonts w:ascii="Times New Roman" w:eastAsia="宋体" w:hAnsi="Times New Roman" w:cs="Times New Roman"/>
          <w:b/>
          <w:sz w:val="24"/>
        </w:rPr>
        <w:t>2</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霍普</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品牌使用是否存在被其他境内外主体主张权利的风险，相关风险对发行人的影响和应对方案；（</w:t>
      </w:r>
      <w:r w:rsidR="000372CA" w:rsidRPr="000372CA">
        <w:rPr>
          <w:rFonts w:ascii="Times New Roman" w:eastAsia="宋体" w:hAnsi="Times New Roman" w:cs="Times New Roman"/>
          <w:b/>
          <w:sz w:val="24"/>
        </w:rPr>
        <w:t>3</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霍普杯</w:t>
      </w:r>
      <w:r w:rsidR="000372CA" w:rsidRPr="000372CA">
        <w:rPr>
          <w:rFonts w:ascii="Times New Roman" w:eastAsia="宋体" w:hAnsi="Times New Roman" w:cs="Times New Roman"/>
          <w:b/>
          <w:sz w:val="24"/>
        </w:rPr>
        <w:t>”</w:t>
      </w:r>
      <w:r w:rsidR="000372CA" w:rsidRPr="000372CA">
        <w:rPr>
          <w:rFonts w:ascii="Times New Roman" w:eastAsia="宋体" w:hAnsi="Times New Roman" w:cs="Times New Roman"/>
          <w:b/>
          <w:sz w:val="24"/>
        </w:rPr>
        <w:t>国际大学生建筑设计竞赛具体情况，包括但不限于主办方、协办方、参与方，参赛对象范围，举办的背景和原因，竞赛作品是否用于商业用途，对参赛作品知识产权的约定等，是否存在与竞赛相关主体的纠纷或潜在纠纷。</w:t>
      </w:r>
    </w:p>
    <w:p w:rsidR="001438EB" w:rsidRDefault="000372CA" w:rsidP="00903E66">
      <w:pPr>
        <w:spacing w:beforeLines="50" w:before="156" w:afterLines="50" w:after="156" w:line="360" w:lineRule="auto"/>
        <w:ind w:firstLineChars="200" w:firstLine="482"/>
        <w:rPr>
          <w:rFonts w:ascii="Times New Roman" w:eastAsia="宋体" w:hAnsi="Times New Roman" w:cs="Times New Roman"/>
          <w:b/>
          <w:sz w:val="24"/>
        </w:rPr>
      </w:pPr>
      <w:r w:rsidRPr="000372CA">
        <w:rPr>
          <w:rFonts w:ascii="Times New Roman" w:eastAsia="宋体" w:hAnsi="Times New Roman" w:cs="Times New Roman"/>
          <w:b/>
          <w:sz w:val="24"/>
        </w:rPr>
        <w:t>请保荐人、发行人律师核查并发表明确意见。</w:t>
      </w:r>
    </w:p>
    <w:p w:rsidR="00B050D2" w:rsidRDefault="00B050D2" w:rsidP="00903E66">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B050D2" w:rsidRPr="0076370A" w:rsidRDefault="00B050D2" w:rsidP="00903E66">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B050D2" w:rsidRPr="009C0832" w:rsidRDefault="00B050D2" w:rsidP="00903E66">
      <w:pPr>
        <w:spacing w:beforeLines="50" w:before="156" w:afterLines="50" w:after="156" w:line="360" w:lineRule="auto"/>
        <w:ind w:firstLineChars="200" w:firstLine="482"/>
        <w:outlineLvl w:val="2"/>
        <w:rPr>
          <w:rFonts w:ascii="黑体" w:eastAsia="黑体" w:hAnsi="黑体" w:cs="Times New Roman"/>
          <w:b/>
          <w:bCs/>
          <w:sz w:val="24"/>
          <w:szCs w:val="24"/>
        </w:rPr>
      </w:pPr>
      <w:r w:rsidRPr="009C0832">
        <w:rPr>
          <w:rFonts w:ascii="黑体" w:eastAsia="黑体" w:hAnsi="黑体" w:cs="Times New Roman" w:hint="eastAsia"/>
          <w:b/>
          <w:bCs/>
          <w:sz w:val="24"/>
          <w:szCs w:val="24"/>
        </w:rPr>
        <w:t>（一）</w:t>
      </w:r>
      <w:r w:rsidR="000372CA" w:rsidRPr="000372CA">
        <w:rPr>
          <w:rFonts w:ascii="黑体" w:eastAsia="黑体" w:hAnsi="黑体" w:cs="Times New Roman"/>
          <w:b/>
          <w:bCs/>
          <w:sz w:val="24"/>
          <w:szCs w:val="24"/>
        </w:rPr>
        <w:t>发行人“霍普”品牌的知名度情况，与类似商号且涉及建筑设计类的企业的品牌是否能够有效区分</w:t>
      </w:r>
    </w:p>
    <w:p w:rsidR="00837E8F" w:rsidRDefault="00837E8F" w:rsidP="00903E66">
      <w:pPr>
        <w:spacing w:beforeLines="50" w:before="156" w:afterLines="50" w:after="156" w:line="360" w:lineRule="auto"/>
        <w:ind w:firstLineChars="200" w:firstLine="480"/>
        <w:rPr>
          <w:rFonts w:ascii="Times New Roman" w:eastAsia="宋体" w:hAnsi="Times New Roman" w:cs="Times New Roman"/>
          <w:sz w:val="24"/>
          <w:szCs w:val="24"/>
        </w:rPr>
      </w:pPr>
      <w:r w:rsidRPr="0096308F">
        <w:rPr>
          <w:rFonts w:ascii="Times New Roman" w:eastAsia="宋体" w:hAnsi="Times New Roman" w:cs="Times New Roman" w:hint="eastAsia"/>
          <w:sz w:val="24"/>
          <w:szCs w:val="24"/>
        </w:rPr>
        <w:t>发行人已在招股说</w:t>
      </w:r>
      <w:r w:rsidRPr="001C1B51">
        <w:rPr>
          <w:rFonts w:ascii="宋体" w:eastAsia="宋体" w:hAnsi="宋体" w:cs="Times New Roman" w:hint="eastAsia"/>
          <w:sz w:val="24"/>
          <w:szCs w:val="24"/>
        </w:rPr>
        <w:t>明书“</w:t>
      </w:r>
      <w:r w:rsidRPr="004B0172">
        <w:rPr>
          <w:rFonts w:ascii="宋体" w:eastAsia="宋体" w:hAnsi="宋体" w:cs="Times New Roman"/>
          <w:sz w:val="24"/>
          <w:szCs w:val="24"/>
        </w:rPr>
        <w:t>第七节</w:t>
      </w:r>
      <w:r>
        <w:rPr>
          <w:rFonts w:ascii="宋体" w:eastAsia="宋体" w:hAnsi="宋体" w:cs="Times New Roman" w:hint="eastAsia"/>
          <w:sz w:val="24"/>
          <w:szCs w:val="24"/>
        </w:rPr>
        <w:t xml:space="preserve"> </w:t>
      </w:r>
      <w:r w:rsidRPr="004B0172">
        <w:rPr>
          <w:rFonts w:ascii="宋体" w:eastAsia="宋体" w:hAnsi="宋体" w:cs="Times New Roman"/>
          <w:sz w:val="24"/>
          <w:szCs w:val="24"/>
        </w:rPr>
        <w:t>公司治理与独立性</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七</w:t>
      </w:r>
      <w:r w:rsidRPr="001C1B51">
        <w:rPr>
          <w:rFonts w:ascii="宋体" w:eastAsia="宋体" w:hAnsi="宋体" w:cs="Times New Roman"/>
          <w:sz w:val="24"/>
          <w:szCs w:val="24"/>
        </w:rPr>
        <w:t>、</w:t>
      </w:r>
      <w:r w:rsidRPr="001C1B51">
        <w:rPr>
          <w:rFonts w:ascii="宋体" w:eastAsia="宋体" w:hAnsi="宋体" w:cs="Times New Roman" w:hint="eastAsia"/>
          <w:sz w:val="24"/>
          <w:szCs w:val="24"/>
        </w:rPr>
        <w:t>关联交易情况</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（一）关联方与关联关系</w:t>
      </w:r>
      <w:r w:rsidRPr="001C1B51">
        <w:rPr>
          <w:rFonts w:ascii="宋体" w:eastAsia="宋体" w:hAnsi="宋体" w:cs="Times New Roman"/>
          <w:sz w:val="24"/>
          <w:szCs w:val="24"/>
        </w:rPr>
        <w:t>”</w:t>
      </w:r>
      <w:r w:rsidRPr="001C1B51">
        <w:rPr>
          <w:rFonts w:ascii="宋体" w:eastAsia="宋体" w:hAnsi="宋体" w:cs="Times New Roman" w:hint="eastAsia"/>
          <w:sz w:val="24"/>
          <w:szCs w:val="24"/>
        </w:rPr>
        <w:t>之“</w:t>
      </w:r>
      <w:r w:rsidRPr="00385A76">
        <w:rPr>
          <w:rFonts w:ascii="Times New Roman" w:eastAsia="宋体" w:hAnsi="Times New Roman" w:cs="Times New Roman"/>
          <w:sz w:val="24"/>
          <w:szCs w:val="24"/>
        </w:rPr>
        <w:t>3</w:t>
      </w:r>
      <w:r w:rsidRPr="001C1B51">
        <w:rPr>
          <w:rFonts w:ascii="宋体" w:eastAsia="宋体" w:hAnsi="宋体" w:cs="Times New Roman" w:hint="eastAsia"/>
          <w:sz w:val="24"/>
          <w:szCs w:val="24"/>
        </w:rPr>
        <w:t>、其他</w:t>
      </w:r>
      <w:r>
        <w:rPr>
          <w:rFonts w:ascii="宋体" w:eastAsia="宋体" w:hAnsi="宋体" w:cs="Times New Roman" w:hint="eastAsia"/>
          <w:sz w:val="24"/>
          <w:szCs w:val="24"/>
        </w:rPr>
        <w:t>说明</w:t>
      </w:r>
      <w:r w:rsidRPr="001C1B51">
        <w:rPr>
          <w:rFonts w:ascii="宋体" w:eastAsia="宋体" w:hAnsi="宋体" w:cs="Times New Roman" w:hint="eastAsia"/>
          <w:sz w:val="24"/>
          <w:szCs w:val="24"/>
        </w:rPr>
        <w:t>”</w:t>
      </w:r>
      <w:r w:rsidRPr="001C1B51">
        <w:rPr>
          <w:rFonts w:ascii="宋体" w:eastAsia="宋体" w:hAnsi="宋体" w:cs="Times New Roman"/>
          <w:sz w:val="24"/>
          <w:szCs w:val="24"/>
        </w:rPr>
        <w:t>补充披</w:t>
      </w:r>
      <w:r w:rsidRPr="0096308F">
        <w:rPr>
          <w:rFonts w:ascii="Times New Roman" w:eastAsia="宋体" w:hAnsi="Times New Roman" w:cs="Times New Roman"/>
          <w:sz w:val="24"/>
          <w:szCs w:val="24"/>
        </w:rPr>
        <w:t>露如下：</w:t>
      </w:r>
    </w:p>
    <w:p w:rsidR="00B050D2" w:rsidRPr="00566CF7" w:rsidRDefault="00837E8F" w:rsidP="00837E8F">
      <w:pPr>
        <w:pStyle w:val="11"/>
        <w:spacing w:before="156" w:after="156"/>
        <w:rPr>
          <w:rFonts w:cs="Times New Roman"/>
        </w:rPr>
      </w:pPr>
      <w:r w:rsidRPr="00566CF7">
        <w:rPr>
          <w:rFonts w:cs="Times New Roman"/>
        </w:rPr>
        <w:t>（</w:t>
      </w:r>
      <w:r w:rsidRPr="00566CF7">
        <w:rPr>
          <w:rFonts w:cs="Times New Roman"/>
        </w:rPr>
        <w:t>6</w:t>
      </w:r>
      <w:r w:rsidRPr="00566CF7">
        <w:rPr>
          <w:rFonts w:cs="Times New Roman"/>
        </w:rPr>
        <w:t>）发行人</w:t>
      </w:r>
      <w:r w:rsidRPr="00566CF7">
        <w:rPr>
          <w:rFonts w:cs="Times New Roman"/>
        </w:rPr>
        <w:t>“</w:t>
      </w:r>
      <w:r w:rsidRPr="00566CF7">
        <w:rPr>
          <w:rFonts w:cs="Times New Roman"/>
        </w:rPr>
        <w:t>霍普</w:t>
      </w:r>
      <w:r w:rsidRPr="00566CF7">
        <w:rPr>
          <w:rFonts w:cs="Times New Roman"/>
        </w:rPr>
        <w:t>”</w:t>
      </w:r>
      <w:r w:rsidRPr="00566CF7">
        <w:rPr>
          <w:rFonts w:cs="Times New Roman"/>
        </w:rPr>
        <w:t>品牌的知名度情况，与类似商号且涉及建筑设计类的企业的品牌是否能够有效区分</w:t>
      </w:r>
    </w:p>
    <w:p w:rsidR="006221C0" w:rsidRPr="00566CF7" w:rsidRDefault="00704224" w:rsidP="00484412">
      <w:pPr>
        <w:pStyle w:val="11"/>
        <w:spacing w:before="156" w:after="156"/>
        <w:rPr>
          <w:rFonts w:cs="Times New Roman"/>
        </w:rPr>
      </w:pPr>
      <w:r w:rsidRPr="00566CF7">
        <w:rPr>
          <w:rFonts w:cs="Times New Roman"/>
        </w:rPr>
        <w:t>公司凭借自身在创意</w:t>
      </w:r>
      <w:r w:rsidR="0007036E" w:rsidRPr="00566CF7">
        <w:rPr>
          <w:rFonts w:cs="Times New Roman"/>
        </w:rPr>
        <w:t>水平</w:t>
      </w:r>
      <w:r w:rsidRPr="00566CF7">
        <w:rPr>
          <w:rFonts w:cs="Times New Roman"/>
        </w:rPr>
        <w:t>、设计技术、人才团队、过往业绩、</w:t>
      </w:r>
      <w:r w:rsidR="0008509A" w:rsidRPr="00566CF7">
        <w:rPr>
          <w:rFonts w:cs="Times New Roman"/>
        </w:rPr>
        <w:t>资质荣誉、</w:t>
      </w:r>
      <w:r w:rsidRPr="00566CF7">
        <w:rPr>
          <w:rFonts w:cs="Times New Roman"/>
        </w:rPr>
        <w:t>优秀设计作品等方面的综合优势</w:t>
      </w:r>
      <w:r w:rsidR="00020AC7" w:rsidRPr="00566CF7">
        <w:rPr>
          <w:rFonts w:cs="Times New Roman"/>
        </w:rPr>
        <w:t>与影响力</w:t>
      </w:r>
      <w:r w:rsidRPr="00566CF7">
        <w:rPr>
          <w:rFonts w:cs="Times New Roman"/>
        </w:rPr>
        <w:t>，在全国范围内、建筑方案领域形成了一定的品牌知名度。</w:t>
      </w:r>
    </w:p>
    <w:p w:rsidR="00704224" w:rsidRPr="00566CF7" w:rsidRDefault="006221C0" w:rsidP="006221C0">
      <w:pPr>
        <w:pStyle w:val="11"/>
        <w:spacing w:before="156" w:after="156"/>
        <w:rPr>
          <w:rFonts w:cs="Times New Roman"/>
        </w:rPr>
      </w:pPr>
      <w:proofErr w:type="gramStart"/>
      <w:r w:rsidRPr="00566CF7">
        <w:rPr>
          <w:rFonts w:cs="Times New Roman"/>
        </w:rPr>
        <w:lastRenderedPageBreak/>
        <w:t>经网络</w:t>
      </w:r>
      <w:proofErr w:type="gramEnd"/>
      <w:r w:rsidRPr="00566CF7">
        <w:rPr>
          <w:rFonts w:cs="Times New Roman"/>
        </w:rPr>
        <w:t>检索，截至目前，除公司的子公司、参股公司外，与公司商号类似且涉及建筑设计类的企业主要有</w:t>
      </w:r>
      <w:r w:rsidRPr="00566CF7">
        <w:rPr>
          <w:rFonts w:cs="Times New Roman"/>
        </w:rPr>
        <w:t>7</w:t>
      </w:r>
      <w:r w:rsidRPr="00566CF7">
        <w:rPr>
          <w:rFonts w:cs="Times New Roman"/>
        </w:rPr>
        <w:t>家。上述公司中，除深圳霍普外，其余公司均未注册商标。深圳霍普的注册商标为</w:t>
      </w:r>
      <w:r w:rsidRPr="00566CF7">
        <w:rPr>
          <w:rFonts w:cs="Times New Roman"/>
        </w:rPr>
        <w:t>“</w:t>
      </w:r>
      <w:r w:rsidRPr="00566CF7">
        <w:rPr>
          <w:rFonts w:cs="Times New Roman"/>
          <w:noProof/>
        </w:rPr>
        <w:drawing>
          <wp:inline distT="0" distB="0" distL="0" distR="0" wp14:anchorId="3EC0E468" wp14:editId="090733E8">
            <wp:extent cx="533400" cy="268605"/>
            <wp:effectExtent l="0" t="0" r="0" b="0"/>
            <wp:docPr id="4" name="图片 4" descr="徽标, 图标, 公司名称&#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descr="徽标, 图标, 公司名称&#10;&#10;描述已自动生成"/>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3400" cy="268605"/>
                    </a:xfrm>
                    <a:prstGeom prst="rect">
                      <a:avLst/>
                    </a:prstGeom>
                    <a:noFill/>
                    <a:ln>
                      <a:noFill/>
                    </a:ln>
                  </pic:spPr>
                </pic:pic>
              </a:graphicData>
            </a:graphic>
          </wp:inline>
        </w:drawing>
      </w:r>
      <w:r w:rsidRPr="00566CF7">
        <w:rPr>
          <w:rFonts w:cs="Times New Roman"/>
        </w:rPr>
        <w:t>”</w:t>
      </w:r>
      <w:r w:rsidRPr="00566CF7">
        <w:rPr>
          <w:rFonts w:cs="Times New Roman"/>
        </w:rPr>
        <w:t>，与公司的注册商标及品牌</w:t>
      </w:r>
      <w:r w:rsidRPr="00566CF7">
        <w:rPr>
          <w:rFonts w:cs="Times New Roman"/>
        </w:rPr>
        <w:t>LOGO</w:t>
      </w:r>
      <w:r w:rsidRPr="00566CF7">
        <w:rPr>
          <w:rFonts w:cs="Times New Roman"/>
        </w:rPr>
        <w:t>显著不同。</w:t>
      </w:r>
      <w:r w:rsidR="0008509A" w:rsidRPr="00566CF7">
        <w:rPr>
          <w:rFonts w:cs="Times New Roman"/>
        </w:rPr>
        <w:t>公司的品牌与</w:t>
      </w:r>
      <w:r w:rsidRPr="00566CF7">
        <w:rPr>
          <w:rFonts w:cs="Times New Roman"/>
        </w:rPr>
        <w:t>上述</w:t>
      </w:r>
      <w:r w:rsidR="0008509A" w:rsidRPr="00566CF7">
        <w:rPr>
          <w:rFonts w:cs="Times New Roman"/>
        </w:rPr>
        <w:t>类似商号且涉及建筑设计类的企业的品牌能够有效区分，具体原因为：</w:t>
      </w:r>
    </w:p>
    <w:p w:rsidR="00837E8F" w:rsidRPr="00566CF7" w:rsidRDefault="00837E8F" w:rsidP="00484412">
      <w:pPr>
        <w:pStyle w:val="11"/>
        <w:spacing w:before="156" w:after="156"/>
        <w:rPr>
          <w:rFonts w:cs="Times New Roman"/>
        </w:rPr>
      </w:pPr>
      <w:r w:rsidRPr="00566CF7">
        <w:rPr>
          <w:rFonts w:cs="Times New Roman"/>
        </w:rPr>
        <w:t>第一，</w:t>
      </w:r>
      <w:r w:rsidR="00E551E1" w:rsidRPr="00566CF7">
        <w:rPr>
          <w:rFonts w:cs="Times New Roman"/>
        </w:rPr>
        <w:t>公司对外品牌宣传主要使用</w:t>
      </w:r>
      <w:r w:rsidR="00E551E1" w:rsidRPr="00566CF7">
        <w:rPr>
          <w:rFonts w:cs="Times New Roman"/>
        </w:rPr>
        <w:t xml:space="preserve">“ </w:t>
      </w:r>
      <w:r w:rsidR="00E551E1" w:rsidRPr="00566CF7">
        <w:rPr>
          <w:rFonts w:cs="Times New Roman"/>
          <w:noProof/>
        </w:rPr>
        <w:drawing>
          <wp:inline distT="0" distB="0" distL="0" distR="0" wp14:anchorId="745F0F8A" wp14:editId="7DE40D2D">
            <wp:extent cx="1045210" cy="260985"/>
            <wp:effectExtent l="0" t="0" r="2540" b="5715"/>
            <wp:docPr id="1"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包含 文本&#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5210" cy="260985"/>
                    </a:xfrm>
                    <a:prstGeom prst="rect">
                      <a:avLst/>
                    </a:prstGeom>
                    <a:noFill/>
                    <a:ln>
                      <a:noFill/>
                    </a:ln>
                  </pic:spPr>
                </pic:pic>
              </a:graphicData>
            </a:graphic>
          </wp:inline>
        </w:drawing>
      </w:r>
      <w:r w:rsidR="00E551E1" w:rsidRPr="00566CF7">
        <w:rPr>
          <w:rFonts w:cs="Times New Roman"/>
        </w:rPr>
        <w:t xml:space="preserve"> ”</w:t>
      </w:r>
      <w:r w:rsidR="00E551E1" w:rsidRPr="00566CF7">
        <w:rPr>
          <w:rFonts w:cs="Times New Roman"/>
        </w:rPr>
        <w:t>的品牌</w:t>
      </w:r>
      <w:r w:rsidR="00E551E1" w:rsidRPr="00566CF7">
        <w:rPr>
          <w:rFonts w:cs="Times New Roman"/>
        </w:rPr>
        <w:t>LOGO</w:t>
      </w:r>
      <w:r w:rsidR="00E551E1" w:rsidRPr="00566CF7">
        <w:rPr>
          <w:rFonts w:cs="Times New Roman"/>
        </w:rPr>
        <w:t>以及</w:t>
      </w:r>
      <w:r w:rsidR="00E551E1" w:rsidRPr="00566CF7">
        <w:rPr>
          <w:rFonts w:cs="Times New Roman"/>
        </w:rPr>
        <w:t>“</w:t>
      </w:r>
      <w:r w:rsidR="00E551E1" w:rsidRPr="00566CF7">
        <w:rPr>
          <w:rFonts w:cs="Times New Roman"/>
        </w:rPr>
        <w:t>霍普</w:t>
      </w:r>
      <w:r w:rsidR="00E551E1" w:rsidRPr="00566CF7">
        <w:rPr>
          <w:rFonts w:cs="Times New Roman"/>
        </w:rPr>
        <w:t>”</w:t>
      </w:r>
      <w:r w:rsidR="00E551E1" w:rsidRPr="00566CF7">
        <w:rPr>
          <w:rFonts w:cs="Times New Roman"/>
        </w:rPr>
        <w:t>、</w:t>
      </w:r>
      <w:r w:rsidRPr="00566CF7">
        <w:rPr>
          <w:rFonts w:cs="Times New Roman"/>
        </w:rPr>
        <w:t>“</w:t>
      </w:r>
      <w:r w:rsidRPr="00566CF7">
        <w:rPr>
          <w:rFonts w:cs="Times New Roman"/>
        </w:rPr>
        <w:t>霍普股份</w:t>
      </w:r>
      <w:r w:rsidRPr="00566CF7">
        <w:rPr>
          <w:rFonts w:cs="Times New Roman"/>
        </w:rPr>
        <w:t>”</w:t>
      </w:r>
      <w:r w:rsidRPr="00566CF7">
        <w:rPr>
          <w:rFonts w:cs="Times New Roman"/>
        </w:rPr>
        <w:t>、</w:t>
      </w:r>
      <w:r w:rsidRPr="00566CF7">
        <w:rPr>
          <w:rFonts w:cs="Times New Roman"/>
        </w:rPr>
        <w:t>“</w:t>
      </w:r>
      <w:r w:rsidRPr="00566CF7">
        <w:rPr>
          <w:rFonts w:cs="Times New Roman"/>
        </w:rPr>
        <w:t>霍普建筑</w:t>
      </w:r>
      <w:r w:rsidRPr="00566CF7">
        <w:rPr>
          <w:rFonts w:cs="Times New Roman"/>
        </w:rPr>
        <w:t>”</w:t>
      </w:r>
      <w:r w:rsidRPr="00566CF7">
        <w:rPr>
          <w:rFonts w:cs="Times New Roman"/>
        </w:rPr>
        <w:t>、</w:t>
      </w:r>
      <w:r w:rsidR="00E551E1" w:rsidRPr="00566CF7">
        <w:rPr>
          <w:rFonts w:cs="Times New Roman"/>
        </w:rPr>
        <w:t>“HYP”</w:t>
      </w:r>
      <w:r w:rsidR="00E551E1" w:rsidRPr="00566CF7">
        <w:rPr>
          <w:rFonts w:cs="Times New Roman"/>
        </w:rPr>
        <w:t>字样的</w:t>
      </w:r>
      <w:r w:rsidRPr="00566CF7">
        <w:rPr>
          <w:rFonts w:cs="Times New Roman"/>
        </w:rPr>
        <w:t>注册</w:t>
      </w:r>
      <w:r w:rsidR="00E551E1" w:rsidRPr="00566CF7">
        <w:rPr>
          <w:rFonts w:cs="Times New Roman"/>
        </w:rPr>
        <w:t>商标，上述品牌</w:t>
      </w:r>
      <w:r w:rsidR="00E551E1" w:rsidRPr="00566CF7">
        <w:rPr>
          <w:rFonts w:cs="Times New Roman"/>
        </w:rPr>
        <w:t>LOGO</w:t>
      </w:r>
      <w:r w:rsidR="00E551E1" w:rsidRPr="00566CF7">
        <w:rPr>
          <w:rFonts w:cs="Times New Roman"/>
        </w:rPr>
        <w:t>以及商标</w:t>
      </w:r>
      <w:r w:rsidRPr="00566CF7">
        <w:rPr>
          <w:rFonts w:cs="Times New Roman"/>
        </w:rPr>
        <w:t>与其他建筑设计类的企业的品牌宣传标识具有显著区别</w:t>
      </w:r>
      <w:r w:rsidRPr="00566CF7">
        <w:rPr>
          <w:rFonts w:cs="Times New Roman"/>
        </w:rPr>
        <w:t xml:space="preserve">, </w:t>
      </w:r>
      <w:r w:rsidRPr="00566CF7">
        <w:rPr>
          <w:rFonts w:cs="Times New Roman"/>
        </w:rPr>
        <w:t>不存在使用相同或类似的商标、品牌</w:t>
      </w:r>
      <w:r w:rsidRPr="00566CF7">
        <w:rPr>
          <w:rFonts w:cs="Times New Roman"/>
        </w:rPr>
        <w:t>LOGO</w:t>
      </w:r>
      <w:r w:rsidRPr="00566CF7">
        <w:rPr>
          <w:rFonts w:cs="Times New Roman"/>
        </w:rPr>
        <w:t>的情况。</w:t>
      </w:r>
    </w:p>
    <w:p w:rsidR="0008509A" w:rsidRPr="00566CF7" w:rsidRDefault="00837E8F" w:rsidP="0008509A">
      <w:pPr>
        <w:pStyle w:val="11"/>
        <w:spacing w:before="156" w:after="156"/>
        <w:rPr>
          <w:rFonts w:cs="Times New Roman"/>
        </w:rPr>
      </w:pPr>
      <w:r w:rsidRPr="00566CF7">
        <w:rPr>
          <w:rFonts w:cs="Times New Roman"/>
        </w:rPr>
        <w:t>第二，公司</w:t>
      </w:r>
      <w:r w:rsidR="0008509A" w:rsidRPr="00566CF7">
        <w:rPr>
          <w:rFonts w:cs="Times New Roman"/>
        </w:rPr>
        <w:t>的品牌价值集中体现在设计作品、获奖荣誉、设计师团队等方面。</w:t>
      </w:r>
      <w:r w:rsidRPr="00566CF7">
        <w:rPr>
          <w:rFonts w:cs="Times New Roman"/>
        </w:rPr>
        <w:t>公司</w:t>
      </w:r>
      <w:r w:rsidR="0008509A" w:rsidRPr="00566CF7">
        <w:rPr>
          <w:rFonts w:cs="Times New Roman"/>
        </w:rPr>
        <w:t>对外进行品牌宣传时，以优秀设计案例、核心设计人员、所获奖项等多样化的素材作为品牌载体，单纯的商号相同并不会导致客户产生混淆认知。同时，</w:t>
      </w:r>
      <w:r w:rsidRPr="00566CF7">
        <w:rPr>
          <w:rFonts w:cs="Times New Roman"/>
        </w:rPr>
        <w:t>公司</w:t>
      </w:r>
      <w:r w:rsidR="0008509A" w:rsidRPr="00566CF7">
        <w:rPr>
          <w:rFonts w:cs="Times New Roman"/>
        </w:rPr>
        <w:t>主要客户为保利等大型房地产开发商，其在遴选供应商时具有较高的注意义务。在设计项目的承接、执行过程中，客户会详细考察设计单位的过往设计作品、案例经验、团队实力及经历等，不会仅因公司名称中部分商号相同而产生混淆或误导。</w:t>
      </w:r>
    </w:p>
    <w:p w:rsidR="00EC1025" w:rsidRPr="009C0832" w:rsidRDefault="00EC1025" w:rsidP="00903E66">
      <w:pPr>
        <w:spacing w:beforeLines="50" w:before="156" w:afterLines="50" w:after="156" w:line="360" w:lineRule="auto"/>
        <w:ind w:firstLineChars="200" w:firstLine="482"/>
        <w:outlineLvl w:val="2"/>
        <w:rPr>
          <w:rFonts w:ascii="黑体" w:eastAsia="黑体" w:hAnsi="黑体" w:cs="Times New Roman"/>
          <w:b/>
          <w:bCs/>
          <w:sz w:val="24"/>
          <w:szCs w:val="24"/>
        </w:rPr>
      </w:pPr>
      <w:r w:rsidRPr="009C0832">
        <w:rPr>
          <w:rFonts w:ascii="黑体" w:eastAsia="黑体" w:hAnsi="黑体" w:cs="Times New Roman" w:hint="eastAsia"/>
          <w:b/>
          <w:bCs/>
          <w:sz w:val="24"/>
          <w:szCs w:val="24"/>
        </w:rPr>
        <w:t>（</w:t>
      </w:r>
      <w:r>
        <w:rPr>
          <w:rFonts w:ascii="黑体" w:eastAsia="黑体" w:hAnsi="黑体" w:cs="Times New Roman" w:hint="eastAsia"/>
          <w:b/>
          <w:bCs/>
          <w:sz w:val="24"/>
          <w:szCs w:val="24"/>
        </w:rPr>
        <w:t>二</w:t>
      </w:r>
      <w:r w:rsidRPr="009C0832">
        <w:rPr>
          <w:rFonts w:ascii="黑体" w:eastAsia="黑体" w:hAnsi="黑体" w:cs="Times New Roman" w:hint="eastAsia"/>
          <w:b/>
          <w:bCs/>
          <w:sz w:val="24"/>
          <w:szCs w:val="24"/>
        </w:rPr>
        <w:t>）</w:t>
      </w:r>
      <w:r w:rsidR="000372CA" w:rsidRPr="000372CA">
        <w:rPr>
          <w:rFonts w:ascii="黑体" w:eastAsia="黑体" w:hAnsi="黑体" w:cs="Times New Roman"/>
          <w:b/>
          <w:bCs/>
          <w:sz w:val="24"/>
          <w:szCs w:val="24"/>
        </w:rPr>
        <w:t>“霍普”品牌使用是否存在被其他境内</w:t>
      </w:r>
      <w:proofErr w:type="gramStart"/>
      <w:r w:rsidR="000372CA" w:rsidRPr="000372CA">
        <w:rPr>
          <w:rFonts w:ascii="黑体" w:eastAsia="黑体" w:hAnsi="黑体" w:cs="Times New Roman"/>
          <w:b/>
          <w:bCs/>
          <w:sz w:val="24"/>
          <w:szCs w:val="24"/>
        </w:rPr>
        <w:t>外主体</w:t>
      </w:r>
      <w:proofErr w:type="gramEnd"/>
      <w:r w:rsidR="000372CA" w:rsidRPr="000372CA">
        <w:rPr>
          <w:rFonts w:ascii="黑体" w:eastAsia="黑体" w:hAnsi="黑体" w:cs="Times New Roman"/>
          <w:b/>
          <w:bCs/>
          <w:sz w:val="24"/>
          <w:szCs w:val="24"/>
        </w:rPr>
        <w:t>主张权利的风险，相关风险对发行人的影响和应对方案</w:t>
      </w:r>
    </w:p>
    <w:p w:rsidR="00837E8F" w:rsidRDefault="00837E8F" w:rsidP="00903E66">
      <w:pPr>
        <w:spacing w:beforeLines="50" w:before="156" w:afterLines="50" w:after="156" w:line="360" w:lineRule="auto"/>
        <w:ind w:firstLineChars="200" w:firstLine="480"/>
        <w:rPr>
          <w:rFonts w:ascii="Times New Roman" w:eastAsia="宋体" w:hAnsi="Times New Roman" w:cs="Times New Roman"/>
          <w:sz w:val="24"/>
          <w:szCs w:val="24"/>
        </w:rPr>
      </w:pPr>
      <w:r w:rsidRPr="0096308F">
        <w:rPr>
          <w:rFonts w:ascii="Times New Roman" w:eastAsia="宋体" w:hAnsi="Times New Roman" w:cs="Times New Roman" w:hint="eastAsia"/>
          <w:sz w:val="24"/>
          <w:szCs w:val="24"/>
        </w:rPr>
        <w:t>发行人已在招股说</w:t>
      </w:r>
      <w:r w:rsidRPr="001C1B51">
        <w:rPr>
          <w:rFonts w:ascii="宋体" w:eastAsia="宋体" w:hAnsi="宋体" w:cs="Times New Roman" w:hint="eastAsia"/>
          <w:sz w:val="24"/>
          <w:szCs w:val="24"/>
        </w:rPr>
        <w:t>明书“</w:t>
      </w:r>
      <w:r w:rsidRPr="004B0172">
        <w:rPr>
          <w:rFonts w:ascii="宋体" w:eastAsia="宋体" w:hAnsi="宋体" w:cs="Times New Roman"/>
          <w:sz w:val="24"/>
          <w:szCs w:val="24"/>
        </w:rPr>
        <w:t>第七节</w:t>
      </w:r>
      <w:r>
        <w:rPr>
          <w:rFonts w:ascii="宋体" w:eastAsia="宋体" w:hAnsi="宋体" w:cs="Times New Roman" w:hint="eastAsia"/>
          <w:sz w:val="24"/>
          <w:szCs w:val="24"/>
        </w:rPr>
        <w:t xml:space="preserve"> </w:t>
      </w:r>
      <w:r w:rsidRPr="004B0172">
        <w:rPr>
          <w:rFonts w:ascii="宋体" w:eastAsia="宋体" w:hAnsi="宋体" w:cs="Times New Roman"/>
          <w:sz w:val="24"/>
          <w:szCs w:val="24"/>
        </w:rPr>
        <w:t>公司治理与独立性</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七</w:t>
      </w:r>
      <w:r w:rsidRPr="001C1B51">
        <w:rPr>
          <w:rFonts w:ascii="宋体" w:eastAsia="宋体" w:hAnsi="宋体" w:cs="Times New Roman"/>
          <w:sz w:val="24"/>
          <w:szCs w:val="24"/>
        </w:rPr>
        <w:t>、</w:t>
      </w:r>
      <w:r w:rsidRPr="001C1B51">
        <w:rPr>
          <w:rFonts w:ascii="宋体" w:eastAsia="宋体" w:hAnsi="宋体" w:cs="Times New Roman" w:hint="eastAsia"/>
          <w:sz w:val="24"/>
          <w:szCs w:val="24"/>
        </w:rPr>
        <w:t>关联交易情况</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（一）关联方与关联关系</w:t>
      </w:r>
      <w:r w:rsidRPr="001C1B51">
        <w:rPr>
          <w:rFonts w:ascii="宋体" w:eastAsia="宋体" w:hAnsi="宋体" w:cs="Times New Roman"/>
          <w:sz w:val="24"/>
          <w:szCs w:val="24"/>
        </w:rPr>
        <w:t>”</w:t>
      </w:r>
      <w:r w:rsidRPr="001C1B51">
        <w:rPr>
          <w:rFonts w:ascii="宋体" w:eastAsia="宋体" w:hAnsi="宋体" w:cs="Times New Roman" w:hint="eastAsia"/>
          <w:sz w:val="24"/>
          <w:szCs w:val="24"/>
        </w:rPr>
        <w:t>之“</w:t>
      </w:r>
      <w:r w:rsidRPr="00385A76">
        <w:rPr>
          <w:rFonts w:ascii="Times New Roman" w:eastAsia="宋体" w:hAnsi="Times New Roman" w:cs="Times New Roman"/>
          <w:sz w:val="24"/>
          <w:szCs w:val="24"/>
        </w:rPr>
        <w:t>3</w:t>
      </w:r>
      <w:r w:rsidRPr="001C1B51">
        <w:rPr>
          <w:rFonts w:ascii="宋体" w:eastAsia="宋体" w:hAnsi="宋体" w:cs="Times New Roman" w:hint="eastAsia"/>
          <w:sz w:val="24"/>
          <w:szCs w:val="24"/>
        </w:rPr>
        <w:t>、其他</w:t>
      </w:r>
      <w:r>
        <w:rPr>
          <w:rFonts w:ascii="宋体" w:eastAsia="宋体" w:hAnsi="宋体" w:cs="Times New Roman" w:hint="eastAsia"/>
          <w:sz w:val="24"/>
          <w:szCs w:val="24"/>
        </w:rPr>
        <w:t>说明</w:t>
      </w:r>
      <w:r w:rsidRPr="001C1B51">
        <w:rPr>
          <w:rFonts w:ascii="宋体" w:eastAsia="宋体" w:hAnsi="宋体" w:cs="Times New Roman" w:hint="eastAsia"/>
          <w:sz w:val="24"/>
          <w:szCs w:val="24"/>
        </w:rPr>
        <w:t>”</w:t>
      </w:r>
      <w:r w:rsidRPr="001C1B51">
        <w:rPr>
          <w:rFonts w:ascii="宋体" w:eastAsia="宋体" w:hAnsi="宋体" w:cs="Times New Roman"/>
          <w:sz w:val="24"/>
          <w:szCs w:val="24"/>
        </w:rPr>
        <w:t>补充披</w:t>
      </w:r>
      <w:r w:rsidRPr="0096308F">
        <w:rPr>
          <w:rFonts w:ascii="Times New Roman" w:eastAsia="宋体" w:hAnsi="Times New Roman" w:cs="Times New Roman"/>
          <w:sz w:val="24"/>
          <w:szCs w:val="24"/>
        </w:rPr>
        <w:t>露如下：</w:t>
      </w:r>
    </w:p>
    <w:p w:rsidR="00EC1025" w:rsidRPr="00566CF7" w:rsidRDefault="00837E8F" w:rsidP="00EC1025">
      <w:pPr>
        <w:pStyle w:val="11"/>
        <w:spacing w:before="156" w:after="156"/>
        <w:rPr>
          <w:rFonts w:cs="Times New Roman"/>
        </w:rPr>
      </w:pPr>
      <w:r w:rsidRPr="00566CF7">
        <w:rPr>
          <w:rFonts w:cs="Times New Roman"/>
        </w:rPr>
        <w:t>（</w:t>
      </w:r>
      <w:r w:rsidRPr="00566CF7">
        <w:rPr>
          <w:rFonts w:cs="Times New Roman"/>
        </w:rPr>
        <w:t>7</w:t>
      </w:r>
      <w:r w:rsidRPr="00566CF7">
        <w:rPr>
          <w:rFonts w:cs="Times New Roman"/>
        </w:rPr>
        <w:t>）</w:t>
      </w:r>
      <w:r w:rsidR="00B72095" w:rsidRPr="00566CF7">
        <w:rPr>
          <w:rFonts w:cs="Times New Roman"/>
        </w:rPr>
        <w:t>“</w:t>
      </w:r>
      <w:r w:rsidR="00B72095" w:rsidRPr="00566CF7">
        <w:rPr>
          <w:rFonts w:cs="Times New Roman"/>
        </w:rPr>
        <w:t>霍普</w:t>
      </w:r>
      <w:r w:rsidR="00B72095" w:rsidRPr="00566CF7">
        <w:rPr>
          <w:rFonts w:cs="Times New Roman"/>
        </w:rPr>
        <w:t>”</w:t>
      </w:r>
      <w:r w:rsidR="00B72095" w:rsidRPr="00566CF7">
        <w:rPr>
          <w:rFonts w:cs="Times New Roman"/>
        </w:rPr>
        <w:t>品牌使用是否存在被其他境内</w:t>
      </w:r>
      <w:proofErr w:type="gramStart"/>
      <w:r w:rsidR="00B72095" w:rsidRPr="00566CF7">
        <w:rPr>
          <w:rFonts w:cs="Times New Roman"/>
        </w:rPr>
        <w:t>外主体</w:t>
      </w:r>
      <w:proofErr w:type="gramEnd"/>
      <w:r w:rsidR="00B72095" w:rsidRPr="00566CF7">
        <w:rPr>
          <w:rFonts w:cs="Times New Roman"/>
        </w:rPr>
        <w:t>主张权利的风险，相关风险对发行人的影响和应对方案</w:t>
      </w:r>
    </w:p>
    <w:p w:rsidR="006221C0" w:rsidRPr="00566CF7" w:rsidRDefault="006221C0" w:rsidP="006221C0">
      <w:pPr>
        <w:pStyle w:val="11"/>
        <w:spacing w:before="156" w:after="156"/>
        <w:rPr>
          <w:rFonts w:cs="Times New Roman"/>
        </w:rPr>
      </w:pPr>
      <w:r w:rsidRPr="00566CF7">
        <w:rPr>
          <w:rFonts w:cs="Times New Roman"/>
        </w:rPr>
        <w:t>公司品牌的使用不存在被其他境内</w:t>
      </w:r>
      <w:proofErr w:type="gramStart"/>
      <w:r w:rsidRPr="00566CF7">
        <w:rPr>
          <w:rFonts w:cs="Times New Roman"/>
        </w:rPr>
        <w:t>外主体</w:t>
      </w:r>
      <w:proofErr w:type="gramEnd"/>
      <w:r w:rsidRPr="00566CF7">
        <w:rPr>
          <w:rFonts w:cs="Times New Roman"/>
        </w:rPr>
        <w:t>主张权利的风险，具体如下：</w:t>
      </w:r>
    </w:p>
    <w:p w:rsidR="006221C0" w:rsidRPr="00566CF7" w:rsidRDefault="006221C0" w:rsidP="006221C0">
      <w:pPr>
        <w:pStyle w:val="11"/>
        <w:spacing w:before="156" w:after="156"/>
        <w:rPr>
          <w:rFonts w:cs="Times New Roman"/>
        </w:rPr>
      </w:pPr>
      <w:r w:rsidRPr="00566CF7">
        <w:rPr>
          <w:rFonts w:cs="Times New Roman"/>
        </w:rPr>
        <w:t>第一，公司对外品牌宣传主要使用</w:t>
      </w:r>
      <w:r w:rsidRPr="00566CF7">
        <w:rPr>
          <w:rFonts w:cs="Times New Roman"/>
        </w:rPr>
        <w:t xml:space="preserve">“ </w:t>
      </w:r>
      <w:r w:rsidRPr="00566CF7">
        <w:rPr>
          <w:rFonts w:cs="Times New Roman"/>
          <w:noProof/>
        </w:rPr>
        <w:drawing>
          <wp:inline distT="0" distB="0" distL="0" distR="0" wp14:anchorId="30DA74DB" wp14:editId="47C1B2A0">
            <wp:extent cx="1045210" cy="260985"/>
            <wp:effectExtent l="0" t="0" r="2540" b="5715"/>
            <wp:docPr id="3" name="图片 3"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包含 文本&#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5210" cy="260985"/>
                    </a:xfrm>
                    <a:prstGeom prst="rect">
                      <a:avLst/>
                    </a:prstGeom>
                    <a:noFill/>
                    <a:ln>
                      <a:noFill/>
                    </a:ln>
                  </pic:spPr>
                </pic:pic>
              </a:graphicData>
            </a:graphic>
          </wp:inline>
        </w:drawing>
      </w:r>
      <w:r w:rsidRPr="00566CF7">
        <w:rPr>
          <w:rFonts w:cs="Times New Roman"/>
        </w:rPr>
        <w:t xml:space="preserve"> ”</w:t>
      </w:r>
      <w:r w:rsidRPr="00566CF7">
        <w:rPr>
          <w:rFonts w:cs="Times New Roman"/>
        </w:rPr>
        <w:t>的品牌</w:t>
      </w:r>
      <w:r w:rsidRPr="00566CF7">
        <w:rPr>
          <w:rFonts w:cs="Times New Roman"/>
        </w:rPr>
        <w:t>LOGO</w:t>
      </w:r>
      <w:r w:rsidRPr="00566CF7">
        <w:rPr>
          <w:rFonts w:cs="Times New Roman"/>
        </w:rPr>
        <w:t>以及</w:t>
      </w:r>
      <w:r w:rsidRPr="00566CF7">
        <w:rPr>
          <w:rFonts w:cs="Times New Roman"/>
        </w:rPr>
        <w:t>“</w:t>
      </w:r>
      <w:r w:rsidRPr="00566CF7">
        <w:rPr>
          <w:rFonts w:cs="Times New Roman"/>
        </w:rPr>
        <w:t>霍普</w:t>
      </w:r>
      <w:r w:rsidRPr="00566CF7">
        <w:rPr>
          <w:rFonts w:cs="Times New Roman"/>
        </w:rPr>
        <w:t>”</w:t>
      </w:r>
      <w:r w:rsidRPr="00566CF7">
        <w:rPr>
          <w:rFonts w:cs="Times New Roman"/>
        </w:rPr>
        <w:t>、</w:t>
      </w:r>
      <w:r w:rsidRPr="00566CF7">
        <w:rPr>
          <w:rFonts w:cs="Times New Roman"/>
        </w:rPr>
        <w:t>“</w:t>
      </w:r>
      <w:r w:rsidRPr="00566CF7">
        <w:rPr>
          <w:rFonts w:cs="Times New Roman"/>
        </w:rPr>
        <w:t>霍普股份</w:t>
      </w:r>
      <w:r w:rsidRPr="00566CF7">
        <w:rPr>
          <w:rFonts w:cs="Times New Roman"/>
        </w:rPr>
        <w:t>”</w:t>
      </w:r>
      <w:r w:rsidRPr="00566CF7">
        <w:rPr>
          <w:rFonts w:cs="Times New Roman"/>
        </w:rPr>
        <w:t>、</w:t>
      </w:r>
      <w:r w:rsidRPr="00566CF7">
        <w:rPr>
          <w:rFonts w:cs="Times New Roman"/>
        </w:rPr>
        <w:t>“</w:t>
      </w:r>
      <w:r w:rsidRPr="00566CF7">
        <w:rPr>
          <w:rFonts w:cs="Times New Roman"/>
        </w:rPr>
        <w:t>霍普建筑</w:t>
      </w:r>
      <w:r w:rsidRPr="00566CF7">
        <w:rPr>
          <w:rFonts w:cs="Times New Roman"/>
        </w:rPr>
        <w:t>”</w:t>
      </w:r>
      <w:r w:rsidRPr="00566CF7">
        <w:rPr>
          <w:rFonts w:cs="Times New Roman"/>
        </w:rPr>
        <w:t>、</w:t>
      </w:r>
      <w:r w:rsidRPr="00566CF7">
        <w:rPr>
          <w:rFonts w:cs="Times New Roman"/>
        </w:rPr>
        <w:t>“HYP”</w:t>
      </w:r>
      <w:r w:rsidRPr="00566CF7">
        <w:rPr>
          <w:rFonts w:cs="Times New Roman"/>
        </w:rPr>
        <w:t>字样的注册商标。上述品牌</w:t>
      </w:r>
      <w:r w:rsidRPr="00566CF7">
        <w:rPr>
          <w:rFonts w:cs="Times New Roman"/>
        </w:rPr>
        <w:t>LOGO</w:t>
      </w:r>
      <w:r w:rsidRPr="00566CF7">
        <w:rPr>
          <w:rFonts w:cs="Times New Roman"/>
        </w:rPr>
        <w:t>与商标是公司根据发展愿景、企业文化等所进行的创新性的提炼与总结，与其他建筑设</w:t>
      </w:r>
      <w:r w:rsidRPr="00566CF7">
        <w:rPr>
          <w:rFonts w:cs="Times New Roman"/>
        </w:rPr>
        <w:lastRenderedPageBreak/>
        <w:t>计类的企业的品牌宣传标识具有显著区别</w:t>
      </w:r>
      <w:r w:rsidRPr="00566CF7">
        <w:rPr>
          <w:rFonts w:cs="Times New Roman"/>
        </w:rPr>
        <w:t xml:space="preserve">, </w:t>
      </w:r>
      <w:r w:rsidRPr="00566CF7">
        <w:rPr>
          <w:rFonts w:cs="Times New Roman"/>
        </w:rPr>
        <w:t>不存在使用相同或类似的商标、品牌</w:t>
      </w:r>
      <w:r w:rsidRPr="00566CF7">
        <w:rPr>
          <w:rFonts w:cs="Times New Roman"/>
        </w:rPr>
        <w:t>LOGO</w:t>
      </w:r>
      <w:r w:rsidRPr="00566CF7">
        <w:rPr>
          <w:rFonts w:cs="Times New Roman"/>
        </w:rPr>
        <w:t>的情况。</w:t>
      </w:r>
    </w:p>
    <w:p w:rsidR="006221C0" w:rsidRPr="00566CF7" w:rsidRDefault="006221C0" w:rsidP="006221C0">
      <w:pPr>
        <w:pStyle w:val="11"/>
        <w:spacing w:before="156" w:after="156"/>
        <w:rPr>
          <w:rFonts w:cs="Times New Roman"/>
        </w:rPr>
      </w:pPr>
      <w:r w:rsidRPr="00566CF7">
        <w:rPr>
          <w:rFonts w:cs="Times New Roman"/>
        </w:rPr>
        <w:t>第二，公司对外宣传所使用的商标均已在国家知识产权局商标局注册生效，根据《商标法》的规定，我国对于商标的专用权予以保护，未经商标注册人的许可，任何人不得实施使用与注册商标相同的商标等侵犯商标专用权的行为。</w:t>
      </w:r>
    </w:p>
    <w:p w:rsidR="006221C0" w:rsidRPr="00566CF7" w:rsidRDefault="006221C0" w:rsidP="006221C0">
      <w:pPr>
        <w:pStyle w:val="11"/>
        <w:spacing w:before="156" w:after="156"/>
        <w:rPr>
          <w:rFonts w:cs="Times New Roman"/>
        </w:rPr>
      </w:pPr>
      <w:r w:rsidRPr="00566CF7">
        <w:rPr>
          <w:rFonts w:cs="Times New Roman"/>
        </w:rPr>
        <w:t>第三，截至目前，公司也未出现有关品牌使用被其他境内</w:t>
      </w:r>
      <w:proofErr w:type="gramStart"/>
      <w:r w:rsidRPr="00566CF7">
        <w:rPr>
          <w:rFonts w:cs="Times New Roman"/>
        </w:rPr>
        <w:t>外主体</w:t>
      </w:r>
      <w:proofErr w:type="gramEnd"/>
      <w:r w:rsidRPr="00566CF7">
        <w:rPr>
          <w:rFonts w:cs="Times New Roman"/>
        </w:rPr>
        <w:t>主张权利的情况。</w:t>
      </w:r>
    </w:p>
    <w:p w:rsidR="006221C0" w:rsidRPr="00566CF7" w:rsidRDefault="006221C0" w:rsidP="006221C0">
      <w:pPr>
        <w:pStyle w:val="11"/>
        <w:spacing w:before="156" w:after="156"/>
        <w:rPr>
          <w:rFonts w:cs="Times New Roman"/>
        </w:rPr>
      </w:pPr>
      <w:r w:rsidRPr="00566CF7">
        <w:rPr>
          <w:rFonts w:cs="Times New Roman"/>
        </w:rPr>
        <w:t>综上，</w:t>
      </w:r>
      <w:r w:rsidRPr="00566CF7">
        <w:rPr>
          <w:rFonts w:cs="Times New Roman"/>
        </w:rPr>
        <w:t>“</w:t>
      </w:r>
      <w:r w:rsidRPr="00566CF7">
        <w:rPr>
          <w:rFonts w:cs="Times New Roman"/>
        </w:rPr>
        <w:t>霍普</w:t>
      </w:r>
      <w:r w:rsidRPr="00566CF7">
        <w:rPr>
          <w:rFonts w:cs="Times New Roman"/>
        </w:rPr>
        <w:t>”</w:t>
      </w:r>
      <w:r w:rsidRPr="00566CF7">
        <w:rPr>
          <w:rFonts w:cs="Times New Roman"/>
        </w:rPr>
        <w:t>品牌的使用不存在被其他境内</w:t>
      </w:r>
      <w:proofErr w:type="gramStart"/>
      <w:r w:rsidRPr="00566CF7">
        <w:rPr>
          <w:rFonts w:cs="Times New Roman"/>
        </w:rPr>
        <w:t>外主体</w:t>
      </w:r>
      <w:proofErr w:type="gramEnd"/>
      <w:r w:rsidRPr="00566CF7">
        <w:rPr>
          <w:rFonts w:cs="Times New Roman"/>
        </w:rPr>
        <w:t>主张权利的风险。</w:t>
      </w:r>
    </w:p>
    <w:p w:rsidR="00B050D2" w:rsidRPr="00B050D2" w:rsidRDefault="00EC1025" w:rsidP="00E449CC">
      <w:pPr>
        <w:pStyle w:val="a6"/>
        <w:spacing w:before="156" w:after="156"/>
      </w:pPr>
      <w:r w:rsidRPr="009C0832">
        <w:rPr>
          <w:rFonts w:hint="eastAsia"/>
        </w:rPr>
        <w:t>（</w:t>
      </w:r>
      <w:r>
        <w:rPr>
          <w:rFonts w:hint="eastAsia"/>
        </w:rPr>
        <w:t>三</w:t>
      </w:r>
      <w:r w:rsidRPr="009C0832">
        <w:rPr>
          <w:rFonts w:hint="eastAsia"/>
        </w:rPr>
        <w:t>）</w:t>
      </w:r>
      <w:r w:rsidR="000372CA" w:rsidRPr="000372CA">
        <w:t>“霍普杯”国际大学生建筑设计竞赛具体情况，包括但不限于主办方、协办方、参与方，参赛对象范围，举办的背景和原因，竞赛作品是否用于商业用途，对参赛作品知识产权的约定等，是否存在与竞赛相关主体的纠纷或潜在纠纷</w:t>
      </w:r>
    </w:p>
    <w:p w:rsidR="00EC00B0" w:rsidRDefault="00EC00B0" w:rsidP="00903E66">
      <w:pPr>
        <w:spacing w:beforeLines="50" w:before="156" w:afterLines="50" w:after="156" w:line="360" w:lineRule="auto"/>
        <w:ind w:firstLineChars="200" w:firstLine="480"/>
        <w:rPr>
          <w:rFonts w:ascii="Times New Roman" w:eastAsia="宋体" w:hAnsi="Times New Roman" w:cs="Times New Roman"/>
          <w:sz w:val="24"/>
          <w:szCs w:val="24"/>
        </w:rPr>
      </w:pPr>
      <w:r w:rsidRPr="0096308F">
        <w:rPr>
          <w:rFonts w:ascii="Times New Roman" w:eastAsia="宋体" w:hAnsi="Times New Roman" w:cs="Times New Roman" w:hint="eastAsia"/>
          <w:sz w:val="24"/>
          <w:szCs w:val="24"/>
        </w:rPr>
        <w:t>发行人已在招股说</w:t>
      </w:r>
      <w:r w:rsidRPr="001C1B51">
        <w:rPr>
          <w:rFonts w:ascii="宋体" w:eastAsia="宋体" w:hAnsi="宋体" w:cs="Times New Roman" w:hint="eastAsia"/>
          <w:sz w:val="24"/>
          <w:szCs w:val="24"/>
        </w:rPr>
        <w:t>明书“</w:t>
      </w:r>
      <w:r w:rsidRPr="004B0172">
        <w:rPr>
          <w:rFonts w:ascii="宋体" w:eastAsia="宋体" w:hAnsi="宋体" w:cs="Times New Roman"/>
          <w:sz w:val="24"/>
          <w:szCs w:val="24"/>
        </w:rPr>
        <w:t>第七节</w:t>
      </w:r>
      <w:r>
        <w:rPr>
          <w:rFonts w:ascii="宋体" w:eastAsia="宋体" w:hAnsi="宋体" w:cs="Times New Roman" w:hint="eastAsia"/>
          <w:sz w:val="24"/>
          <w:szCs w:val="24"/>
        </w:rPr>
        <w:t xml:space="preserve"> </w:t>
      </w:r>
      <w:r w:rsidRPr="004B0172">
        <w:rPr>
          <w:rFonts w:ascii="宋体" w:eastAsia="宋体" w:hAnsi="宋体" w:cs="Times New Roman"/>
          <w:sz w:val="24"/>
          <w:szCs w:val="24"/>
        </w:rPr>
        <w:t>公司治理与独立性</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七</w:t>
      </w:r>
      <w:r w:rsidRPr="001C1B51">
        <w:rPr>
          <w:rFonts w:ascii="宋体" w:eastAsia="宋体" w:hAnsi="宋体" w:cs="Times New Roman"/>
          <w:sz w:val="24"/>
          <w:szCs w:val="24"/>
        </w:rPr>
        <w:t>、</w:t>
      </w:r>
      <w:r w:rsidRPr="001C1B51">
        <w:rPr>
          <w:rFonts w:ascii="宋体" w:eastAsia="宋体" w:hAnsi="宋体" w:cs="Times New Roman" w:hint="eastAsia"/>
          <w:sz w:val="24"/>
          <w:szCs w:val="24"/>
        </w:rPr>
        <w:t>关联交易情况</w:t>
      </w:r>
      <w:r w:rsidRPr="001C1B51">
        <w:rPr>
          <w:rFonts w:ascii="宋体" w:eastAsia="宋体" w:hAnsi="宋体" w:cs="Times New Roman"/>
          <w:sz w:val="24"/>
          <w:szCs w:val="24"/>
        </w:rPr>
        <w:t>”之“</w:t>
      </w:r>
      <w:r w:rsidRPr="001C1B51">
        <w:rPr>
          <w:rFonts w:ascii="宋体" w:eastAsia="宋体" w:hAnsi="宋体" w:cs="Times New Roman" w:hint="eastAsia"/>
          <w:sz w:val="24"/>
          <w:szCs w:val="24"/>
        </w:rPr>
        <w:t>（一）关联方与关联关系</w:t>
      </w:r>
      <w:r w:rsidRPr="001C1B51">
        <w:rPr>
          <w:rFonts w:ascii="宋体" w:eastAsia="宋体" w:hAnsi="宋体" w:cs="Times New Roman"/>
          <w:sz w:val="24"/>
          <w:szCs w:val="24"/>
        </w:rPr>
        <w:t>”</w:t>
      </w:r>
      <w:r w:rsidRPr="001C1B51">
        <w:rPr>
          <w:rFonts w:ascii="宋体" w:eastAsia="宋体" w:hAnsi="宋体" w:cs="Times New Roman" w:hint="eastAsia"/>
          <w:sz w:val="24"/>
          <w:szCs w:val="24"/>
        </w:rPr>
        <w:t>之“</w:t>
      </w:r>
      <w:r w:rsidRPr="00385A76">
        <w:rPr>
          <w:rFonts w:ascii="Times New Roman" w:eastAsia="宋体" w:hAnsi="Times New Roman" w:cs="Times New Roman"/>
          <w:sz w:val="24"/>
          <w:szCs w:val="24"/>
        </w:rPr>
        <w:t>3</w:t>
      </w:r>
      <w:r w:rsidRPr="001C1B51">
        <w:rPr>
          <w:rFonts w:ascii="宋体" w:eastAsia="宋体" w:hAnsi="宋体" w:cs="Times New Roman" w:hint="eastAsia"/>
          <w:sz w:val="24"/>
          <w:szCs w:val="24"/>
        </w:rPr>
        <w:t>、其他</w:t>
      </w:r>
      <w:r>
        <w:rPr>
          <w:rFonts w:ascii="宋体" w:eastAsia="宋体" w:hAnsi="宋体" w:cs="Times New Roman" w:hint="eastAsia"/>
          <w:sz w:val="24"/>
          <w:szCs w:val="24"/>
        </w:rPr>
        <w:t>说明</w:t>
      </w:r>
      <w:r w:rsidRPr="001C1B51">
        <w:rPr>
          <w:rFonts w:ascii="宋体" w:eastAsia="宋体" w:hAnsi="宋体" w:cs="Times New Roman" w:hint="eastAsia"/>
          <w:sz w:val="24"/>
          <w:szCs w:val="24"/>
        </w:rPr>
        <w:t>”</w:t>
      </w:r>
      <w:r w:rsidRPr="001C1B51">
        <w:rPr>
          <w:rFonts w:ascii="宋体" w:eastAsia="宋体" w:hAnsi="宋体" w:cs="Times New Roman"/>
          <w:sz w:val="24"/>
          <w:szCs w:val="24"/>
        </w:rPr>
        <w:t>补充披</w:t>
      </w:r>
      <w:r w:rsidRPr="0096308F">
        <w:rPr>
          <w:rFonts w:ascii="Times New Roman" w:eastAsia="宋体" w:hAnsi="Times New Roman" w:cs="Times New Roman"/>
          <w:sz w:val="24"/>
          <w:szCs w:val="24"/>
        </w:rPr>
        <w:t>露如下：</w:t>
      </w:r>
    </w:p>
    <w:p w:rsidR="00EC1025" w:rsidRPr="00566CF7" w:rsidRDefault="00EC00B0" w:rsidP="00EC00B0">
      <w:pPr>
        <w:pStyle w:val="11"/>
        <w:spacing w:before="156" w:after="156"/>
        <w:rPr>
          <w:rFonts w:cs="Times New Roman"/>
        </w:rPr>
      </w:pPr>
      <w:r w:rsidRPr="00566CF7">
        <w:rPr>
          <w:rFonts w:cs="Times New Roman"/>
        </w:rPr>
        <w:t>（</w:t>
      </w:r>
      <w:r w:rsidRPr="00566CF7">
        <w:rPr>
          <w:rFonts w:cs="Times New Roman"/>
        </w:rPr>
        <w:t>8</w:t>
      </w:r>
      <w:r w:rsidRPr="00566CF7">
        <w:rPr>
          <w:rFonts w:cs="Times New Roman"/>
        </w:rPr>
        <w:t>）有关</w:t>
      </w:r>
      <w:r w:rsidRPr="00566CF7">
        <w:rPr>
          <w:rFonts w:cs="Times New Roman"/>
        </w:rPr>
        <w:t>“</w:t>
      </w:r>
      <w:r w:rsidRPr="00566CF7">
        <w:rPr>
          <w:rFonts w:cs="Times New Roman"/>
        </w:rPr>
        <w:t>霍普杯</w:t>
      </w:r>
      <w:r w:rsidRPr="00566CF7">
        <w:rPr>
          <w:rFonts w:cs="Times New Roman"/>
        </w:rPr>
        <w:t>”</w:t>
      </w:r>
      <w:r w:rsidRPr="00566CF7">
        <w:rPr>
          <w:rFonts w:cs="Times New Roman"/>
        </w:rPr>
        <w:t>国际大学生建筑设计竞赛的有关情况</w:t>
      </w:r>
    </w:p>
    <w:p w:rsidR="000873D9" w:rsidRPr="00566CF7" w:rsidRDefault="000873D9" w:rsidP="000873D9">
      <w:pPr>
        <w:pStyle w:val="11"/>
        <w:spacing w:before="156" w:after="156"/>
        <w:rPr>
          <w:rFonts w:cs="Times New Roman"/>
        </w:rPr>
      </w:pPr>
      <w:r w:rsidRPr="00566CF7">
        <w:rPr>
          <w:rFonts w:cs="Times New Roman"/>
        </w:rPr>
        <w:t xml:space="preserve"> “</w:t>
      </w:r>
      <w:r w:rsidRPr="00566CF7">
        <w:rPr>
          <w:rFonts w:cs="Times New Roman"/>
        </w:rPr>
        <w:t>霍普杯</w:t>
      </w:r>
      <w:r w:rsidRPr="00566CF7">
        <w:rPr>
          <w:rFonts w:cs="Times New Roman"/>
        </w:rPr>
        <w:t>”</w:t>
      </w:r>
      <w:r w:rsidRPr="00566CF7">
        <w:rPr>
          <w:rFonts w:cs="Times New Roman"/>
        </w:rPr>
        <w:t>的全称为</w:t>
      </w:r>
      <w:r w:rsidRPr="00566CF7">
        <w:rPr>
          <w:rFonts w:cs="Times New Roman"/>
        </w:rPr>
        <w:t>“UIA-</w:t>
      </w:r>
      <w:r w:rsidRPr="00566CF7">
        <w:rPr>
          <w:rFonts w:cs="Times New Roman"/>
        </w:rPr>
        <w:t>霍普杯国际大学生建筑设计竞赛</w:t>
      </w:r>
      <w:r w:rsidRPr="00566CF7">
        <w:rPr>
          <w:rFonts w:cs="Times New Roman"/>
        </w:rPr>
        <w:t>”</w:t>
      </w:r>
      <w:r w:rsidR="007425BF" w:rsidRPr="00566CF7">
        <w:rPr>
          <w:rFonts w:cs="Times New Roman"/>
        </w:rPr>
        <w:t>（</w:t>
      </w:r>
      <w:r w:rsidR="007425BF" w:rsidRPr="00566CF7">
        <w:rPr>
          <w:rFonts w:cs="Times New Roman"/>
        </w:rPr>
        <w:t>UIA-HYP CUP</w:t>
      </w:r>
      <w:r w:rsidR="007425BF" w:rsidRPr="00566CF7">
        <w:rPr>
          <w:rFonts w:cs="Times New Roman"/>
        </w:rPr>
        <w:t>）</w:t>
      </w:r>
      <w:r w:rsidRPr="00566CF7">
        <w:rPr>
          <w:rFonts w:cs="Times New Roman"/>
        </w:rPr>
        <w:t>，是由公司独家赞助</w:t>
      </w:r>
      <w:r w:rsidR="007425BF" w:rsidRPr="00566CF7">
        <w:rPr>
          <w:rFonts w:cs="Times New Roman"/>
        </w:rPr>
        <w:t>并以商标</w:t>
      </w:r>
      <w:r w:rsidRPr="00566CF7">
        <w:rPr>
          <w:rFonts w:cs="Times New Roman"/>
        </w:rPr>
        <w:t>冠名的面向国内外建筑及相关专业高校大学生的年度建筑设计竞赛。每届竞赛的评委会主席由一名国际著名建筑大师担任，竞赛评委为来自国内外的著名建筑师及学院院长，目的是引导学生以全新的方式进行思考，将设计理念与扎实的建筑学功底有效地结合，以提高解决具体设计案例问题的综合能力，同时也成为发现建筑精英的推手。</w:t>
      </w:r>
    </w:p>
    <w:p w:rsidR="000873D9" w:rsidRPr="00566CF7" w:rsidRDefault="000873D9" w:rsidP="000873D9">
      <w:pPr>
        <w:pStyle w:val="11"/>
        <w:spacing w:before="156" w:after="156"/>
        <w:rPr>
          <w:rFonts w:cs="Times New Roman"/>
        </w:rPr>
      </w:pPr>
      <w:r w:rsidRPr="00566CF7">
        <w:rPr>
          <w:rFonts w:cs="Times New Roman"/>
        </w:rPr>
        <w:t>报告期内，</w:t>
      </w:r>
      <w:r w:rsidRPr="00566CF7">
        <w:rPr>
          <w:rFonts w:cs="Times New Roman"/>
        </w:rPr>
        <w:t>“UIA-</w:t>
      </w:r>
      <w:r w:rsidRPr="00566CF7">
        <w:rPr>
          <w:rFonts w:cs="Times New Roman"/>
        </w:rPr>
        <w:t>霍普杯国际大学生建筑设计竞赛</w:t>
      </w:r>
      <w:r w:rsidRPr="00566CF7">
        <w:rPr>
          <w:rFonts w:cs="Times New Roman"/>
        </w:rPr>
        <w:t>”</w:t>
      </w:r>
      <w:r w:rsidRPr="00566CF7">
        <w:rPr>
          <w:rFonts w:cs="Times New Roman"/>
        </w:rPr>
        <w:t>共举办四届，具体情况如下：</w:t>
      </w:r>
    </w:p>
    <w:tbl>
      <w:tblPr>
        <w:tblW w:w="10482"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ook w:val="04A0" w:firstRow="1" w:lastRow="0" w:firstColumn="1" w:lastColumn="0" w:noHBand="0" w:noVBand="1"/>
      </w:tblPr>
      <w:tblGrid>
        <w:gridCol w:w="1070"/>
        <w:gridCol w:w="2353"/>
        <w:gridCol w:w="2353"/>
        <w:gridCol w:w="2353"/>
        <w:gridCol w:w="2353"/>
      </w:tblGrid>
      <w:tr w:rsidR="007543B8" w:rsidRPr="00566CF7" w:rsidTr="007543B8">
        <w:trPr>
          <w:jc w:val="center"/>
        </w:trPr>
        <w:tc>
          <w:tcPr>
            <w:tcW w:w="1070"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项目</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2020</w:t>
            </w:r>
            <w:r w:rsidRPr="00566CF7">
              <w:rPr>
                <w:szCs w:val="21"/>
              </w:rPr>
              <w:t>年</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2019</w:t>
            </w:r>
            <w:r w:rsidRPr="00566CF7">
              <w:rPr>
                <w:szCs w:val="21"/>
              </w:rPr>
              <w:t>年</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2018</w:t>
            </w:r>
            <w:r w:rsidRPr="00566CF7">
              <w:rPr>
                <w:szCs w:val="21"/>
              </w:rPr>
              <w:t>年</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2017</w:t>
            </w:r>
            <w:r w:rsidRPr="00566CF7">
              <w:rPr>
                <w:szCs w:val="21"/>
              </w:rPr>
              <w:t>年</w:t>
            </w:r>
          </w:p>
        </w:tc>
      </w:tr>
      <w:tr w:rsidR="007543B8" w:rsidRPr="00566CF7" w:rsidTr="007543B8">
        <w:trPr>
          <w:jc w:val="center"/>
        </w:trPr>
        <w:tc>
          <w:tcPr>
            <w:tcW w:w="1070" w:type="dxa"/>
            <w:shd w:val="clear" w:color="auto" w:fill="auto"/>
            <w:vAlign w:val="center"/>
          </w:tcPr>
          <w:p w:rsidR="007543B8" w:rsidRPr="00566CF7" w:rsidRDefault="007543B8" w:rsidP="004F05AB">
            <w:pPr>
              <w:pStyle w:val="af2"/>
              <w:spacing w:before="93" w:after="93"/>
              <w:jc w:val="center"/>
              <w:rPr>
                <w:szCs w:val="21"/>
              </w:rPr>
            </w:pPr>
            <w:r w:rsidRPr="00566CF7">
              <w:rPr>
                <w:szCs w:val="21"/>
              </w:rPr>
              <w:t>竞赛题目</w:t>
            </w:r>
          </w:p>
        </w:tc>
        <w:tc>
          <w:tcPr>
            <w:tcW w:w="2353" w:type="dxa"/>
            <w:shd w:val="clear" w:color="auto" w:fill="auto"/>
            <w:vAlign w:val="center"/>
          </w:tcPr>
          <w:p w:rsidR="007543B8" w:rsidRPr="00566CF7" w:rsidRDefault="007543B8" w:rsidP="004F05AB">
            <w:pPr>
              <w:pStyle w:val="af2"/>
              <w:spacing w:before="93" w:after="93"/>
              <w:jc w:val="center"/>
              <w:rPr>
                <w:szCs w:val="21"/>
              </w:rPr>
            </w:pPr>
            <w:r w:rsidRPr="00566CF7">
              <w:rPr>
                <w:szCs w:val="21"/>
              </w:rPr>
              <w:t>城市之谜</w:t>
            </w:r>
            <w:r w:rsidRPr="00566CF7">
              <w:rPr>
                <w:szCs w:val="21"/>
              </w:rPr>
              <w:t xml:space="preserve"> &amp; </w:t>
            </w:r>
            <w:r w:rsidRPr="00566CF7">
              <w:rPr>
                <w:szCs w:val="21"/>
              </w:rPr>
              <w:t>迷</w:t>
            </w:r>
            <w:proofErr w:type="gramStart"/>
            <w:r w:rsidRPr="00566CF7">
              <w:rPr>
                <w:szCs w:val="21"/>
              </w:rPr>
              <w:t>之城市</w:t>
            </w:r>
            <w:proofErr w:type="gramEnd"/>
          </w:p>
        </w:tc>
        <w:tc>
          <w:tcPr>
            <w:tcW w:w="2353" w:type="dxa"/>
            <w:shd w:val="clear" w:color="auto" w:fill="auto"/>
            <w:vAlign w:val="center"/>
          </w:tcPr>
          <w:p w:rsidR="007543B8" w:rsidRPr="00566CF7" w:rsidRDefault="007543B8" w:rsidP="004F05AB">
            <w:pPr>
              <w:pStyle w:val="af2"/>
              <w:spacing w:before="93" w:after="93"/>
              <w:jc w:val="center"/>
              <w:rPr>
                <w:szCs w:val="21"/>
              </w:rPr>
            </w:pPr>
            <w:r w:rsidRPr="00566CF7">
              <w:rPr>
                <w:szCs w:val="21"/>
              </w:rPr>
              <w:t>乐活空间</w:t>
            </w:r>
            <w:r w:rsidRPr="00566CF7">
              <w:rPr>
                <w:szCs w:val="21"/>
              </w:rPr>
              <w:t>-</w:t>
            </w:r>
            <w:r w:rsidRPr="00566CF7">
              <w:rPr>
                <w:szCs w:val="21"/>
              </w:rPr>
              <w:t>融合建筑和环境</w:t>
            </w:r>
          </w:p>
        </w:tc>
        <w:tc>
          <w:tcPr>
            <w:tcW w:w="2353" w:type="dxa"/>
            <w:shd w:val="clear" w:color="auto" w:fill="auto"/>
            <w:vAlign w:val="center"/>
          </w:tcPr>
          <w:p w:rsidR="007543B8" w:rsidRPr="00566CF7" w:rsidRDefault="007543B8" w:rsidP="004F05AB">
            <w:pPr>
              <w:pStyle w:val="af2"/>
              <w:spacing w:before="93" w:after="93"/>
              <w:jc w:val="center"/>
              <w:rPr>
                <w:szCs w:val="21"/>
              </w:rPr>
            </w:pPr>
            <w:r w:rsidRPr="00566CF7">
              <w:rPr>
                <w:color w:val="000000"/>
                <w:szCs w:val="21"/>
              </w:rPr>
              <w:t>城市共生：定制化社区模块</w:t>
            </w:r>
          </w:p>
        </w:tc>
        <w:tc>
          <w:tcPr>
            <w:tcW w:w="2353" w:type="dxa"/>
            <w:shd w:val="clear" w:color="auto" w:fill="auto"/>
            <w:vAlign w:val="center"/>
          </w:tcPr>
          <w:p w:rsidR="007543B8" w:rsidRPr="00566CF7" w:rsidRDefault="007543B8" w:rsidP="004F05AB">
            <w:pPr>
              <w:pStyle w:val="af2"/>
              <w:spacing w:before="93" w:after="93"/>
              <w:jc w:val="center"/>
              <w:rPr>
                <w:szCs w:val="21"/>
              </w:rPr>
            </w:pPr>
            <w:r w:rsidRPr="00566CF7">
              <w:rPr>
                <w:color w:val="000000"/>
                <w:szCs w:val="21"/>
              </w:rPr>
              <w:t>改变与重塑</w:t>
            </w:r>
          </w:p>
        </w:tc>
      </w:tr>
      <w:tr w:rsidR="007543B8" w:rsidRPr="00566CF7" w:rsidTr="007543B8">
        <w:trPr>
          <w:jc w:val="center"/>
        </w:trPr>
        <w:tc>
          <w:tcPr>
            <w:tcW w:w="1070"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竞赛要求</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参赛者为中国天津杨柳</w:t>
            </w:r>
            <w:r w:rsidRPr="00566CF7">
              <w:rPr>
                <w:szCs w:val="21"/>
              </w:rPr>
              <w:lastRenderedPageBreak/>
              <w:t>青约</w:t>
            </w:r>
            <w:r w:rsidRPr="00566CF7">
              <w:rPr>
                <w:szCs w:val="21"/>
              </w:rPr>
              <w:t>8,000-32,000</w:t>
            </w:r>
            <w:r w:rsidRPr="00566CF7">
              <w:rPr>
                <w:szCs w:val="21"/>
              </w:rPr>
              <w:t>位居民提供并展示他们的设计解决方案</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lastRenderedPageBreak/>
              <w:t>参赛者需选择一个衰退</w:t>
            </w:r>
            <w:r w:rsidRPr="00566CF7">
              <w:rPr>
                <w:szCs w:val="21"/>
              </w:rPr>
              <w:lastRenderedPageBreak/>
              <w:t>的城市或者景观区域，倾向于城市边缘地带（世界任意地区）进行设计，致力于改善当地的环境，为当地的居民带来益处</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lastRenderedPageBreak/>
              <w:t>参赛者在中国一个一、</w:t>
            </w:r>
            <w:r w:rsidRPr="00566CF7">
              <w:rPr>
                <w:szCs w:val="21"/>
              </w:rPr>
              <w:lastRenderedPageBreak/>
              <w:t>二线城市选择</w:t>
            </w:r>
            <w:proofErr w:type="gramStart"/>
            <w:r w:rsidRPr="00566CF7">
              <w:rPr>
                <w:szCs w:val="21"/>
              </w:rPr>
              <w:t>一块城市</w:t>
            </w:r>
            <w:proofErr w:type="gramEnd"/>
            <w:r w:rsidRPr="00566CF7">
              <w:rPr>
                <w:szCs w:val="21"/>
              </w:rPr>
              <w:t>中心区，打造一个拥有约</w:t>
            </w:r>
            <w:r w:rsidRPr="00566CF7">
              <w:rPr>
                <w:szCs w:val="21"/>
              </w:rPr>
              <w:t>1000</w:t>
            </w:r>
            <w:r w:rsidRPr="00566CF7">
              <w:rPr>
                <w:szCs w:val="21"/>
              </w:rPr>
              <w:t>个小单元的共生集群</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lastRenderedPageBreak/>
              <w:t>在大都市蔓延的</w:t>
            </w:r>
            <w:r w:rsidRPr="00566CF7">
              <w:rPr>
                <w:szCs w:val="21"/>
              </w:rPr>
              <w:t>21</w:t>
            </w:r>
            <w:r w:rsidRPr="00566CF7">
              <w:rPr>
                <w:szCs w:val="21"/>
              </w:rPr>
              <w:t>世</w:t>
            </w:r>
            <w:r w:rsidRPr="00566CF7">
              <w:rPr>
                <w:szCs w:val="21"/>
              </w:rPr>
              <w:lastRenderedPageBreak/>
              <w:t>纪，设计能够和周围产生互动的并具备生命力的建筑</w:t>
            </w:r>
          </w:p>
        </w:tc>
      </w:tr>
      <w:tr w:rsidR="000873D9" w:rsidRPr="00566CF7" w:rsidTr="007543B8">
        <w:trPr>
          <w:jc w:val="center"/>
        </w:trPr>
        <w:tc>
          <w:tcPr>
            <w:tcW w:w="1070" w:type="dxa"/>
            <w:shd w:val="clear" w:color="auto" w:fill="auto"/>
            <w:vAlign w:val="center"/>
          </w:tcPr>
          <w:p w:rsidR="000873D9" w:rsidRPr="00566CF7" w:rsidRDefault="000873D9" w:rsidP="004F05AB">
            <w:pPr>
              <w:pStyle w:val="af2"/>
              <w:spacing w:before="93" w:after="93"/>
              <w:jc w:val="center"/>
              <w:rPr>
                <w:szCs w:val="21"/>
              </w:rPr>
            </w:pPr>
            <w:r w:rsidRPr="00566CF7">
              <w:rPr>
                <w:szCs w:val="21"/>
              </w:rPr>
              <w:lastRenderedPageBreak/>
              <w:t>主办方</w:t>
            </w:r>
          </w:p>
        </w:tc>
        <w:tc>
          <w:tcPr>
            <w:tcW w:w="9412" w:type="dxa"/>
            <w:gridSpan w:val="4"/>
            <w:shd w:val="clear" w:color="auto" w:fill="auto"/>
          </w:tcPr>
          <w:p w:rsidR="000873D9" w:rsidRPr="00566CF7" w:rsidRDefault="000873D9" w:rsidP="004F05AB">
            <w:pPr>
              <w:pStyle w:val="af2"/>
              <w:spacing w:before="93" w:after="93"/>
              <w:rPr>
                <w:szCs w:val="21"/>
              </w:rPr>
            </w:pPr>
            <w:r w:rsidRPr="00566CF7">
              <w:rPr>
                <w:szCs w:val="21"/>
              </w:rPr>
              <w:t>国际建筑师协会（</w:t>
            </w:r>
            <w:r w:rsidRPr="00566CF7">
              <w:rPr>
                <w:szCs w:val="21"/>
              </w:rPr>
              <w:t>UIA</w:t>
            </w:r>
            <w:r w:rsidRPr="00566CF7">
              <w:rPr>
                <w:szCs w:val="21"/>
              </w:rPr>
              <w:t>）、天津大学建筑学院、《城市</w:t>
            </w:r>
            <w:r w:rsidRPr="00566CF7">
              <w:rPr>
                <w:szCs w:val="21"/>
              </w:rPr>
              <w:t>·</w:t>
            </w:r>
            <w:r w:rsidRPr="00566CF7">
              <w:rPr>
                <w:szCs w:val="21"/>
              </w:rPr>
              <w:t>环境</w:t>
            </w:r>
            <w:r w:rsidRPr="00566CF7">
              <w:rPr>
                <w:szCs w:val="21"/>
              </w:rPr>
              <w:t>·</w:t>
            </w:r>
            <w:r w:rsidRPr="00566CF7">
              <w:rPr>
                <w:szCs w:val="21"/>
              </w:rPr>
              <w:t>设计》杂志社（</w:t>
            </w:r>
            <w:r w:rsidRPr="00566CF7">
              <w:rPr>
                <w:szCs w:val="21"/>
              </w:rPr>
              <w:t>UED</w:t>
            </w:r>
            <w:r w:rsidRPr="00566CF7">
              <w:rPr>
                <w:szCs w:val="21"/>
              </w:rPr>
              <w:t>）</w:t>
            </w:r>
          </w:p>
        </w:tc>
      </w:tr>
      <w:tr w:rsidR="007543B8" w:rsidRPr="00566CF7" w:rsidTr="007543B8">
        <w:trPr>
          <w:jc w:val="center"/>
        </w:trPr>
        <w:tc>
          <w:tcPr>
            <w:tcW w:w="1070"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联合主办方</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哈尔滨工业大学建筑学院</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无</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东南大学建筑学院</w:t>
            </w:r>
          </w:p>
        </w:tc>
        <w:tc>
          <w:tcPr>
            <w:tcW w:w="2353"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华南理工大学建筑学院</w:t>
            </w:r>
          </w:p>
        </w:tc>
      </w:tr>
      <w:tr w:rsidR="007543B8" w:rsidRPr="00566CF7" w:rsidTr="007543B8">
        <w:trPr>
          <w:jc w:val="center"/>
        </w:trPr>
        <w:tc>
          <w:tcPr>
            <w:tcW w:w="1070"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协办机构</w:t>
            </w:r>
          </w:p>
        </w:tc>
        <w:tc>
          <w:tcPr>
            <w:tcW w:w="2353" w:type="dxa"/>
            <w:shd w:val="clear" w:color="auto" w:fill="auto"/>
          </w:tcPr>
          <w:p w:rsidR="000873D9" w:rsidRPr="00566CF7" w:rsidRDefault="000873D9" w:rsidP="004F05AB">
            <w:pPr>
              <w:pStyle w:val="af2"/>
              <w:spacing w:before="93" w:after="93"/>
              <w:rPr>
                <w:szCs w:val="21"/>
              </w:rPr>
            </w:pPr>
            <w:r w:rsidRPr="00566CF7">
              <w:rPr>
                <w:szCs w:val="21"/>
              </w:rPr>
              <w:t>清华大学建筑学院、同济大学建筑与城市规划学院、东南大学建筑学院</w:t>
            </w:r>
            <w:r w:rsidR="007543B8" w:rsidRPr="00566CF7">
              <w:rPr>
                <w:szCs w:val="21"/>
              </w:rPr>
              <w:t>等</w:t>
            </w:r>
          </w:p>
        </w:tc>
        <w:tc>
          <w:tcPr>
            <w:tcW w:w="2353" w:type="dxa"/>
            <w:shd w:val="clear" w:color="auto" w:fill="auto"/>
          </w:tcPr>
          <w:p w:rsidR="000873D9" w:rsidRPr="00566CF7" w:rsidRDefault="000873D9" w:rsidP="004F05AB">
            <w:pPr>
              <w:pStyle w:val="af2"/>
              <w:spacing w:before="93" w:after="93"/>
              <w:rPr>
                <w:szCs w:val="21"/>
              </w:rPr>
            </w:pPr>
            <w:r w:rsidRPr="00566CF7">
              <w:rPr>
                <w:szCs w:val="21"/>
              </w:rPr>
              <w:t>清华大学建筑学院、同济大学建筑与城市规划学院、东南大学建筑学院</w:t>
            </w:r>
            <w:r w:rsidR="007543B8" w:rsidRPr="00566CF7">
              <w:rPr>
                <w:szCs w:val="21"/>
              </w:rPr>
              <w:t>等</w:t>
            </w:r>
          </w:p>
        </w:tc>
        <w:tc>
          <w:tcPr>
            <w:tcW w:w="2353" w:type="dxa"/>
            <w:shd w:val="clear" w:color="auto" w:fill="auto"/>
          </w:tcPr>
          <w:p w:rsidR="000873D9" w:rsidRPr="00566CF7" w:rsidRDefault="000873D9" w:rsidP="004F05AB">
            <w:pPr>
              <w:pStyle w:val="af2"/>
              <w:spacing w:before="93" w:after="93"/>
              <w:rPr>
                <w:szCs w:val="21"/>
              </w:rPr>
            </w:pPr>
            <w:r w:rsidRPr="00566CF7">
              <w:rPr>
                <w:szCs w:val="21"/>
              </w:rPr>
              <w:t>清华大学建筑学院、同济大学建筑与城市规划学院、华南理工大学建筑学院</w:t>
            </w:r>
            <w:r w:rsidR="007543B8" w:rsidRPr="00566CF7">
              <w:rPr>
                <w:szCs w:val="21"/>
              </w:rPr>
              <w:t>等</w:t>
            </w:r>
          </w:p>
        </w:tc>
        <w:tc>
          <w:tcPr>
            <w:tcW w:w="2353" w:type="dxa"/>
            <w:shd w:val="clear" w:color="auto" w:fill="auto"/>
          </w:tcPr>
          <w:p w:rsidR="000873D9" w:rsidRPr="00566CF7" w:rsidRDefault="000873D9" w:rsidP="004F05AB">
            <w:pPr>
              <w:pStyle w:val="af2"/>
              <w:spacing w:before="93" w:after="93"/>
              <w:rPr>
                <w:szCs w:val="21"/>
              </w:rPr>
            </w:pPr>
            <w:r w:rsidRPr="00566CF7">
              <w:rPr>
                <w:szCs w:val="21"/>
              </w:rPr>
              <w:t>清华大学建筑学院、同济大学建筑与城市规划学院、东南大学建筑学院</w:t>
            </w:r>
            <w:r w:rsidR="007543B8" w:rsidRPr="00566CF7">
              <w:rPr>
                <w:szCs w:val="21"/>
              </w:rPr>
              <w:t>等</w:t>
            </w:r>
          </w:p>
        </w:tc>
      </w:tr>
      <w:tr w:rsidR="007543B8" w:rsidRPr="00566CF7" w:rsidTr="007543B8">
        <w:trPr>
          <w:jc w:val="center"/>
        </w:trPr>
        <w:tc>
          <w:tcPr>
            <w:tcW w:w="1070"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指导机构</w:t>
            </w:r>
          </w:p>
        </w:tc>
        <w:tc>
          <w:tcPr>
            <w:tcW w:w="2353" w:type="dxa"/>
            <w:shd w:val="clear" w:color="auto" w:fill="auto"/>
          </w:tcPr>
          <w:p w:rsidR="000873D9" w:rsidRPr="00566CF7" w:rsidRDefault="000873D9" w:rsidP="004F05AB">
            <w:pPr>
              <w:pStyle w:val="af2"/>
              <w:spacing w:before="93" w:after="93"/>
              <w:rPr>
                <w:szCs w:val="21"/>
              </w:rPr>
            </w:pPr>
            <w:r w:rsidRPr="00566CF7">
              <w:rPr>
                <w:szCs w:val="21"/>
              </w:rPr>
              <w:t>全国高等学校建筑学专业教育评估委员会、中国美术家协会建筑艺术委员会</w:t>
            </w:r>
          </w:p>
        </w:tc>
        <w:tc>
          <w:tcPr>
            <w:tcW w:w="2353" w:type="dxa"/>
            <w:shd w:val="clear" w:color="auto" w:fill="auto"/>
          </w:tcPr>
          <w:p w:rsidR="000873D9" w:rsidRPr="00566CF7" w:rsidRDefault="000873D9" w:rsidP="004F05AB">
            <w:pPr>
              <w:pStyle w:val="af2"/>
              <w:spacing w:before="93" w:after="93"/>
              <w:rPr>
                <w:szCs w:val="21"/>
              </w:rPr>
            </w:pPr>
            <w:r w:rsidRPr="00566CF7">
              <w:rPr>
                <w:szCs w:val="21"/>
              </w:rPr>
              <w:t>教育部高等学校建筑类专业教学指导委员会、全国高等学校建筑学专业教育评估委员会、中国美术家协会建筑艺术委员会</w:t>
            </w:r>
          </w:p>
        </w:tc>
        <w:tc>
          <w:tcPr>
            <w:tcW w:w="2353" w:type="dxa"/>
            <w:shd w:val="clear" w:color="auto" w:fill="auto"/>
          </w:tcPr>
          <w:p w:rsidR="000873D9" w:rsidRPr="00566CF7" w:rsidRDefault="000873D9" w:rsidP="004F05AB">
            <w:pPr>
              <w:pStyle w:val="af2"/>
              <w:spacing w:before="93" w:after="93"/>
              <w:rPr>
                <w:szCs w:val="21"/>
              </w:rPr>
            </w:pPr>
            <w:r w:rsidRPr="00566CF7">
              <w:rPr>
                <w:szCs w:val="21"/>
              </w:rPr>
              <w:t>全国高等学校建筑学专业指导委员会、全国高等学校建筑学专业教育评估委员会、中国美术家协会建筑艺术委员会</w:t>
            </w:r>
          </w:p>
        </w:tc>
        <w:tc>
          <w:tcPr>
            <w:tcW w:w="2353" w:type="dxa"/>
            <w:shd w:val="clear" w:color="auto" w:fill="auto"/>
          </w:tcPr>
          <w:p w:rsidR="000873D9" w:rsidRPr="00566CF7" w:rsidRDefault="000873D9" w:rsidP="004F05AB">
            <w:pPr>
              <w:pStyle w:val="af2"/>
              <w:spacing w:before="93" w:after="93"/>
              <w:rPr>
                <w:szCs w:val="21"/>
              </w:rPr>
            </w:pPr>
            <w:r w:rsidRPr="00566CF7">
              <w:rPr>
                <w:szCs w:val="21"/>
              </w:rPr>
              <w:t>全国高等学校建筑学专业指导委员会、全国高等学校建筑学专业教育评估委员会、中国美术家协会建筑艺术委员会</w:t>
            </w:r>
          </w:p>
        </w:tc>
      </w:tr>
      <w:tr w:rsidR="000873D9" w:rsidRPr="00566CF7" w:rsidTr="007543B8">
        <w:trPr>
          <w:jc w:val="center"/>
        </w:trPr>
        <w:tc>
          <w:tcPr>
            <w:tcW w:w="1070"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冠名机构</w:t>
            </w:r>
          </w:p>
        </w:tc>
        <w:tc>
          <w:tcPr>
            <w:tcW w:w="9412" w:type="dxa"/>
            <w:gridSpan w:val="4"/>
            <w:shd w:val="clear" w:color="auto" w:fill="auto"/>
          </w:tcPr>
          <w:p w:rsidR="000873D9" w:rsidRPr="00566CF7" w:rsidRDefault="000873D9" w:rsidP="004F05AB">
            <w:pPr>
              <w:pStyle w:val="af2"/>
              <w:spacing w:before="93" w:after="93"/>
              <w:rPr>
                <w:szCs w:val="21"/>
              </w:rPr>
            </w:pPr>
            <w:r w:rsidRPr="00566CF7">
              <w:rPr>
                <w:szCs w:val="21"/>
              </w:rPr>
              <w:t>霍普股份</w:t>
            </w:r>
          </w:p>
        </w:tc>
      </w:tr>
      <w:tr w:rsidR="000873D9" w:rsidRPr="00566CF7" w:rsidTr="007543B8">
        <w:trPr>
          <w:jc w:val="center"/>
        </w:trPr>
        <w:tc>
          <w:tcPr>
            <w:tcW w:w="1070" w:type="dxa"/>
            <w:shd w:val="clear" w:color="auto" w:fill="auto"/>
            <w:vAlign w:val="center"/>
          </w:tcPr>
          <w:p w:rsidR="000873D9" w:rsidRPr="00566CF7" w:rsidRDefault="000873D9" w:rsidP="004F05AB">
            <w:pPr>
              <w:pStyle w:val="af2"/>
              <w:spacing w:before="93" w:after="93"/>
              <w:jc w:val="center"/>
              <w:rPr>
                <w:szCs w:val="21"/>
              </w:rPr>
            </w:pPr>
            <w:r w:rsidRPr="00566CF7">
              <w:rPr>
                <w:szCs w:val="21"/>
              </w:rPr>
              <w:t>参赛对象</w:t>
            </w:r>
          </w:p>
        </w:tc>
        <w:tc>
          <w:tcPr>
            <w:tcW w:w="9412" w:type="dxa"/>
            <w:gridSpan w:val="4"/>
            <w:shd w:val="clear" w:color="auto" w:fill="auto"/>
          </w:tcPr>
          <w:p w:rsidR="000873D9" w:rsidRPr="00566CF7" w:rsidRDefault="000873D9" w:rsidP="004F05AB">
            <w:pPr>
              <w:pStyle w:val="af2"/>
              <w:spacing w:before="93" w:after="93"/>
              <w:rPr>
                <w:szCs w:val="21"/>
              </w:rPr>
            </w:pPr>
            <w:r w:rsidRPr="00566CF7">
              <w:rPr>
                <w:szCs w:val="21"/>
              </w:rPr>
              <w:t>国内外建筑及其相关专业高校的在校学生</w:t>
            </w:r>
          </w:p>
        </w:tc>
      </w:tr>
    </w:tbl>
    <w:p w:rsidR="007543B8" w:rsidRPr="00566CF7" w:rsidRDefault="000873D9" w:rsidP="00903E66">
      <w:pPr>
        <w:spacing w:beforeLines="50" w:before="156" w:line="360" w:lineRule="auto"/>
        <w:ind w:firstLineChars="200" w:firstLine="480"/>
        <w:rPr>
          <w:rFonts w:ascii="Times New Roman" w:eastAsia="宋体" w:hAnsi="Times New Roman" w:cs="Times New Roman"/>
          <w:kern w:val="0"/>
          <w:sz w:val="24"/>
          <w:szCs w:val="24"/>
        </w:rPr>
      </w:pPr>
      <w:r w:rsidRPr="00566CF7">
        <w:rPr>
          <w:rFonts w:ascii="Times New Roman" w:eastAsia="宋体" w:hAnsi="Times New Roman" w:cs="Times New Roman"/>
          <w:kern w:val="0"/>
          <w:sz w:val="24"/>
          <w:szCs w:val="24"/>
        </w:rPr>
        <w:t>“</w:t>
      </w:r>
      <w:r w:rsidRPr="00566CF7">
        <w:rPr>
          <w:rFonts w:ascii="Times New Roman" w:eastAsia="宋体" w:hAnsi="Times New Roman" w:cs="Times New Roman"/>
          <w:kern w:val="0"/>
          <w:sz w:val="24"/>
          <w:szCs w:val="24"/>
        </w:rPr>
        <w:t>霍普杯</w:t>
      </w:r>
      <w:r w:rsidRPr="00566CF7">
        <w:rPr>
          <w:rFonts w:ascii="Times New Roman" w:eastAsia="宋体" w:hAnsi="Times New Roman" w:cs="Times New Roman"/>
          <w:kern w:val="0"/>
          <w:sz w:val="24"/>
          <w:szCs w:val="24"/>
        </w:rPr>
        <w:t>”</w:t>
      </w:r>
      <w:r w:rsidRPr="00566CF7">
        <w:rPr>
          <w:rFonts w:ascii="Times New Roman" w:eastAsia="宋体" w:hAnsi="Times New Roman" w:cs="Times New Roman"/>
          <w:kern w:val="0"/>
          <w:sz w:val="24"/>
          <w:szCs w:val="24"/>
        </w:rPr>
        <w:t>历届比赛均由竞赛组委会指定竞赛主题、设计要求及技术指标，由参赛者根据上述要求进行设计。参赛作品均依托于竞赛组委会指定或选手自选的地区进行设计，并非实际待开发的地块，设计作品不具备直接用于设计地块商业开发的可能</w:t>
      </w:r>
      <w:r w:rsidR="009A5A8F" w:rsidRPr="00566CF7">
        <w:rPr>
          <w:rFonts w:ascii="Times New Roman" w:eastAsia="宋体" w:hAnsi="Times New Roman" w:cs="Times New Roman"/>
          <w:kern w:val="0"/>
          <w:sz w:val="24"/>
          <w:szCs w:val="24"/>
        </w:rPr>
        <w:t>。截止目前，</w:t>
      </w:r>
      <w:r w:rsidRPr="00566CF7">
        <w:rPr>
          <w:rFonts w:ascii="Times New Roman" w:eastAsia="宋体" w:hAnsi="Times New Roman" w:cs="Times New Roman"/>
          <w:kern w:val="0"/>
          <w:sz w:val="24"/>
          <w:szCs w:val="24"/>
        </w:rPr>
        <w:t>参赛作品未被用于商业用途</w:t>
      </w:r>
      <w:r w:rsidR="007543B8" w:rsidRPr="00566CF7">
        <w:rPr>
          <w:rFonts w:ascii="Times New Roman" w:eastAsia="宋体" w:hAnsi="Times New Roman" w:cs="Times New Roman"/>
          <w:kern w:val="0"/>
          <w:sz w:val="24"/>
          <w:szCs w:val="24"/>
        </w:rPr>
        <w:t>。</w:t>
      </w:r>
    </w:p>
    <w:p w:rsidR="007543B8" w:rsidRPr="00566CF7" w:rsidRDefault="007543B8" w:rsidP="00903E66">
      <w:pPr>
        <w:spacing w:beforeLines="50" w:before="156" w:line="360" w:lineRule="auto"/>
        <w:ind w:firstLineChars="200" w:firstLine="480"/>
        <w:rPr>
          <w:rFonts w:ascii="Times New Roman" w:eastAsia="宋体" w:hAnsi="Times New Roman" w:cs="Times New Roman"/>
          <w:kern w:val="0"/>
          <w:sz w:val="24"/>
          <w:szCs w:val="24"/>
        </w:rPr>
      </w:pPr>
      <w:r w:rsidRPr="00566CF7">
        <w:rPr>
          <w:rFonts w:ascii="Times New Roman" w:eastAsia="宋体" w:hAnsi="Times New Roman" w:cs="Times New Roman"/>
          <w:kern w:val="0"/>
          <w:sz w:val="24"/>
          <w:szCs w:val="24"/>
        </w:rPr>
        <w:t>根据</w:t>
      </w:r>
      <w:r w:rsidRPr="00566CF7">
        <w:rPr>
          <w:rFonts w:ascii="Times New Roman" w:eastAsia="宋体" w:hAnsi="Times New Roman" w:cs="Times New Roman"/>
          <w:kern w:val="0"/>
          <w:sz w:val="24"/>
          <w:szCs w:val="24"/>
        </w:rPr>
        <w:t>“</w:t>
      </w:r>
      <w:r w:rsidRPr="00566CF7">
        <w:rPr>
          <w:rFonts w:ascii="Times New Roman" w:eastAsia="宋体" w:hAnsi="Times New Roman" w:cs="Times New Roman"/>
          <w:kern w:val="0"/>
          <w:sz w:val="24"/>
          <w:szCs w:val="24"/>
        </w:rPr>
        <w:t>霍普杯</w:t>
      </w:r>
      <w:r w:rsidRPr="00566CF7">
        <w:rPr>
          <w:rFonts w:ascii="Times New Roman" w:eastAsia="宋体" w:hAnsi="Times New Roman" w:cs="Times New Roman"/>
          <w:kern w:val="0"/>
          <w:sz w:val="24"/>
          <w:szCs w:val="24"/>
        </w:rPr>
        <w:t>”</w:t>
      </w:r>
      <w:r w:rsidRPr="00566CF7">
        <w:rPr>
          <w:rFonts w:ascii="Times New Roman" w:eastAsia="宋体" w:hAnsi="Times New Roman" w:cs="Times New Roman"/>
          <w:kern w:val="0"/>
          <w:sz w:val="24"/>
          <w:szCs w:val="24"/>
        </w:rPr>
        <w:t>官方网站公示的参赛规则，参赛者拥有参赛作品的版权。</w:t>
      </w:r>
    </w:p>
    <w:p w:rsidR="000873D9" w:rsidRPr="00566CF7" w:rsidRDefault="007543B8" w:rsidP="00903E66">
      <w:pPr>
        <w:spacing w:beforeLines="50" w:before="156" w:line="360" w:lineRule="auto"/>
        <w:ind w:firstLineChars="200" w:firstLine="480"/>
        <w:rPr>
          <w:rFonts w:ascii="Times New Roman" w:eastAsia="宋体" w:hAnsi="Times New Roman" w:cs="Times New Roman"/>
          <w:kern w:val="0"/>
          <w:sz w:val="24"/>
          <w:szCs w:val="24"/>
        </w:rPr>
      </w:pPr>
      <w:r w:rsidRPr="00566CF7">
        <w:rPr>
          <w:rFonts w:ascii="Times New Roman" w:eastAsia="宋体" w:hAnsi="Times New Roman" w:cs="Times New Roman"/>
          <w:kern w:val="0"/>
          <w:sz w:val="24"/>
          <w:szCs w:val="24"/>
        </w:rPr>
        <w:t>公司</w:t>
      </w:r>
      <w:r w:rsidR="000873D9" w:rsidRPr="00566CF7">
        <w:rPr>
          <w:rFonts w:ascii="Times New Roman" w:eastAsia="宋体" w:hAnsi="Times New Roman" w:cs="Times New Roman"/>
          <w:kern w:val="0"/>
          <w:sz w:val="24"/>
          <w:szCs w:val="24"/>
        </w:rPr>
        <w:t>与相关竞赛主体不存在纠纷或潜在纠纷。</w:t>
      </w:r>
    </w:p>
    <w:p w:rsidR="000873D9" w:rsidRPr="00566CF7" w:rsidRDefault="007543B8" w:rsidP="00903E66">
      <w:pPr>
        <w:spacing w:beforeLines="50" w:before="156" w:line="360" w:lineRule="auto"/>
        <w:ind w:firstLineChars="200" w:firstLine="480"/>
        <w:rPr>
          <w:rFonts w:ascii="Times New Roman" w:eastAsia="宋体" w:hAnsi="Times New Roman" w:cs="Times New Roman"/>
          <w:kern w:val="0"/>
          <w:sz w:val="24"/>
          <w:szCs w:val="24"/>
        </w:rPr>
      </w:pPr>
      <w:r w:rsidRPr="00566CF7">
        <w:rPr>
          <w:rFonts w:ascii="Times New Roman" w:eastAsia="宋体" w:hAnsi="Times New Roman" w:cs="Times New Roman"/>
          <w:kern w:val="0"/>
          <w:sz w:val="24"/>
          <w:szCs w:val="24"/>
        </w:rPr>
        <w:t>综上</w:t>
      </w:r>
      <w:r w:rsidR="000873D9" w:rsidRPr="00566CF7">
        <w:rPr>
          <w:rFonts w:ascii="Times New Roman" w:eastAsia="宋体" w:hAnsi="Times New Roman" w:cs="Times New Roman"/>
          <w:kern w:val="0"/>
          <w:sz w:val="24"/>
          <w:szCs w:val="24"/>
        </w:rPr>
        <w:t>，</w:t>
      </w:r>
      <w:r w:rsidR="000873D9" w:rsidRPr="00566CF7">
        <w:rPr>
          <w:rFonts w:ascii="Times New Roman" w:eastAsia="宋体" w:hAnsi="Times New Roman" w:cs="Times New Roman"/>
          <w:kern w:val="0"/>
          <w:sz w:val="24"/>
          <w:szCs w:val="24"/>
        </w:rPr>
        <w:t>“</w:t>
      </w:r>
      <w:r w:rsidR="000873D9" w:rsidRPr="00566CF7">
        <w:rPr>
          <w:rFonts w:ascii="Times New Roman" w:eastAsia="宋体" w:hAnsi="Times New Roman" w:cs="Times New Roman"/>
          <w:kern w:val="0"/>
          <w:sz w:val="24"/>
          <w:szCs w:val="24"/>
        </w:rPr>
        <w:t>霍普杯</w:t>
      </w:r>
      <w:r w:rsidR="000873D9" w:rsidRPr="00566CF7">
        <w:rPr>
          <w:rFonts w:ascii="Times New Roman" w:eastAsia="宋体" w:hAnsi="Times New Roman" w:cs="Times New Roman"/>
          <w:kern w:val="0"/>
          <w:sz w:val="24"/>
          <w:szCs w:val="24"/>
        </w:rPr>
        <w:t>”</w:t>
      </w:r>
      <w:r w:rsidR="000873D9" w:rsidRPr="00566CF7">
        <w:rPr>
          <w:rFonts w:ascii="Times New Roman" w:eastAsia="宋体" w:hAnsi="Times New Roman" w:cs="Times New Roman"/>
          <w:kern w:val="0"/>
          <w:sz w:val="24"/>
          <w:szCs w:val="24"/>
        </w:rPr>
        <w:t>竞赛作品未被用于商业用途，主办方已通过官方网站公示参赛规则的方式对知识产权做出明确约定，发行人与竞赛相关主体不存在纠纷或潜在纠纷。</w:t>
      </w:r>
    </w:p>
    <w:p w:rsidR="006475AC" w:rsidRPr="009C0832" w:rsidRDefault="006475AC" w:rsidP="00E449CC">
      <w:pPr>
        <w:pStyle w:val="a4"/>
        <w:spacing w:before="156" w:after="156"/>
      </w:pPr>
      <w:r w:rsidRPr="009C0832">
        <w:rPr>
          <w:rFonts w:hint="eastAsia"/>
        </w:rPr>
        <w:t>【中介机构核查意见】</w:t>
      </w:r>
    </w:p>
    <w:p w:rsidR="006475AC" w:rsidRPr="009C0832" w:rsidRDefault="006475AC" w:rsidP="00903E66">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proofErr w:type="spellStart"/>
      <w:r w:rsidRPr="009C0832">
        <w:rPr>
          <w:rFonts w:ascii="宋体" w:eastAsia="Times New Roman" w:hAnsi="宋体" w:cs="Times New Roman"/>
          <w:b/>
          <w:color w:val="000000"/>
          <w:kern w:val="0"/>
          <w:sz w:val="24"/>
          <w:szCs w:val="24"/>
          <w:lang w:bidi="en-US"/>
        </w:rPr>
        <w:t>一）核查过程</w:t>
      </w:r>
      <w:proofErr w:type="spellEnd"/>
    </w:p>
    <w:p w:rsidR="006475AC" w:rsidRPr="009C0832" w:rsidRDefault="006475AC" w:rsidP="00903E66">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保荐机构、发行人律师</w:t>
      </w:r>
      <w:r w:rsidRPr="009C0832">
        <w:rPr>
          <w:rFonts w:ascii="Times New Roman" w:eastAsia="宋体" w:hAnsi="Times New Roman" w:cs="Times New Roman" w:hint="eastAsia"/>
          <w:kern w:val="0"/>
          <w:sz w:val="24"/>
          <w:szCs w:val="24"/>
          <w:lang w:val="zh-TW"/>
        </w:rPr>
        <w:t>执行了如下核查程序：</w:t>
      </w:r>
    </w:p>
    <w:p w:rsidR="009B7347" w:rsidRPr="009B7347" w:rsidRDefault="006475AC" w:rsidP="00903E66">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lastRenderedPageBreak/>
        <w:t>1</w:t>
      </w:r>
      <w:r w:rsidRPr="009C0832">
        <w:rPr>
          <w:rFonts w:ascii="宋体" w:eastAsia="宋体" w:hAnsi="宋体" w:cs="宋体" w:hint="eastAsia"/>
          <w:color w:val="000000"/>
          <w:kern w:val="0"/>
          <w:sz w:val="24"/>
          <w:szCs w:val="24"/>
          <w:u w:color="000000"/>
          <w:lang w:bidi="en-US"/>
        </w:rPr>
        <w:t>、</w:t>
      </w:r>
      <w:r w:rsidR="009B7347" w:rsidRPr="009B7347">
        <w:rPr>
          <w:rFonts w:ascii="宋体" w:eastAsia="宋体" w:hAnsi="宋体" w:cs="宋体"/>
          <w:color w:val="000000"/>
          <w:kern w:val="0"/>
          <w:sz w:val="24"/>
          <w:szCs w:val="24"/>
          <w:u w:color="000000"/>
          <w:lang w:bidi="en-US"/>
        </w:rPr>
        <w:t>查阅了发行人报告期内的财务数据及所获建筑设计类奖项并访谈了发行人高级管理人员，核实了发行人的营业收入构成、所获奖项情况；查阅了与发行人及与其商号相同且涉及建筑设计类企业的工商资料以及对外宣传资料，核实了发行人的品牌是否能够与上述企业的品牌做出有效区分。</w:t>
      </w:r>
    </w:p>
    <w:p w:rsidR="009B7347" w:rsidRPr="009B7347" w:rsidRDefault="009B7347" w:rsidP="00903E66">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w:t>
      </w:r>
      <w:r w:rsidR="006221C0">
        <w:rPr>
          <w:rFonts w:ascii="宋体" w:eastAsia="宋体" w:hAnsi="宋体" w:cs="宋体" w:hint="eastAsia"/>
          <w:color w:val="000000"/>
          <w:kern w:val="0"/>
          <w:sz w:val="24"/>
          <w:szCs w:val="24"/>
          <w:u w:color="000000"/>
          <w:lang w:bidi="en-US"/>
        </w:rPr>
        <w:t>对使用“霍普”字号且</w:t>
      </w:r>
      <w:r w:rsidR="006221C0" w:rsidRPr="0070110B">
        <w:rPr>
          <w:rFonts w:ascii="宋体" w:eastAsia="宋体" w:hAnsi="宋体" w:cs="宋体"/>
          <w:color w:val="000000"/>
          <w:kern w:val="0"/>
          <w:sz w:val="24"/>
          <w:szCs w:val="24"/>
          <w:u w:color="000000"/>
          <w:lang w:bidi="en-US"/>
        </w:rPr>
        <w:t>涉及建筑设计类的企业</w:t>
      </w:r>
      <w:r w:rsidR="006221C0">
        <w:rPr>
          <w:rFonts w:ascii="宋体" w:eastAsia="宋体" w:hAnsi="宋体" w:cs="宋体" w:hint="eastAsia"/>
          <w:color w:val="000000"/>
          <w:kern w:val="0"/>
          <w:sz w:val="24"/>
          <w:szCs w:val="24"/>
          <w:u w:color="000000"/>
          <w:lang w:bidi="en-US"/>
        </w:rPr>
        <w:t>进行了网络检索，核实了上述企业的企业名称、注册商标及对外宣传资料；</w:t>
      </w:r>
      <w:r w:rsidRPr="009B7347">
        <w:rPr>
          <w:rFonts w:ascii="宋体" w:eastAsia="宋体" w:hAnsi="宋体" w:cs="宋体"/>
          <w:color w:val="000000"/>
          <w:kern w:val="0"/>
          <w:sz w:val="24"/>
          <w:szCs w:val="24"/>
          <w:u w:color="000000"/>
          <w:lang w:bidi="en-US"/>
        </w:rPr>
        <w:t>查阅了发行人的对外宣传资料，核实了发行人进行品牌宣传时所使用的商标与品牌LOGO及其来源，发行人对“霍普”品牌使用是否存在被其他境内外主体主张权利的风险；调取了国家知识产权局商标局出具的《商标档案》并检索了国家知识产权局商标局官网、裁判文书网，核实了发行人所持商标是否存在被其他主体主张权利的情况。</w:t>
      </w:r>
    </w:p>
    <w:p w:rsidR="006475AC" w:rsidRPr="009B7347" w:rsidRDefault="009B7347" w:rsidP="00903E66">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3、</w:t>
      </w:r>
      <w:r w:rsidRPr="009B7347">
        <w:rPr>
          <w:rFonts w:ascii="宋体" w:eastAsia="宋体" w:hAnsi="宋体" w:cs="宋体"/>
          <w:color w:val="000000"/>
          <w:kern w:val="0"/>
          <w:sz w:val="24"/>
          <w:szCs w:val="24"/>
          <w:u w:color="000000"/>
          <w:lang w:bidi="en-US"/>
        </w:rPr>
        <w:t>查阅了报告期内“霍普杯”官网的历届比赛公告、发行人与优易地（北京）文化传媒有限公司签署的冠名合作协议、检索了裁判文书网并访谈了发行人高级管理人员，核实了“霍普杯”举办的具体情况以及发行人与相关竞赛主体是否存在纠纷及潜在纠纷。</w:t>
      </w:r>
    </w:p>
    <w:p w:rsidR="006475AC" w:rsidRPr="009C0832" w:rsidRDefault="006475AC" w:rsidP="00903E66">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proofErr w:type="spellStart"/>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roofErr w:type="spellEnd"/>
    </w:p>
    <w:p w:rsidR="006475AC" w:rsidRPr="009C0832" w:rsidRDefault="006475AC" w:rsidP="00903E66">
      <w:pPr>
        <w:spacing w:beforeLines="50" w:before="156" w:afterLines="50" w:after="156" w:line="360" w:lineRule="auto"/>
        <w:ind w:firstLineChars="200" w:firstLine="480"/>
        <w:rPr>
          <w:rFonts w:ascii="宋体" w:eastAsia="宋体" w:hAnsi="宋体" w:cs="Times New Roman"/>
          <w:sz w:val="24"/>
          <w:szCs w:val="24"/>
        </w:rPr>
      </w:pPr>
      <w:r w:rsidRPr="009C0832">
        <w:rPr>
          <w:rFonts w:ascii="Times New Roman" w:eastAsia="宋体" w:hAnsi="Times New Roman" w:cs="Times New Roman"/>
          <w:kern w:val="0"/>
          <w:sz w:val="24"/>
          <w:szCs w:val="24"/>
          <w:lang w:val="zh-TW"/>
        </w:rPr>
        <w:t>保荐机构、发行人律师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9B7347" w:rsidRPr="009B7347" w:rsidRDefault="006475AC" w:rsidP="00903E66">
      <w:pPr>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w:t>
      </w:r>
      <w:r w:rsidR="009B7347" w:rsidRPr="009B7347">
        <w:rPr>
          <w:rFonts w:ascii="Times New Roman" w:eastAsia="宋体" w:hAnsi="Times New Roman" w:cs="Times New Roman"/>
          <w:sz w:val="24"/>
          <w:szCs w:val="24"/>
        </w:rPr>
        <w:t>发行人已在《招股说明书》中披露</w:t>
      </w:r>
      <w:r w:rsidR="009B7347" w:rsidRPr="009B7347">
        <w:rPr>
          <w:rFonts w:ascii="Times New Roman" w:eastAsia="宋体" w:hAnsi="Times New Roman" w:cs="Times New Roman"/>
          <w:sz w:val="24"/>
          <w:szCs w:val="24"/>
        </w:rPr>
        <w:t>“</w:t>
      </w:r>
      <w:r w:rsidR="009B7347" w:rsidRPr="009B7347">
        <w:rPr>
          <w:rFonts w:ascii="Times New Roman" w:eastAsia="宋体" w:hAnsi="Times New Roman" w:cs="Times New Roman"/>
          <w:sz w:val="24"/>
          <w:szCs w:val="24"/>
        </w:rPr>
        <w:t>霍普</w:t>
      </w:r>
      <w:r w:rsidR="009B7347" w:rsidRPr="009B7347">
        <w:rPr>
          <w:rFonts w:ascii="Times New Roman" w:eastAsia="宋体" w:hAnsi="Times New Roman" w:cs="Times New Roman"/>
          <w:sz w:val="24"/>
          <w:szCs w:val="24"/>
        </w:rPr>
        <w:t>”</w:t>
      </w:r>
      <w:r w:rsidR="009B7347" w:rsidRPr="009B7347">
        <w:rPr>
          <w:rFonts w:ascii="Times New Roman" w:eastAsia="宋体" w:hAnsi="Times New Roman" w:cs="Times New Roman"/>
          <w:sz w:val="24"/>
          <w:szCs w:val="24"/>
        </w:rPr>
        <w:t>品牌的知名度情况，</w:t>
      </w:r>
      <w:r w:rsidR="009B7347">
        <w:rPr>
          <w:rFonts w:ascii="Times New Roman" w:eastAsia="宋体" w:hAnsi="Times New Roman" w:cs="Times New Roman" w:hint="eastAsia"/>
          <w:sz w:val="24"/>
          <w:szCs w:val="24"/>
        </w:rPr>
        <w:t>相关表述准确，</w:t>
      </w:r>
      <w:r w:rsidR="009B7347" w:rsidRPr="009B7347">
        <w:rPr>
          <w:rFonts w:ascii="Times New Roman" w:eastAsia="宋体" w:hAnsi="Times New Roman" w:cs="Times New Roman"/>
          <w:sz w:val="24"/>
          <w:szCs w:val="24"/>
        </w:rPr>
        <w:t>发行人的企业品牌与类似商号且涉及建筑设计类的企业的品牌能够有效区分。</w:t>
      </w:r>
    </w:p>
    <w:p w:rsidR="009B7347" w:rsidRPr="009B7347" w:rsidRDefault="009B7347" w:rsidP="00903E66">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w:t>
      </w:r>
      <w:r w:rsidRPr="009B7347">
        <w:rPr>
          <w:rFonts w:ascii="Times New Roman" w:eastAsia="宋体" w:hAnsi="Times New Roman" w:cs="Times New Roman"/>
          <w:sz w:val="24"/>
          <w:szCs w:val="24"/>
        </w:rPr>
        <w:t>发行人对</w:t>
      </w:r>
      <w:r w:rsidRPr="009B7347">
        <w:rPr>
          <w:rFonts w:ascii="Times New Roman" w:eastAsia="宋体" w:hAnsi="Times New Roman" w:cs="Times New Roman"/>
          <w:sz w:val="24"/>
          <w:szCs w:val="24"/>
        </w:rPr>
        <w:t>“</w:t>
      </w:r>
      <w:r w:rsidRPr="009B7347">
        <w:rPr>
          <w:rFonts w:ascii="Times New Roman" w:eastAsia="宋体" w:hAnsi="Times New Roman" w:cs="Times New Roman"/>
          <w:sz w:val="24"/>
          <w:szCs w:val="24"/>
        </w:rPr>
        <w:t>霍普</w:t>
      </w:r>
      <w:r w:rsidRPr="009B7347">
        <w:rPr>
          <w:rFonts w:ascii="Times New Roman" w:eastAsia="宋体" w:hAnsi="Times New Roman" w:cs="Times New Roman"/>
          <w:sz w:val="24"/>
          <w:szCs w:val="24"/>
        </w:rPr>
        <w:t>”</w:t>
      </w:r>
      <w:r w:rsidRPr="009B7347">
        <w:rPr>
          <w:rFonts w:ascii="Times New Roman" w:eastAsia="宋体" w:hAnsi="Times New Roman" w:cs="Times New Roman"/>
          <w:sz w:val="24"/>
          <w:szCs w:val="24"/>
        </w:rPr>
        <w:t>品牌的使用不存在被其他境内外主体主张权利的风险。</w:t>
      </w:r>
    </w:p>
    <w:p w:rsidR="006475AC" w:rsidRPr="009C0832" w:rsidRDefault="009B7347" w:rsidP="00903E66">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w:t>
      </w:r>
      <w:r w:rsidRPr="009B7347">
        <w:rPr>
          <w:rFonts w:ascii="Times New Roman" w:eastAsia="宋体" w:hAnsi="Times New Roman" w:cs="Times New Roman"/>
          <w:sz w:val="24"/>
          <w:szCs w:val="24"/>
        </w:rPr>
        <w:t>发行人已在《招股说明书》中披露</w:t>
      </w:r>
      <w:r w:rsidRPr="009B7347">
        <w:rPr>
          <w:rFonts w:ascii="Times New Roman" w:eastAsia="宋体" w:hAnsi="Times New Roman" w:cs="Times New Roman"/>
          <w:sz w:val="24"/>
          <w:szCs w:val="24"/>
        </w:rPr>
        <w:t>“</w:t>
      </w:r>
      <w:r w:rsidRPr="009B7347">
        <w:rPr>
          <w:rFonts w:ascii="Times New Roman" w:eastAsia="宋体" w:hAnsi="Times New Roman" w:cs="Times New Roman"/>
          <w:sz w:val="24"/>
          <w:szCs w:val="24"/>
        </w:rPr>
        <w:t>霍普杯</w:t>
      </w:r>
      <w:r w:rsidRPr="009B7347">
        <w:rPr>
          <w:rFonts w:ascii="Times New Roman" w:eastAsia="宋体" w:hAnsi="Times New Roman" w:cs="Times New Roman"/>
          <w:sz w:val="24"/>
          <w:szCs w:val="24"/>
        </w:rPr>
        <w:t>”</w:t>
      </w:r>
      <w:r w:rsidRPr="009B7347">
        <w:rPr>
          <w:rFonts w:ascii="Times New Roman" w:eastAsia="宋体" w:hAnsi="Times New Roman" w:cs="Times New Roman"/>
          <w:sz w:val="24"/>
          <w:szCs w:val="24"/>
        </w:rPr>
        <w:t>国际大学生建筑设计竞赛具体情况，</w:t>
      </w:r>
      <w:r>
        <w:rPr>
          <w:rFonts w:ascii="Times New Roman" w:eastAsia="宋体" w:hAnsi="Times New Roman" w:cs="Times New Roman" w:hint="eastAsia"/>
          <w:sz w:val="24"/>
          <w:szCs w:val="24"/>
        </w:rPr>
        <w:t>相关表述准确，</w:t>
      </w:r>
      <w:r w:rsidRPr="009B7347">
        <w:rPr>
          <w:rFonts w:ascii="Times New Roman" w:eastAsia="宋体" w:hAnsi="Times New Roman" w:cs="Times New Roman"/>
          <w:sz w:val="24"/>
          <w:szCs w:val="24"/>
        </w:rPr>
        <w:t>参赛作品未被用于商业用途，发行人与竞赛相关主体不存在纠纷或潜在纠纷。</w:t>
      </w:r>
    </w:p>
    <w:p w:rsidR="006475AC" w:rsidRDefault="006475AC" w:rsidP="00E449CC">
      <w:pPr>
        <w:pStyle w:val="a7"/>
        <w:spacing w:before="156" w:after="156"/>
      </w:pPr>
    </w:p>
    <w:p w:rsidR="002C4D3B" w:rsidRPr="009C0832" w:rsidRDefault="002C4D3B" w:rsidP="00903E66">
      <w:pPr>
        <w:spacing w:beforeLines="50" w:before="156" w:afterLines="50" w:after="156" w:line="360" w:lineRule="auto"/>
        <w:ind w:firstLineChars="200" w:firstLine="482"/>
        <w:outlineLvl w:val="0"/>
        <w:rPr>
          <w:rFonts w:ascii="Times New Roman" w:eastAsia="宋体" w:hAnsi="Times New Roman" w:cs="Times New Roman"/>
          <w:b/>
          <w:sz w:val="24"/>
        </w:rPr>
      </w:pPr>
      <w:bookmarkStart w:id="2" w:name="_Toc58669584"/>
      <w:r w:rsidRPr="009C0832">
        <w:rPr>
          <w:rFonts w:ascii="Times New Roman" w:eastAsia="宋体" w:hAnsi="Times New Roman" w:cs="Times New Roman" w:hint="eastAsia"/>
          <w:b/>
          <w:sz w:val="24"/>
        </w:rPr>
        <w:t>问题</w:t>
      </w:r>
      <w:r w:rsidRPr="009C0832">
        <w:rPr>
          <w:rFonts w:ascii="Times New Roman" w:eastAsia="宋体" w:hAnsi="Times New Roman" w:cs="Times New Roman"/>
          <w:b/>
          <w:sz w:val="24"/>
        </w:rPr>
        <w:t>2</w:t>
      </w:r>
      <w:bookmarkEnd w:id="2"/>
    </w:p>
    <w:p w:rsidR="000D775B" w:rsidRPr="000D775B" w:rsidRDefault="002C4D3B" w:rsidP="00E449CC">
      <w:pPr>
        <w:pStyle w:val="a7"/>
        <w:spacing w:before="156" w:after="156"/>
        <w:rPr>
          <w:rFonts w:ascii="Times New Roman" w:eastAsia="宋体" w:hAnsi="Times New Roman"/>
        </w:rPr>
      </w:pPr>
      <w:r w:rsidRPr="009C0832">
        <w:rPr>
          <w:rFonts w:ascii="Times New Roman" w:eastAsia="宋体" w:hAnsi="Times New Roman"/>
        </w:rPr>
        <w:t>2.</w:t>
      </w:r>
      <w:r w:rsidRPr="002C4D3B">
        <w:t xml:space="preserve"> </w:t>
      </w:r>
      <w:r w:rsidR="000D775B" w:rsidRPr="000D775B">
        <w:rPr>
          <w:rFonts w:ascii="Times New Roman" w:eastAsia="宋体" w:hAnsi="Times New Roman"/>
        </w:rPr>
        <w:t>根据申报材料及审核问询回复，报告期内，发行人建筑设计业务按照完</w:t>
      </w:r>
      <w:r w:rsidR="000D775B" w:rsidRPr="000D775B">
        <w:rPr>
          <w:rFonts w:ascii="Times New Roman" w:eastAsia="宋体" w:hAnsi="Times New Roman"/>
        </w:rPr>
        <w:lastRenderedPageBreak/>
        <w:t>工百分比法即合同付款节点约定比例确认收入。发行人认为实施新收入准则不会对公司具体的收入确认方法和收入金额构成影响，对公司生产经营及主要财务指标无实质影响。请发行人结合新收入准则规定的按时段确认收入的三个条件，论证并补充披露发行人建筑设计业务按照完工百分比法即合同付款节点约定比例确认收入是否符合相关规定。</w:t>
      </w:r>
    </w:p>
    <w:p w:rsidR="002C4D3B" w:rsidRDefault="000D775B" w:rsidP="00E449CC">
      <w:pPr>
        <w:pStyle w:val="a7"/>
        <w:spacing w:before="156" w:after="156"/>
        <w:rPr>
          <w:rFonts w:ascii="Times New Roman" w:eastAsia="宋体" w:hAnsi="Times New Roman"/>
        </w:rPr>
      </w:pPr>
      <w:r w:rsidRPr="000D775B">
        <w:rPr>
          <w:rFonts w:ascii="Times New Roman" w:eastAsia="宋体" w:hAnsi="Times New Roman"/>
        </w:rPr>
        <w:t>请保荐人、申报会计师核查并发表明确意见。</w:t>
      </w:r>
    </w:p>
    <w:p w:rsidR="00776F91" w:rsidRDefault="00776F91" w:rsidP="00903E66">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2C4D3B" w:rsidRPr="0076370A" w:rsidRDefault="002C4D3B" w:rsidP="00903E66">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2C4D3B" w:rsidRDefault="002C4D3B" w:rsidP="00E449CC">
      <w:pPr>
        <w:pStyle w:val="a6"/>
        <w:spacing w:before="156" w:after="156"/>
      </w:pPr>
      <w:r>
        <w:rPr>
          <w:rFonts w:hint="eastAsia"/>
        </w:rPr>
        <w:t>（一）</w:t>
      </w:r>
      <w:r w:rsidR="000D775B" w:rsidRPr="000D775B">
        <w:t>结合新收入准则规定的按时段确认收入的三个条件，论证并补充披露发行人建筑设计业务按照完工百分比法即合同付款节点约定比例确认收入是否符合相关规定</w:t>
      </w:r>
    </w:p>
    <w:p w:rsidR="0069414F" w:rsidRPr="00846646" w:rsidRDefault="0069414F" w:rsidP="00903E66">
      <w:pPr>
        <w:spacing w:beforeLines="50" w:before="156" w:afterLines="50" w:after="156" w:line="360" w:lineRule="auto"/>
        <w:ind w:firstLineChars="200" w:firstLine="480"/>
        <w:rPr>
          <w:rFonts w:ascii="Times New Roman" w:eastAsia="楷体" w:hAnsi="Times New Roman" w:cs="Times New Roman"/>
          <w:sz w:val="24"/>
          <w:szCs w:val="24"/>
        </w:rPr>
      </w:pPr>
      <w:r w:rsidRPr="00846646">
        <w:rPr>
          <w:rFonts w:ascii="宋体" w:eastAsia="宋体" w:hAnsi="宋体" w:cs="Times New Roman"/>
          <w:sz w:val="24"/>
          <w:szCs w:val="24"/>
        </w:rPr>
        <w:t>发行人已在招股说明书“第</w:t>
      </w:r>
      <w:r w:rsidRPr="00846646">
        <w:rPr>
          <w:rFonts w:ascii="宋体" w:eastAsia="宋体" w:hAnsi="宋体" w:cs="Times New Roman" w:hint="eastAsia"/>
          <w:sz w:val="24"/>
          <w:szCs w:val="24"/>
        </w:rPr>
        <w:t>八</w:t>
      </w:r>
      <w:r w:rsidRPr="00846646">
        <w:rPr>
          <w:rFonts w:ascii="宋体" w:eastAsia="宋体" w:hAnsi="宋体" w:cs="Times New Roman"/>
          <w:sz w:val="24"/>
          <w:szCs w:val="24"/>
        </w:rPr>
        <w:t xml:space="preserve">节 </w:t>
      </w:r>
      <w:r w:rsidRPr="00846646">
        <w:rPr>
          <w:rFonts w:ascii="宋体" w:eastAsia="宋体" w:hAnsi="宋体" w:cs="Times New Roman" w:hint="eastAsia"/>
          <w:sz w:val="24"/>
          <w:szCs w:val="24"/>
        </w:rPr>
        <w:t>财务会计信息与管理层分析</w:t>
      </w:r>
      <w:r w:rsidRPr="00846646">
        <w:rPr>
          <w:rFonts w:ascii="宋体" w:eastAsia="宋体" w:hAnsi="宋体" w:cs="Times New Roman"/>
          <w:sz w:val="24"/>
          <w:szCs w:val="24"/>
        </w:rPr>
        <w:t>”之“</w:t>
      </w:r>
      <w:r w:rsidRPr="00846646">
        <w:rPr>
          <w:rFonts w:ascii="宋体" w:eastAsia="宋体" w:hAnsi="宋体" w:cs="Times New Roman" w:hint="eastAsia"/>
          <w:sz w:val="24"/>
          <w:szCs w:val="24"/>
        </w:rPr>
        <w:t>五</w:t>
      </w:r>
      <w:r w:rsidRPr="00846646">
        <w:rPr>
          <w:rFonts w:ascii="宋体" w:eastAsia="宋体" w:hAnsi="宋体" w:cs="Times New Roman"/>
          <w:sz w:val="24"/>
          <w:szCs w:val="24"/>
        </w:rPr>
        <w:t>、</w:t>
      </w:r>
      <w:r w:rsidRPr="00846646">
        <w:rPr>
          <w:rFonts w:ascii="宋体" w:eastAsia="宋体" w:hAnsi="宋体" w:cs="Times New Roman" w:hint="eastAsia"/>
          <w:sz w:val="24"/>
          <w:szCs w:val="24"/>
        </w:rPr>
        <w:t>主要会计政策和会计估计</w:t>
      </w:r>
      <w:r w:rsidRPr="00846646">
        <w:rPr>
          <w:rFonts w:ascii="宋体" w:eastAsia="宋体" w:hAnsi="宋体" w:cs="Times New Roman"/>
          <w:sz w:val="24"/>
          <w:szCs w:val="24"/>
        </w:rPr>
        <w:t>”之“（</w:t>
      </w:r>
      <w:r w:rsidRPr="00846646">
        <w:rPr>
          <w:rFonts w:ascii="宋体" w:eastAsia="宋体" w:hAnsi="宋体" w:cs="Times New Roman" w:hint="eastAsia"/>
          <w:sz w:val="24"/>
          <w:szCs w:val="24"/>
        </w:rPr>
        <w:t>十九</w:t>
      </w:r>
      <w:r w:rsidRPr="00846646">
        <w:rPr>
          <w:rFonts w:ascii="宋体" w:eastAsia="宋体" w:hAnsi="宋体" w:cs="Times New Roman"/>
          <w:sz w:val="24"/>
          <w:szCs w:val="24"/>
        </w:rPr>
        <w:t>）</w:t>
      </w:r>
      <w:r w:rsidRPr="00846646">
        <w:rPr>
          <w:rFonts w:ascii="宋体" w:eastAsia="宋体" w:hAnsi="宋体" w:cs="Times New Roman" w:hint="eastAsia"/>
          <w:sz w:val="24"/>
          <w:szCs w:val="24"/>
        </w:rPr>
        <w:t>收入</w:t>
      </w:r>
      <w:r w:rsidRPr="00846646">
        <w:rPr>
          <w:rFonts w:ascii="宋体" w:eastAsia="宋体" w:hAnsi="宋体" w:cs="Times New Roman"/>
          <w:sz w:val="24"/>
          <w:szCs w:val="24"/>
        </w:rPr>
        <w:t>”补充披露如下：</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8</w:t>
      </w:r>
      <w:r w:rsidRPr="00566CF7">
        <w:rPr>
          <w:rFonts w:ascii="Times New Roman" w:eastAsia="宋体" w:hAnsi="Times New Roman" w:cs="Times New Roman"/>
          <w:sz w:val="24"/>
          <w:szCs w:val="24"/>
        </w:rPr>
        <w:t>、发行人在新收入准则下其履约义务属于在某一时段内履行履约义务，发行人收入确认方法符合新收入准则的相关规定</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1</w:t>
      </w:r>
      <w:r w:rsidRPr="00566CF7">
        <w:rPr>
          <w:rFonts w:ascii="Times New Roman" w:eastAsia="宋体" w:hAnsi="Times New Roman" w:cs="Times New Roman"/>
          <w:sz w:val="24"/>
          <w:szCs w:val="24"/>
        </w:rPr>
        <w:t>）结合新收入准则规定的按时段确认收入的三个条件，发行人在新收入准则下其履约义务属于在某一时段内履行履约义务</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根据业务合同的约定，发行人向客户提供针对某一地产开发项目的建筑设计服务，该建筑设计服务是合同的履约义务。该履约义务属于在某一时段内履行的履约义务，具体分析如下：</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《企业会计准则</w:t>
      </w:r>
      <w:r w:rsidRPr="00566CF7">
        <w:rPr>
          <w:rFonts w:ascii="Times New Roman" w:eastAsia="宋体" w:hAnsi="Times New Roman" w:cs="Times New Roman"/>
          <w:sz w:val="24"/>
          <w:szCs w:val="24"/>
        </w:rPr>
        <w:t>—14</w:t>
      </w:r>
      <w:r w:rsidRPr="00566CF7">
        <w:rPr>
          <w:rFonts w:ascii="Times New Roman" w:eastAsia="宋体" w:hAnsi="Times New Roman" w:cs="Times New Roman"/>
          <w:sz w:val="24"/>
          <w:szCs w:val="24"/>
        </w:rPr>
        <w:t>号收入》第十一条规定：满足下列条件之一的，属于在某一时段内履行履约义务；否则，属于在某一时</w:t>
      </w:r>
      <w:proofErr w:type="gramStart"/>
      <w:r w:rsidRPr="00566CF7">
        <w:rPr>
          <w:rFonts w:ascii="Times New Roman" w:eastAsia="宋体" w:hAnsi="Times New Roman" w:cs="Times New Roman"/>
          <w:sz w:val="24"/>
          <w:szCs w:val="24"/>
        </w:rPr>
        <w:t>点履行</w:t>
      </w:r>
      <w:proofErr w:type="gramEnd"/>
      <w:r w:rsidRPr="00566CF7">
        <w:rPr>
          <w:rFonts w:ascii="Times New Roman" w:eastAsia="宋体" w:hAnsi="Times New Roman" w:cs="Times New Roman"/>
          <w:sz w:val="24"/>
          <w:szCs w:val="24"/>
        </w:rPr>
        <w:t>履约义务：</w:t>
      </w:r>
      <w:r w:rsidRPr="00566CF7">
        <w:rPr>
          <w:rFonts w:ascii="Times New Roman" w:eastAsia="宋体" w:hAnsi="Times New Roman" w:cs="Times New Roman"/>
          <w:sz w:val="24"/>
          <w:szCs w:val="24"/>
        </w:rPr>
        <w:t xml:space="preserve"> </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1</w:t>
      </w:r>
      <w:r w:rsidRPr="00566CF7">
        <w:rPr>
          <w:rFonts w:ascii="Times New Roman" w:eastAsia="宋体" w:hAnsi="Times New Roman" w:cs="Times New Roman"/>
          <w:sz w:val="24"/>
          <w:szCs w:val="24"/>
        </w:rPr>
        <w:t>）客户在企业履约的同时即取得并消耗企业履约所带来的经济利益。</w:t>
      </w:r>
      <w:r w:rsidRPr="00566CF7">
        <w:rPr>
          <w:rFonts w:ascii="Times New Roman" w:eastAsia="宋体" w:hAnsi="Times New Roman" w:cs="Times New Roman"/>
          <w:sz w:val="24"/>
          <w:szCs w:val="24"/>
        </w:rPr>
        <w:t xml:space="preserve"> </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2</w:t>
      </w:r>
      <w:r w:rsidRPr="00566CF7">
        <w:rPr>
          <w:rFonts w:ascii="Times New Roman" w:eastAsia="宋体" w:hAnsi="Times New Roman" w:cs="Times New Roman"/>
          <w:sz w:val="24"/>
          <w:szCs w:val="24"/>
        </w:rPr>
        <w:t>）客户能够控制企业履约过程中在建的商品。</w:t>
      </w:r>
      <w:r w:rsidRPr="00566CF7">
        <w:rPr>
          <w:rFonts w:ascii="Times New Roman" w:eastAsia="宋体" w:hAnsi="Times New Roman" w:cs="Times New Roman"/>
          <w:sz w:val="24"/>
          <w:szCs w:val="24"/>
        </w:rPr>
        <w:t xml:space="preserve"> </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3</w:t>
      </w:r>
      <w:r w:rsidRPr="00566CF7">
        <w:rPr>
          <w:rFonts w:ascii="Times New Roman" w:eastAsia="宋体" w:hAnsi="Times New Roman" w:cs="Times New Roman"/>
          <w:sz w:val="24"/>
          <w:szCs w:val="24"/>
        </w:rPr>
        <w:t>）企业履约过程中所产出的商品具有不可替代用途，且该企业在整个合同</w:t>
      </w:r>
      <w:r w:rsidRPr="00566CF7">
        <w:rPr>
          <w:rFonts w:ascii="Times New Roman" w:eastAsia="宋体" w:hAnsi="Times New Roman" w:cs="Times New Roman"/>
          <w:sz w:val="24"/>
          <w:szCs w:val="24"/>
        </w:rPr>
        <w:lastRenderedPageBreak/>
        <w:t>期间内有权就累计至今已完成的履约部分收取款项。具有不可替代用途，是指因合同限制或实际可行性限制，企业不能轻易地将商品用于其他用途。有权就累计至今已完成的履约部分收取款项，是指在由于客户或其他方原因终止合同的情况下，企业有权就累计至今已完成的履约部分收取能够补偿其已发生成本和合理利润的款项，并且该权利具有法律约束力。</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经过对发行人建筑设计业务合同进行评估，发行人识别其履约义务满足上述条件</w:t>
      </w:r>
      <w:r w:rsidRPr="00566CF7">
        <w:rPr>
          <w:rFonts w:ascii="Times New Roman" w:eastAsia="宋体" w:hAnsi="Times New Roman" w:cs="Times New Roman"/>
          <w:sz w:val="24"/>
          <w:szCs w:val="24"/>
        </w:rPr>
        <w:t>3</w:t>
      </w:r>
      <w:r w:rsidRPr="00566CF7">
        <w:rPr>
          <w:rFonts w:ascii="Times New Roman" w:eastAsia="宋体" w:hAnsi="Times New Roman" w:cs="Times New Roman"/>
          <w:sz w:val="24"/>
          <w:szCs w:val="24"/>
        </w:rPr>
        <w:t>），即满足其商品具有不可替代用途、及有权就累计至今已完成的履约部分收取款项的条件，具体识别和认定的依据如下：</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8"/>
        </w:rPr>
      </w:pPr>
      <w:r w:rsidRPr="00566CF7">
        <w:rPr>
          <w:rFonts w:ascii="Times New Roman" w:eastAsia="宋体" w:hAnsi="Times New Roman" w:cs="Times New Roman"/>
          <w:sz w:val="24"/>
          <w:szCs w:val="28"/>
        </w:rPr>
        <w:t>A</w:t>
      </w:r>
      <w:r w:rsidRPr="00566CF7">
        <w:rPr>
          <w:rFonts w:ascii="Times New Roman" w:eastAsia="宋体" w:hAnsi="Times New Roman" w:cs="Times New Roman"/>
          <w:sz w:val="24"/>
          <w:szCs w:val="28"/>
        </w:rPr>
        <w:t>、企业履约过程中所产出的商品具有不可替代用途</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8"/>
        </w:rPr>
      </w:pPr>
      <w:r w:rsidRPr="00566CF7">
        <w:rPr>
          <w:rFonts w:ascii="Times New Roman" w:eastAsia="宋体" w:hAnsi="Times New Roman" w:cs="Times New Roman"/>
          <w:sz w:val="24"/>
          <w:szCs w:val="24"/>
        </w:rPr>
        <w:t>发行人为客户提供的建筑设计服务，是针对某一地产开发项目而提供的定制化服务</w:t>
      </w:r>
      <w:r w:rsidRPr="00566CF7">
        <w:rPr>
          <w:rFonts w:ascii="Times New Roman" w:eastAsia="宋体" w:hAnsi="Times New Roman" w:cs="Times New Roman"/>
          <w:sz w:val="24"/>
          <w:szCs w:val="28"/>
        </w:rPr>
        <w:t>，通常包括对建筑物和附属构筑物设施等进行综合性设计及技术经济分析，提供作为建设依据或参考的设计文件和图纸等。</w:t>
      </w:r>
      <w:r w:rsidRPr="00566CF7">
        <w:rPr>
          <w:rFonts w:ascii="Times New Roman" w:eastAsia="宋体" w:hAnsi="Times New Roman" w:cs="Times New Roman"/>
          <w:sz w:val="24"/>
          <w:szCs w:val="28"/>
        </w:rPr>
        <w:t xml:space="preserve"> </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8"/>
        </w:rPr>
      </w:pPr>
      <w:r w:rsidRPr="00566CF7">
        <w:rPr>
          <w:rFonts w:ascii="Times New Roman" w:eastAsia="宋体" w:hAnsi="Times New Roman" w:cs="Times New Roman"/>
          <w:sz w:val="24"/>
          <w:szCs w:val="28"/>
        </w:rPr>
        <w:t>建筑本身具有个性化的典型特性，每个项目的设计均需要根据特定地块的用地规划、实现建筑物和所处环境的融合、反映市场诉求，对技术性、经济性等多种因素进行综合评判和设计。</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8"/>
        </w:rPr>
      </w:pPr>
      <w:r w:rsidRPr="00566CF7">
        <w:rPr>
          <w:rFonts w:ascii="Times New Roman" w:eastAsia="宋体" w:hAnsi="Times New Roman" w:cs="Times New Roman"/>
          <w:sz w:val="24"/>
          <w:szCs w:val="28"/>
        </w:rPr>
        <w:t>因此，发行人建筑设计业务合同约定的设计任务、设计成果，为个性化非标准定制服务，难以轻易地将设计成果用于其他用途；即发行人履约过程所提供的建筑设计劳务具有不可替代用途。</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8"/>
        </w:rPr>
      </w:pPr>
      <w:r w:rsidRPr="00566CF7">
        <w:rPr>
          <w:rFonts w:ascii="Times New Roman" w:eastAsia="宋体" w:hAnsi="Times New Roman" w:cs="Times New Roman"/>
          <w:sz w:val="24"/>
          <w:szCs w:val="28"/>
        </w:rPr>
        <w:t>B</w:t>
      </w:r>
      <w:r w:rsidRPr="00566CF7">
        <w:rPr>
          <w:rFonts w:ascii="Times New Roman" w:eastAsia="宋体" w:hAnsi="Times New Roman" w:cs="Times New Roman"/>
          <w:sz w:val="24"/>
          <w:szCs w:val="28"/>
        </w:rPr>
        <w:t>、企业有权就累计至今已完成的履约部分收取能够补偿其已发生成本和合理利润的款项，并且该权利具有法律约束力</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在发行人与客户签订的业务合同中，明确约定了各阶段环节应收取的款项，同时，针对客户终止合同，通常就发行人</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有权就累计至今已完成的履约部分收取款项</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进行了明确约定，具体包括：</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合同生效后</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因甲方原因而终止或解除合同</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乙方未开始设计工作的</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应退还甲方已付的定金</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已开始设计工作的，甲方应根据乙方已进行并经甲方确认的实际工作量支付设计费用</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当实际工作量不足一半时，按该阶段设计费的一半支付</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超过一半时，按该阶段设计费的全部支付</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因此，根据签署的业务合同条款约定等，发行人在整个合同期间内有权就累</w:t>
      </w:r>
      <w:r w:rsidRPr="00566CF7">
        <w:rPr>
          <w:rFonts w:ascii="Times New Roman" w:eastAsia="宋体" w:hAnsi="Times New Roman" w:cs="Times New Roman"/>
          <w:sz w:val="24"/>
          <w:szCs w:val="24"/>
        </w:rPr>
        <w:lastRenderedPageBreak/>
        <w:t>计已完成的履约部分收取款项，并且该权利具有法律约束力，且该等款项能够补偿发行人已经发生的成本和合理利润。</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综上，发行人建筑设计业务履约过程中所提供的劳务具有不可替代用途，且在整个合同期间内有权就累计至今已完成的履约部分收取款项，并且该权利具有法律约束力，所收取款项能够补偿已经发生的成本和合理利润，符合新收入准则下按照</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时段法</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确认收入的条件。</w:t>
      </w:r>
    </w:p>
    <w:p w:rsidR="00770BE8"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2</w:t>
      </w:r>
      <w:r w:rsidRPr="00566CF7">
        <w:rPr>
          <w:rFonts w:ascii="Times New Roman" w:eastAsia="宋体" w:hAnsi="Times New Roman" w:cs="Times New Roman"/>
          <w:sz w:val="24"/>
          <w:szCs w:val="24"/>
        </w:rPr>
        <w:t>）发行人收入确认方法符合新收入准则的相关规定</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发行人主要从事建筑设计业务，具体收入确认方法为：当阶段性工作量完成、向客户交付对应阶段的设计文件并经客户认可后，确认相应收入。在新收入准则下，适用《企业会计准则第</w:t>
      </w:r>
      <w:r w:rsidRPr="00566CF7">
        <w:rPr>
          <w:rFonts w:ascii="Times New Roman" w:eastAsia="宋体" w:hAnsi="Times New Roman" w:cs="Times New Roman"/>
          <w:sz w:val="24"/>
          <w:szCs w:val="24"/>
        </w:rPr>
        <w:t>14</w:t>
      </w:r>
      <w:r w:rsidRPr="00566CF7">
        <w:rPr>
          <w:rFonts w:ascii="Times New Roman" w:eastAsia="宋体" w:hAnsi="Times New Roman" w:cs="Times New Roman"/>
          <w:sz w:val="24"/>
          <w:szCs w:val="24"/>
        </w:rPr>
        <w:t>号</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收入》（财会【</w:t>
      </w:r>
      <w:r w:rsidRPr="00566CF7">
        <w:rPr>
          <w:rFonts w:ascii="Times New Roman" w:eastAsia="宋体" w:hAnsi="Times New Roman" w:cs="Times New Roman"/>
          <w:sz w:val="24"/>
          <w:szCs w:val="24"/>
        </w:rPr>
        <w:t>2017</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22</w:t>
      </w:r>
      <w:r w:rsidRPr="00566CF7">
        <w:rPr>
          <w:rFonts w:ascii="Times New Roman" w:eastAsia="宋体" w:hAnsi="Times New Roman" w:cs="Times New Roman"/>
          <w:sz w:val="24"/>
          <w:szCs w:val="24"/>
        </w:rPr>
        <w:t>号），采用五步法确认收入：</w:t>
      </w:r>
    </w:p>
    <w:p w:rsidR="0069414F"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宋体" w:eastAsia="宋体" w:hAnsi="宋体" w:cs="宋体" w:hint="eastAsia"/>
          <w:sz w:val="24"/>
          <w:szCs w:val="24"/>
        </w:rPr>
        <w:t>①</w:t>
      </w:r>
      <w:r w:rsidRPr="00566CF7">
        <w:rPr>
          <w:rFonts w:ascii="Times New Roman" w:eastAsia="宋体" w:hAnsi="Times New Roman" w:cs="Times New Roman"/>
          <w:sz w:val="24"/>
          <w:szCs w:val="24"/>
        </w:rPr>
        <w:t xml:space="preserve"> </w:t>
      </w:r>
      <w:r w:rsidR="0069414F" w:rsidRPr="00566CF7">
        <w:rPr>
          <w:rFonts w:ascii="Times New Roman" w:eastAsia="宋体" w:hAnsi="Times New Roman" w:cs="Times New Roman"/>
          <w:sz w:val="24"/>
          <w:szCs w:val="24"/>
        </w:rPr>
        <w:t>第一步：识别合同。</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合同的五个必要条件：合同已被审批；双方承诺将履行各自的义务；已明确各方的权利和义务；有明确的支付条款；具有商业实质；很可能收回对价。</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发行人向客户提供建筑设计服务，会与客户签订独立的业务合同，该合同经双方审批并盖章生效、双方承诺将履行各自的义务。合同条款明确约定了双方的权利和义务、支付条款，合同具有商业实质，发行人因履行该合同、为客户提供建筑设计服务而有权取得的对价很可能收回。综上，发行人与客户签订的业务合同，满足合同的五个必要条件。</w:t>
      </w:r>
    </w:p>
    <w:p w:rsidR="0069414F"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宋体" w:eastAsia="宋体" w:hAnsi="宋体" w:cs="宋体" w:hint="eastAsia"/>
          <w:sz w:val="24"/>
          <w:szCs w:val="24"/>
        </w:rPr>
        <w:t>②</w:t>
      </w:r>
      <w:r w:rsidRPr="00566CF7">
        <w:rPr>
          <w:rFonts w:ascii="Times New Roman" w:eastAsia="宋体" w:hAnsi="Times New Roman" w:cs="Times New Roman"/>
          <w:sz w:val="24"/>
          <w:szCs w:val="24"/>
        </w:rPr>
        <w:t xml:space="preserve"> </w:t>
      </w:r>
      <w:r w:rsidR="0069414F" w:rsidRPr="00566CF7">
        <w:rPr>
          <w:rFonts w:ascii="Times New Roman" w:eastAsia="宋体" w:hAnsi="Times New Roman" w:cs="Times New Roman"/>
          <w:sz w:val="24"/>
          <w:szCs w:val="24"/>
        </w:rPr>
        <w:t>第二步：识别履约义务。</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根据业务合同的约定，发行人向客户提供针对某一地产开发项目的建筑设计服务，该建筑设计服务是合同的履约义务。</w:t>
      </w:r>
      <w:r w:rsidR="00770BE8" w:rsidRPr="00566CF7">
        <w:rPr>
          <w:rFonts w:ascii="Times New Roman" w:eastAsia="宋体" w:hAnsi="Times New Roman" w:cs="Times New Roman"/>
          <w:sz w:val="24"/>
          <w:szCs w:val="24"/>
        </w:rPr>
        <w:t>如前所述，</w:t>
      </w:r>
      <w:r w:rsidRPr="00566CF7">
        <w:rPr>
          <w:rFonts w:ascii="Times New Roman" w:eastAsia="宋体" w:hAnsi="Times New Roman" w:cs="Times New Roman"/>
          <w:sz w:val="24"/>
          <w:szCs w:val="24"/>
        </w:rPr>
        <w:t>该履约义务属于在某一时段内履行的履约义务</w:t>
      </w:r>
      <w:r w:rsidR="00770BE8" w:rsidRPr="00566CF7">
        <w:rPr>
          <w:rFonts w:ascii="Times New Roman" w:eastAsia="宋体" w:hAnsi="Times New Roman" w:cs="Times New Roman"/>
          <w:sz w:val="24"/>
          <w:szCs w:val="24"/>
        </w:rPr>
        <w:t>。</w:t>
      </w:r>
    </w:p>
    <w:p w:rsidR="0069414F"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宋体" w:eastAsia="宋体" w:hAnsi="宋体" w:cs="宋体" w:hint="eastAsia"/>
          <w:sz w:val="24"/>
          <w:szCs w:val="24"/>
        </w:rPr>
        <w:t>③</w:t>
      </w:r>
      <w:r w:rsidRPr="00566CF7">
        <w:rPr>
          <w:rFonts w:ascii="Times New Roman" w:eastAsia="宋体" w:hAnsi="Times New Roman" w:cs="Times New Roman"/>
          <w:sz w:val="24"/>
          <w:szCs w:val="24"/>
        </w:rPr>
        <w:t xml:space="preserve"> </w:t>
      </w:r>
      <w:r w:rsidR="0069414F" w:rsidRPr="00566CF7">
        <w:rPr>
          <w:rFonts w:ascii="Times New Roman" w:eastAsia="宋体" w:hAnsi="Times New Roman" w:cs="Times New Roman"/>
          <w:sz w:val="24"/>
          <w:szCs w:val="24"/>
        </w:rPr>
        <w:t>第三步：确定交易价格。</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发行人与客户签署的业务合同中明确约定了发行人提供的建筑设计服务的价格，以及业务执行各阶段环节所应收取的价款。</w:t>
      </w:r>
    </w:p>
    <w:p w:rsidR="0069414F"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宋体" w:eastAsia="宋体" w:hAnsi="宋体" w:cs="宋体" w:hint="eastAsia"/>
          <w:sz w:val="24"/>
          <w:szCs w:val="24"/>
        </w:rPr>
        <w:lastRenderedPageBreak/>
        <w:t>④</w:t>
      </w:r>
      <w:r w:rsidRPr="00566CF7">
        <w:rPr>
          <w:rFonts w:ascii="Times New Roman" w:eastAsia="宋体" w:hAnsi="Times New Roman" w:cs="Times New Roman"/>
          <w:sz w:val="24"/>
          <w:szCs w:val="24"/>
        </w:rPr>
        <w:t xml:space="preserve"> </w:t>
      </w:r>
      <w:r w:rsidR="0069414F" w:rsidRPr="00566CF7">
        <w:rPr>
          <w:rFonts w:ascii="Times New Roman" w:eastAsia="宋体" w:hAnsi="Times New Roman" w:cs="Times New Roman"/>
          <w:sz w:val="24"/>
          <w:szCs w:val="24"/>
        </w:rPr>
        <w:t>第四步：分摊交易价格。合同中包含两项或多项履约义务的，企业应当在合同开始日，按照各单项履约义务所承诺商品的单独售价的相对比例，将交易价格分摊至各单项履约义务。企业不得因合同开始日之后单独售价的变动而重新分摊交易价格。</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发行人向客户提供的建筑设计服务是一项完整的单项履约义务，故不涉及交易价格的分摊。</w:t>
      </w:r>
    </w:p>
    <w:p w:rsidR="0069414F" w:rsidRPr="00566CF7" w:rsidRDefault="00770BE8"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宋体" w:eastAsia="宋体" w:hAnsi="宋体" w:cs="宋体" w:hint="eastAsia"/>
          <w:sz w:val="24"/>
          <w:szCs w:val="24"/>
        </w:rPr>
        <w:t>⑤</w:t>
      </w:r>
      <w:r w:rsidRPr="00566CF7">
        <w:rPr>
          <w:rFonts w:ascii="Times New Roman" w:eastAsia="宋体" w:hAnsi="Times New Roman" w:cs="Times New Roman"/>
          <w:sz w:val="24"/>
          <w:szCs w:val="24"/>
        </w:rPr>
        <w:t xml:space="preserve"> </w:t>
      </w:r>
      <w:r w:rsidR="0069414F" w:rsidRPr="00566CF7">
        <w:rPr>
          <w:rFonts w:ascii="Times New Roman" w:eastAsia="宋体" w:hAnsi="Times New Roman" w:cs="Times New Roman"/>
          <w:sz w:val="24"/>
          <w:szCs w:val="24"/>
        </w:rPr>
        <w:t>第五步：收入确认时点或期间。</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如前所述，发行人提供的建筑设计服务属于在某一时段内履行的履约义务。</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《企业会计准则</w:t>
      </w:r>
      <w:r w:rsidRPr="00566CF7">
        <w:rPr>
          <w:rFonts w:ascii="Times New Roman" w:eastAsia="宋体" w:hAnsi="Times New Roman" w:cs="Times New Roman"/>
          <w:sz w:val="24"/>
          <w:szCs w:val="24"/>
        </w:rPr>
        <w:t>—14</w:t>
      </w:r>
      <w:r w:rsidRPr="00566CF7">
        <w:rPr>
          <w:rFonts w:ascii="Times New Roman" w:eastAsia="宋体" w:hAnsi="Times New Roman" w:cs="Times New Roman"/>
          <w:sz w:val="24"/>
          <w:szCs w:val="24"/>
        </w:rPr>
        <w:t>号收入》第十二条规定：对于在某一时段内履行的履约义务，企业应当在该段时间内按照履约进度确认收入，但是，履约进度不能合理确定的除外。企业应当考虑商品的性质，采用产出法或投入法确定恰当的履约进度。其中，产出法是根据已转移给客户的商品对于客户的价值确定履约进度。</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发行人与客户签订的业务合同中，明确约定了各阶段环节的收款金额、比例，该等阶段环节的收款金额、比例，真实反映了各阶段性成果对于客户的价值量以及相应的履约进度，可识别、可计量，并经双方认可。</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因此，当阶段性工作量完成、向客户交付对应阶段的设计文件并经客户认可后，以应收取的合同结算款项确认收入，即按照合同付款节点约定比例作为履约进度确认收入，符合相关规定。</w:t>
      </w:r>
    </w:p>
    <w:p w:rsidR="0069414F" w:rsidRPr="00566CF7" w:rsidRDefault="0069414F"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综上所述，发行人建筑设计业务按照完工百分比法即合同付款节点约定比例确认收入，符合新收入准则的相关规定。</w:t>
      </w:r>
    </w:p>
    <w:p w:rsidR="0010153B" w:rsidRPr="00566CF7" w:rsidRDefault="0010153B"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3</w:t>
      </w:r>
      <w:r w:rsidRPr="00566CF7">
        <w:rPr>
          <w:rFonts w:ascii="Times New Roman" w:eastAsia="宋体" w:hAnsi="Times New Roman" w:cs="Times New Roman"/>
          <w:sz w:val="24"/>
          <w:szCs w:val="24"/>
        </w:rPr>
        <w:t>）</w:t>
      </w:r>
      <w:r w:rsidR="002C0F8C" w:rsidRPr="00566CF7">
        <w:rPr>
          <w:rFonts w:ascii="Times New Roman" w:eastAsia="宋体" w:hAnsi="Times New Roman" w:cs="Times New Roman"/>
          <w:sz w:val="24"/>
          <w:szCs w:val="24"/>
        </w:rPr>
        <w:t>发行人按照</w:t>
      </w:r>
      <w:r w:rsidR="002C0F8C" w:rsidRPr="00566CF7">
        <w:rPr>
          <w:rFonts w:ascii="Times New Roman" w:eastAsia="宋体" w:hAnsi="Times New Roman" w:cs="Times New Roman"/>
          <w:sz w:val="24"/>
          <w:szCs w:val="24"/>
        </w:rPr>
        <w:t>“</w:t>
      </w:r>
      <w:r w:rsidR="002C0F8C" w:rsidRPr="00566CF7">
        <w:rPr>
          <w:rFonts w:ascii="Times New Roman" w:eastAsia="宋体" w:hAnsi="Times New Roman" w:cs="Times New Roman"/>
          <w:sz w:val="24"/>
          <w:szCs w:val="24"/>
        </w:rPr>
        <w:t>时段法</w:t>
      </w:r>
      <w:r w:rsidR="002C0F8C" w:rsidRPr="00566CF7">
        <w:rPr>
          <w:rFonts w:ascii="Times New Roman" w:eastAsia="宋体" w:hAnsi="Times New Roman" w:cs="Times New Roman"/>
          <w:sz w:val="24"/>
          <w:szCs w:val="24"/>
        </w:rPr>
        <w:t>”</w:t>
      </w:r>
      <w:r w:rsidR="002C0F8C" w:rsidRPr="00566CF7">
        <w:rPr>
          <w:rFonts w:ascii="Times New Roman" w:eastAsia="宋体" w:hAnsi="Times New Roman" w:cs="Times New Roman"/>
          <w:sz w:val="24"/>
          <w:szCs w:val="24"/>
        </w:rPr>
        <w:t>确认履约</w:t>
      </w:r>
      <w:r w:rsidR="00C2763E" w:rsidRPr="00566CF7">
        <w:rPr>
          <w:rFonts w:ascii="Times New Roman" w:eastAsia="宋体" w:hAnsi="Times New Roman" w:cs="Times New Roman"/>
          <w:sz w:val="24"/>
          <w:szCs w:val="24"/>
        </w:rPr>
        <w:t>进度</w:t>
      </w:r>
      <w:r w:rsidR="002C0F8C" w:rsidRPr="00566CF7">
        <w:rPr>
          <w:rFonts w:ascii="Times New Roman" w:eastAsia="宋体" w:hAnsi="Times New Roman" w:cs="Times New Roman"/>
          <w:sz w:val="24"/>
          <w:szCs w:val="24"/>
        </w:rPr>
        <w:t>及收入，与同行业可比公司一致</w:t>
      </w:r>
    </w:p>
    <w:p w:rsidR="002C0F8C" w:rsidRPr="00566CF7" w:rsidRDefault="00793305" w:rsidP="00903E66">
      <w:pPr>
        <w:spacing w:afterLines="50" w:after="156" w:line="360" w:lineRule="auto"/>
        <w:ind w:firstLineChars="200" w:firstLine="480"/>
        <w:rPr>
          <w:rFonts w:ascii="Times New Roman" w:eastAsia="宋体" w:hAnsi="Times New Roman" w:cs="Times New Roman"/>
          <w:sz w:val="24"/>
          <w:szCs w:val="24"/>
        </w:rPr>
      </w:pPr>
      <w:r w:rsidRPr="00566CF7">
        <w:rPr>
          <w:rFonts w:ascii="Times New Roman" w:eastAsia="宋体" w:hAnsi="Times New Roman" w:cs="Times New Roman"/>
          <w:sz w:val="24"/>
          <w:szCs w:val="24"/>
        </w:rPr>
        <w:t>经查询公开披露资料，采用合同付款节点约定比例确认收入的同行业上市公司华图山鼎（原名：山鼎设计）、建科院以及同行业可比公司（在审企业）深圳奥雅设计股份有限公司、广州山水比德设计股份有限公司、上海尤安建筑设计股份有限公司、深圳市</w:t>
      </w:r>
      <w:proofErr w:type="gramStart"/>
      <w:r w:rsidRPr="00566CF7">
        <w:rPr>
          <w:rFonts w:ascii="Times New Roman" w:eastAsia="宋体" w:hAnsi="Times New Roman" w:cs="Times New Roman"/>
          <w:sz w:val="24"/>
          <w:szCs w:val="24"/>
        </w:rPr>
        <w:t>蕾奥规划</w:t>
      </w:r>
      <w:proofErr w:type="gramEnd"/>
      <w:r w:rsidRPr="00566CF7">
        <w:rPr>
          <w:rFonts w:ascii="Times New Roman" w:eastAsia="宋体" w:hAnsi="Times New Roman" w:cs="Times New Roman"/>
          <w:sz w:val="24"/>
          <w:szCs w:val="24"/>
        </w:rPr>
        <w:t>设计咨询股份有限公司等，均按照</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时段法</w:t>
      </w:r>
      <w:r w:rsidRPr="00566CF7">
        <w:rPr>
          <w:rFonts w:ascii="Times New Roman" w:eastAsia="宋体" w:hAnsi="Times New Roman" w:cs="Times New Roman"/>
          <w:sz w:val="24"/>
          <w:szCs w:val="24"/>
        </w:rPr>
        <w:t>”</w:t>
      </w:r>
      <w:r w:rsidRPr="00566CF7">
        <w:rPr>
          <w:rFonts w:ascii="Times New Roman" w:eastAsia="宋体" w:hAnsi="Times New Roman" w:cs="Times New Roman"/>
          <w:sz w:val="24"/>
          <w:szCs w:val="24"/>
        </w:rPr>
        <w:t>确认履约进度及收入，与发行人一致。</w:t>
      </w:r>
    </w:p>
    <w:p w:rsidR="0069414F" w:rsidRPr="007B0F19" w:rsidRDefault="0069414F" w:rsidP="00903E66">
      <w:pPr>
        <w:spacing w:beforeLines="50" w:before="156" w:afterLines="50" w:after="156" w:line="360" w:lineRule="auto"/>
        <w:ind w:firstLine="482"/>
        <w:outlineLvl w:val="1"/>
        <w:rPr>
          <w:rFonts w:ascii="宋体" w:eastAsia="宋体" w:hAnsi="宋体" w:cs="Times New Roman"/>
          <w:b/>
          <w:bCs/>
          <w:sz w:val="24"/>
          <w:szCs w:val="24"/>
        </w:rPr>
      </w:pPr>
      <w:r w:rsidRPr="007B0F19">
        <w:rPr>
          <w:rFonts w:ascii="宋体" w:eastAsia="宋体" w:hAnsi="宋体" w:cs="Times New Roman" w:hint="eastAsia"/>
          <w:b/>
          <w:bCs/>
          <w:sz w:val="24"/>
          <w:szCs w:val="24"/>
        </w:rPr>
        <w:lastRenderedPageBreak/>
        <w:t>【中介机构核查意见】</w:t>
      </w:r>
    </w:p>
    <w:p w:rsidR="0069414F" w:rsidRPr="007B0F19" w:rsidRDefault="0069414F" w:rsidP="00903E66">
      <w:pPr>
        <w:spacing w:beforeLines="50" w:before="156" w:afterLines="50" w:after="156" w:line="360" w:lineRule="auto"/>
        <w:ind w:firstLine="482"/>
        <w:jc w:val="left"/>
        <w:outlineLvl w:val="2"/>
        <w:rPr>
          <w:rFonts w:ascii="宋体" w:eastAsia="Times New Roman" w:hAnsi="宋体" w:cs="Times New Roman"/>
          <w:b/>
          <w:color w:val="000000"/>
          <w:kern w:val="0"/>
          <w:sz w:val="24"/>
          <w:szCs w:val="24"/>
          <w:lang w:bidi="en-US"/>
        </w:rPr>
      </w:pPr>
      <w:r w:rsidRPr="007B0F19">
        <w:rPr>
          <w:rFonts w:ascii="宋体" w:eastAsia="Times New Roman" w:hAnsi="宋体" w:cs="Times New Roman"/>
          <w:b/>
          <w:color w:val="000000"/>
          <w:kern w:val="0"/>
          <w:sz w:val="24"/>
          <w:szCs w:val="24"/>
          <w:lang w:bidi="en-US"/>
        </w:rPr>
        <w:t>（</w:t>
      </w:r>
      <w:proofErr w:type="spellStart"/>
      <w:r w:rsidRPr="007B0F19">
        <w:rPr>
          <w:rFonts w:ascii="宋体" w:eastAsia="Times New Roman" w:hAnsi="宋体" w:cs="Times New Roman"/>
          <w:b/>
          <w:color w:val="000000"/>
          <w:kern w:val="0"/>
          <w:sz w:val="24"/>
          <w:szCs w:val="24"/>
          <w:lang w:bidi="en-US"/>
        </w:rPr>
        <w:t>一）核查过程</w:t>
      </w:r>
      <w:proofErr w:type="spellEnd"/>
    </w:p>
    <w:p w:rsidR="0069414F" w:rsidRPr="009A049F" w:rsidRDefault="0069414F" w:rsidP="00903E66">
      <w:pPr>
        <w:spacing w:beforeLines="50" w:before="156" w:afterLines="50" w:after="156" w:line="360" w:lineRule="auto"/>
        <w:ind w:firstLineChars="200" w:firstLine="480"/>
        <w:rPr>
          <w:rFonts w:ascii="宋体" w:eastAsia="宋体" w:hAnsi="宋体" w:cs="Times New Roman"/>
          <w:kern w:val="0"/>
          <w:sz w:val="24"/>
          <w:szCs w:val="24"/>
          <w:lang w:val="zh-TW"/>
        </w:rPr>
      </w:pPr>
      <w:r w:rsidRPr="009D0CAD">
        <w:rPr>
          <w:rFonts w:ascii="宋体" w:eastAsia="宋体" w:hAnsi="宋体" w:cs="Times New Roman"/>
          <w:kern w:val="0"/>
          <w:sz w:val="24"/>
          <w:szCs w:val="24"/>
          <w:lang w:val="zh-TW"/>
        </w:rPr>
        <w:t>保荐机构、</w:t>
      </w:r>
      <w:r w:rsidRPr="009D0CAD">
        <w:rPr>
          <w:rFonts w:ascii="宋体" w:eastAsia="宋体" w:hAnsi="宋体" w:cs="Times New Roman" w:hint="eastAsia"/>
          <w:kern w:val="0"/>
          <w:sz w:val="24"/>
          <w:szCs w:val="24"/>
          <w:lang w:val="zh-TW" w:eastAsia="zh-TW"/>
        </w:rPr>
        <w:t>申报会计师</w:t>
      </w:r>
      <w:r w:rsidRPr="009D0CAD">
        <w:rPr>
          <w:rFonts w:ascii="宋体" w:eastAsia="宋体" w:hAnsi="宋体" w:cs="Times New Roman" w:hint="eastAsia"/>
          <w:kern w:val="0"/>
          <w:sz w:val="24"/>
          <w:szCs w:val="24"/>
          <w:lang w:val="zh-TW"/>
        </w:rPr>
        <w:t>执行了如下核查程序：</w:t>
      </w:r>
    </w:p>
    <w:p w:rsidR="0069414F" w:rsidRPr="009A049F" w:rsidRDefault="0069414F" w:rsidP="00903E66">
      <w:pPr>
        <w:widowControl/>
        <w:spacing w:beforeLines="50" w:before="156" w:afterLines="50" w:after="156" w:line="360" w:lineRule="auto"/>
        <w:ind w:firstLineChars="200" w:firstLine="480"/>
        <w:rPr>
          <w:rFonts w:ascii="Times New Roman" w:eastAsia="宋体" w:hAnsi="Times New Roman" w:cs="宋体"/>
          <w:kern w:val="0"/>
          <w:sz w:val="24"/>
          <w:szCs w:val="24"/>
        </w:rPr>
      </w:pPr>
      <w:r>
        <w:rPr>
          <w:rFonts w:ascii="Times New Roman" w:eastAsia="宋体" w:hAnsi="Times New Roman" w:cs="宋体" w:hint="eastAsia"/>
          <w:kern w:val="0"/>
          <w:sz w:val="24"/>
          <w:szCs w:val="24"/>
        </w:rPr>
        <w:t>查阅了新收入准则，</w:t>
      </w:r>
      <w:r w:rsidRPr="00BB7CED">
        <w:rPr>
          <w:rFonts w:ascii="Times New Roman" w:eastAsia="宋体" w:hAnsi="Times New Roman" w:cs="宋体" w:hint="eastAsia"/>
          <w:kern w:val="0"/>
          <w:sz w:val="24"/>
          <w:szCs w:val="24"/>
        </w:rPr>
        <w:t>结合新收入准则规定的按时段确认收入的三个条件，</w:t>
      </w:r>
      <w:r>
        <w:rPr>
          <w:rFonts w:ascii="Times New Roman" w:eastAsia="宋体" w:hAnsi="Times New Roman" w:cs="宋体" w:hint="eastAsia"/>
          <w:kern w:val="0"/>
          <w:sz w:val="24"/>
          <w:szCs w:val="24"/>
        </w:rPr>
        <w:t>进一步分析</w:t>
      </w:r>
      <w:r w:rsidRPr="00BB7CED">
        <w:rPr>
          <w:rFonts w:ascii="Times New Roman" w:eastAsia="宋体" w:hAnsi="Times New Roman" w:cs="宋体" w:hint="eastAsia"/>
          <w:kern w:val="0"/>
          <w:sz w:val="24"/>
          <w:szCs w:val="24"/>
        </w:rPr>
        <w:t>论证发行人建筑设计业务按照完工百分比法即合同付款节点约定比例确认收入是否符合相关规定。</w:t>
      </w:r>
    </w:p>
    <w:p w:rsidR="0069414F" w:rsidRPr="00F83C3A" w:rsidRDefault="0069414F" w:rsidP="00903E66">
      <w:pPr>
        <w:spacing w:beforeLines="50" w:before="156" w:afterLines="50" w:after="156" w:line="360" w:lineRule="auto"/>
        <w:ind w:firstLine="482"/>
        <w:outlineLvl w:val="2"/>
        <w:rPr>
          <w:rFonts w:ascii="宋体" w:eastAsia="Times New Roman" w:hAnsi="宋体" w:cs="Times New Roman"/>
          <w:b/>
          <w:color w:val="000000"/>
          <w:kern w:val="0"/>
          <w:sz w:val="24"/>
          <w:szCs w:val="24"/>
          <w:lang w:bidi="en-US"/>
        </w:rPr>
      </w:pPr>
      <w:r w:rsidRPr="007B0F19">
        <w:rPr>
          <w:rFonts w:ascii="宋体" w:eastAsia="Times New Roman" w:hAnsi="宋体" w:cs="Times New Roman"/>
          <w:b/>
          <w:color w:val="000000"/>
          <w:kern w:val="0"/>
          <w:sz w:val="24"/>
          <w:szCs w:val="24"/>
          <w:lang w:bidi="en-US"/>
        </w:rPr>
        <w:t>（</w:t>
      </w:r>
      <w:proofErr w:type="spellStart"/>
      <w:r w:rsidRPr="007B0F19">
        <w:rPr>
          <w:rFonts w:ascii="宋体" w:eastAsia="Times New Roman" w:hAnsi="宋体" w:cs="Times New Roman" w:hint="eastAsia"/>
          <w:b/>
          <w:color w:val="000000"/>
          <w:kern w:val="0"/>
          <w:sz w:val="24"/>
          <w:szCs w:val="24"/>
          <w:lang w:bidi="en-US"/>
        </w:rPr>
        <w:t>二</w:t>
      </w:r>
      <w:r w:rsidRPr="007B0F19">
        <w:rPr>
          <w:rFonts w:ascii="宋体" w:eastAsia="Times New Roman" w:hAnsi="宋体" w:cs="Times New Roman"/>
          <w:b/>
          <w:color w:val="000000"/>
          <w:kern w:val="0"/>
          <w:sz w:val="24"/>
          <w:szCs w:val="24"/>
          <w:lang w:bidi="en-US"/>
        </w:rPr>
        <w:t>）核查</w:t>
      </w:r>
      <w:r w:rsidRPr="007B0F19">
        <w:rPr>
          <w:rFonts w:ascii="宋体" w:eastAsia="Times New Roman" w:hAnsi="宋体" w:cs="Times New Roman" w:hint="eastAsia"/>
          <w:b/>
          <w:color w:val="000000"/>
          <w:kern w:val="0"/>
          <w:sz w:val="24"/>
          <w:szCs w:val="24"/>
          <w:lang w:bidi="en-US"/>
        </w:rPr>
        <w:t>意见</w:t>
      </w:r>
      <w:proofErr w:type="spellEnd"/>
    </w:p>
    <w:p w:rsidR="0069414F" w:rsidRPr="009A049F" w:rsidRDefault="0069414F" w:rsidP="00903E66">
      <w:pPr>
        <w:spacing w:beforeLines="50" w:before="156" w:afterLines="50" w:after="156" w:line="360" w:lineRule="auto"/>
        <w:ind w:firstLineChars="200" w:firstLine="480"/>
        <w:rPr>
          <w:rFonts w:ascii="宋体" w:eastAsia="宋体" w:hAnsi="宋体" w:cs="Times New Roman"/>
          <w:sz w:val="24"/>
          <w:szCs w:val="24"/>
        </w:rPr>
      </w:pPr>
      <w:r w:rsidRPr="009D0CAD">
        <w:rPr>
          <w:rFonts w:ascii="Times New Roman" w:eastAsia="宋体" w:hAnsi="Times New Roman" w:cs="Times New Roman"/>
          <w:kern w:val="0"/>
          <w:sz w:val="24"/>
          <w:szCs w:val="24"/>
          <w:lang w:val="zh-TW"/>
        </w:rPr>
        <w:t>保荐机构、</w:t>
      </w:r>
      <w:r w:rsidRPr="009D0CAD">
        <w:rPr>
          <w:rFonts w:ascii="Times New Roman" w:eastAsia="宋体" w:hAnsi="Times New Roman" w:cs="Times New Roman" w:hint="eastAsia"/>
          <w:kern w:val="0"/>
          <w:sz w:val="24"/>
          <w:szCs w:val="24"/>
          <w:lang w:val="zh-TW"/>
        </w:rPr>
        <w:t>申报会计师</w:t>
      </w:r>
      <w:r w:rsidRPr="009D0CAD">
        <w:rPr>
          <w:rFonts w:ascii="宋体" w:eastAsia="宋体" w:hAnsi="宋体" w:cs="Times New Roman" w:hint="eastAsia"/>
          <w:sz w:val="24"/>
          <w:szCs w:val="24"/>
        </w:rPr>
        <w:t>核查意见如下</w:t>
      </w:r>
      <w:r w:rsidRPr="009D0CAD">
        <w:rPr>
          <w:rFonts w:ascii="宋体" w:eastAsia="宋体" w:hAnsi="宋体" w:cs="Times New Roman"/>
          <w:sz w:val="24"/>
          <w:szCs w:val="24"/>
        </w:rPr>
        <w:t>：</w:t>
      </w:r>
    </w:p>
    <w:p w:rsidR="0069414F" w:rsidRDefault="0069414F" w:rsidP="00903E66">
      <w:pPr>
        <w:widowControl/>
        <w:spacing w:beforeLines="50" w:before="156" w:afterLines="50" w:after="156" w:line="360" w:lineRule="auto"/>
        <w:ind w:firstLineChars="200" w:firstLine="480"/>
        <w:rPr>
          <w:rFonts w:ascii="Times New Roman" w:eastAsia="宋体" w:hAnsi="Times New Roman" w:cs="宋体"/>
          <w:kern w:val="0"/>
          <w:sz w:val="24"/>
          <w:szCs w:val="24"/>
        </w:rPr>
      </w:pPr>
      <w:r w:rsidRPr="00BB7CED">
        <w:rPr>
          <w:rFonts w:ascii="Times New Roman" w:eastAsia="宋体" w:hAnsi="Times New Roman" w:cs="宋体" w:hint="eastAsia"/>
          <w:kern w:val="0"/>
          <w:sz w:val="24"/>
          <w:szCs w:val="24"/>
        </w:rPr>
        <w:t>发行人建筑设计业务按照完工百分比法即合同付款节点约定比例确认收入符合</w:t>
      </w:r>
      <w:r>
        <w:rPr>
          <w:rFonts w:ascii="Times New Roman" w:eastAsia="宋体" w:hAnsi="Times New Roman" w:cs="宋体" w:hint="eastAsia"/>
          <w:kern w:val="0"/>
          <w:sz w:val="24"/>
          <w:szCs w:val="24"/>
        </w:rPr>
        <w:t>新收入准则的</w:t>
      </w:r>
      <w:r w:rsidRPr="00BB7CED">
        <w:rPr>
          <w:rFonts w:ascii="Times New Roman" w:eastAsia="宋体" w:hAnsi="Times New Roman" w:cs="宋体" w:hint="eastAsia"/>
          <w:kern w:val="0"/>
          <w:sz w:val="24"/>
          <w:szCs w:val="24"/>
        </w:rPr>
        <w:t>相关规定</w:t>
      </w:r>
      <w:r>
        <w:rPr>
          <w:rFonts w:ascii="Times New Roman" w:eastAsia="宋体" w:hAnsi="Times New Roman" w:cs="宋体" w:hint="eastAsia"/>
          <w:kern w:val="0"/>
          <w:sz w:val="24"/>
          <w:szCs w:val="24"/>
        </w:rPr>
        <w:t>。</w:t>
      </w:r>
    </w:p>
    <w:p w:rsidR="0069414F" w:rsidRDefault="0069414F" w:rsidP="00903E66">
      <w:pPr>
        <w:widowControl/>
        <w:spacing w:beforeLines="50" w:before="156" w:afterLines="50" w:after="156" w:line="360" w:lineRule="auto"/>
        <w:ind w:firstLineChars="200" w:firstLine="480"/>
        <w:rPr>
          <w:rFonts w:ascii="Times New Roman" w:eastAsia="宋体" w:hAnsi="Times New Roman" w:cs="宋体"/>
          <w:kern w:val="0"/>
          <w:sz w:val="24"/>
          <w:szCs w:val="24"/>
        </w:rPr>
      </w:pPr>
    </w:p>
    <w:p w:rsidR="002C4D3B" w:rsidRPr="009C0832" w:rsidRDefault="002C4D3B" w:rsidP="00903E66">
      <w:pPr>
        <w:spacing w:beforeLines="50" w:before="156" w:afterLines="50" w:after="156" w:line="360" w:lineRule="auto"/>
        <w:ind w:firstLineChars="200" w:firstLine="482"/>
        <w:outlineLvl w:val="0"/>
        <w:rPr>
          <w:rFonts w:ascii="Times New Roman" w:eastAsia="宋体" w:hAnsi="Times New Roman" w:cs="Times New Roman"/>
          <w:b/>
          <w:bCs/>
          <w:sz w:val="24"/>
          <w:szCs w:val="20"/>
        </w:rPr>
      </w:pPr>
      <w:bookmarkStart w:id="3" w:name="_Toc58669585"/>
      <w:r w:rsidRPr="009C0832">
        <w:rPr>
          <w:rFonts w:ascii="Times New Roman" w:eastAsia="宋体" w:hAnsi="Times New Roman" w:cs="Times New Roman" w:hint="eastAsia"/>
          <w:b/>
          <w:bCs/>
          <w:sz w:val="24"/>
          <w:szCs w:val="20"/>
        </w:rPr>
        <w:t>问题</w:t>
      </w:r>
      <w:r w:rsidRPr="009C0832">
        <w:rPr>
          <w:rFonts w:ascii="Times New Roman" w:eastAsia="宋体" w:hAnsi="Times New Roman" w:cs="Times New Roman" w:hint="eastAsia"/>
          <w:b/>
          <w:bCs/>
          <w:sz w:val="24"/>
          <w:szCs w:val="20"/>
        </w:rPr>
        <w:t>3</w:t>
      </w:r>
      <w:bookmarkEnd w:id="3"/>
    </w:p>
    <w:p w:rsidR="0040739F" w:rsidRPr="0040739F" w:rsidRDefault="002C4D3B" w:rsidP="00E449CC">
      <w:pPr>
        <w:pStyle w:val="a7"/>
        <w:spacing w:before="156" w:after="156"/>
        <w:rPr>
          <w:rFonts w:ascii="Times New Roman" w:eastAsia="宋体" w:hAnsi="Times New Roman"/>
          <w:szCs w:val="20"/>
        </w:rPr>
      </w:pPr>
      <w:r w:rsidRPr="009C0832">
        <w:rPr>
          <w:rFonts w:ascii="Times New Roman" w:eastAsia="宋体" w:hAnsi="Times New Roman" w:hint="eastAsia"/>
          <w:szCs w:val="20"/>
        </w:rPr>
        <w:t>3.</w:t>
      </w:r>
      <w:r w:rsidR="001438EB" w:rsidRPr="001438EB">
        <w:t xml:space="preserve"> </w:t>
      </w:r>
      <w:r w:rsidR="0040739F" w:rsidRPr="0040739F">
        <w:rPr>
          <w:rFonts w:ascii="Times New Roman" w:eastAsia="宋体" w:hAnsi="Times New Roman"/>
          <w:szCs w:val="20"/>
        </w:rPr>
        <w:t>根据申报材料及审核问询回复，报告期内，发行人对保利的收入占比分别为</w:t>
      </w:r>
      <w:r w:rsidR="0040739F" w:rsidRPr="0040739F">
        <w:rPr>
          <w:rFonts w:ascii="Times New Roman" w:eastAsia="宋体" w:hAnsi="Times New Roman"/>
          <w:szCs w:val="20"/>
        </w:rPr>
        <w:t>44.97%</w:t>
      </w:r>
      <w:r w:rsidR="0040739F" w:rsidRPr="0040739F">
        <w:rPr>
          <w:rFonts w:ascii="Times New Roman" w:eastAsia="宋体" w:hAnsi="Times New Roman"/>
          <w:szCs w:val="20"/>
        </w:rPr>
        <w:t>、</w:t>
      </w:r>
      <w:r w:rsidR="0040739F" w:rsidRPr="0040739F">
        <w:rPr>
          <w:rFonts w:ascii="Times New Roman" w:eastAsia="宋体" w:hAnsi="Times New Roman"/>
          <w:szCs w:val="20"/>
        </w:rPr>
        <w:t>42.20%</w:t>
      </w:r>
      <w:r w:rsidR="0040739F" w:rsidRPr="0040739F">
        <w:rPr>
          <w:rFonts w:ascii="Times New Roman" w:eastAsia="宋体" w:hAnsi="Times New Roman"/>
          <w:szCs w:val="20"/>
        </w:rPr>
        <w:t>、</w:t>
      </w:r>
      <w:r w:rsidR="0040739F" w:rsidRPr="0040739F">
        <w:rPr>
          <w:rFonts w:ascii="Times New Roman" w:eastAsia="宋体" w:hAnsi="Times New Roman"/>
          <w:szCs w:val="20"/>
        </w:rPr>
        <w:t>46.01%</w:t>
      </w:r>
      <w:r w:rsidR="0040739F" w:rsidRPr="0040739F">
        <w:rPr>
          <w:rFonts w:ascii="Times New Roman" w:eastAsia="宋体" w:hAnsi="Times New Roman"/>
          <w:szCs w:val="20"/>
        </w:rPr>
        <w:t>和</w:t>
      </w:r>
      <w:r w:rsidR="0040739F" w:rsidRPr="0040739F">
        <w:rPr>
          <w:rFonts w:ascii="Times New Roman" w:eastAsia="宋体" w:hAnsi="Times New Roman"/>
          <w:szCs w:val="20"/>
        </w:rPr>
        <w:t>56.03%</w:t>
      </w:r>
      <w:r w:rsidR="0040739F" w:rsidRPr="0040739F">
        <w:rPr>
          <w:rFonts w:ascii="Times New Roman" w:eastAsia="宋体" w:hAnsi="Times New Roman"/>
          <w:szCs w:val="20"/>
        </w:rPr>
        <w:t>，占比较高；除保利外，发行人前五大客户变动较大。请发行人：（</w:t>
      </w:r>
      <w:r w:rsidR="0040739F" w:rsidRPr="0040739F">
        <w:rPr>
          <w:rFonts w:ascii="Times New Roman" w:eastAsia="宋体" w:hAnsi="Times New Roman"/>
          <w:szCs w:val="20"/>
        </w:rPr>
        <w:t>1</w:t>
      </w:r>
      <w:r w:rsidR="0040739F" w:rsidRPr="0040739F">
        <w:rPr>
          <w:rFonts w:ascii="Times New Roman" w:eastAsia="宋体" w:hAnsi="Times New Roman"/>
          <w:szCs w:val="20"/>
        </w:rPr>
        <w:t>）补充披露报告期内与保利合作项目涉及的区域分布情况，包括但不限于主要城市、城市的一二三四线划分结果、金额等，截至</w:t>
      </w:r>
      <w:r w:rsidR="0040739F" w:rsidRPr="0040739F">
        <w:rPr>
          <w:rFonts w:ascii="Times New Roman" w:eastAsia="宋体" w:hAnsi="Times New Roman"/>
          <w:szCs w:val="20"/>
        </w:rPr>
        <w:t>2020</w:t>
      </w:r>
      <w:r w:rsidR="0040739F" w:rsidRPr="0040739F">
        <w:rPr>
          <w:rFonts w:ascii="Times New Roman" w:eastAsia="宋体" w:hAnsi="Times New Roman"/>
          <w:szCs w:val="20"/>
        </w:rPr>
        <w:t>年</w:t>
      </w:r>
      <w:r w:rsidR="0040739F" w:rsidRPr="0040739F">
        <w:rPr>
          <w:rFonts w:ascii="Times New Roman" w:eastAsia="宋体" w:hAnsi="Times New Roman"/>
          <w:szCs w:val="20"/>
        </w:rPr>
        <w:t>6</w:t>
      </w:r>
      <w:r w:rsidR="0040739F" w:rsidRPr="0040739F">
        <w:rPr>
          <w:rFonts w:ascii="Times New Roman" w:eastAsia="宋体" w:hAnsi="Times New Roman"/>
          <w:szCs w:val="20"/>
        </w:rPr>
        <w:t>月末在手合同金额涉及的主要区域及城市；（</w:t>
      </w:r>
      <w:r w:rsidR="0040739F" w:rsidRPr="0040739F">
        <w:rPr>
          <w:rFonts w:ascii="Times New Roman" w:eastAsia="宋体" w:hAnsi="Times New Roman"/>
          <w:szCs w:val="20"/>
        </w:rPr>
        <w:t>2</w:t>
      </w:r>
      <w:r w:rsidR="0040739F" w:rsidRPr="0040739F">
        <w:rPr>
          <w:rFonts w:ascii="Times New Roman" w:eastAsia="宋体" w:hAnsi="Times New Roman"/>
          <w:szCs w:val="20"/>
        </w:rPr>
        <w:t>）结合在手订单、业务拓展计划等因素，补充披露未来对保利和其他客户的收入预计实现及占比情况，客观、充分披露发行人客户集中度较高特别是第一大客户占比高的风险，并做重大风险提示；（</w:t>
      </w:r>
      <w:r w:rsidR="0040739F" w:rsidRPr="0040739F">
        <w:rPr>
          <w:rFonts w:ascii="Times New Roman" w:eastAsia="宋体" w:hAnsi="Times New Roman"/>
          <w:szCs w:val="20"/>
        </w:rPr>
        <w:t>3</w:t>
      </w:r>
      <w:r w:rsidR="0040739F" w:rsidRPr="0040739F">
        <w:rPr>
          <w:rFonts w:ascii="Times New Roman" w:eastAsia="宋体" w:hAnsi="Times New Roman"/>
          <w:szCs w:val="20"/>
        </w:rPr>
        <w:t>）结合主要客户变动较大、客户经营情况及面临的地域限制等因素，补充披露发行人业务发展的可持续性，房地产调控政策对发行人经营业绩的影响，并做重大风险提示。</w:t>
      </w:r>
    </w:p>
    <w:p w:rsidR="0040739F" w:rsidRDefault="0040739F" w:rsidP="00E449CC">
      <w:pPr>
        <w:pStyle w:val="a7"/>
        <w:spacing w:before="156" w:after="156"/>
        <w:rPr>
          <w:rFonts w:ascii="Times New Roman" w:eastAsia="宋体" w:hAnsi="Times New Roman"/>
          <w:szCs w:val="20"/>
        </w:rPr>
      </w:pPr>
      <w:r w:rsidRPr="0040739F">
        <w:rPr>
          <w:rFonts w:ascii="Times New Roman" w:eastAsia="宋体" w:hAnsi="Times New Roman"/>
          <w:szCs w:val="20"/>
        </w:rPr>
        <w:t>请保荐人、申报会计师发表明确意见。</w:t>
      </w:r>
    </w:p>
    <w:p w:rsidR="00776F91" w:rsidRDefault="00776F91" w:rsidP="00903E66">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903E66">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776F91" w:rsidRDefault="00776F91" w:rsidP="00E449CC">
      <w:pPr>
        <w:pStyle w:val="a6"/>
        <w:spacing w:before="156" w:after="156"/>
      </w:pPr>
      <w:r>
        <w:rPr>
          <w:rFonts w:hint="eastAsia"/>
        </w:rPr>
        <w:lastRenderedPageBreak/>
        <w:t>（一）</w:t>
      </w:r>
      <w:r w:rsidR="00D63A86" w:rsidRPr="00D63A86">
        <w:t>补充披露报告期内与保利合作项目涉及的区域分布情况，包括但不限于主要城市、城市的一二三四线划分结果、金额等，截至2020年6月末在手合同金额涉及的主要区域及城市</w:t>
      </w:r>
    </w:p>
    <w:p w:rsidR="00776F91" w:rsidRDefault="00CD0EFE" w:rsidP="00776F91">
      <w:pPr>
        <w:pStyle w:val="11"/>
        <w:spacing w:before="156" w:after="156"/>
        <w:rPr>
          <w:rFonts w:cs="Times New Roman"/>
          <w:color w:val="000000"/>
          <w:lang w:bidi="en-US"/>
        </w:rPr>
      </w:pPr>
      <w:r w:rsidRPr="00F0234C">
        <w:rPr>
          <w:rFonts w:cs="Times New Roman" w:hint="eastAsia"/>
          <w:color w:val="000000"/>
          <w:lang w:bidi="en-US"/>
        </w:rPr>
        <w:t>发行人已在招股说明书“第六节</w:t>
      </w:r>
      <w:r w:rsidRPr="00F0234C">
        <w:rPr>
          <w:rFonts w:cs="Times New Roman"/>
          <w:color w:val="000000"/>
          <w:lang w:bidi="en-US"/>
        </w:rPr>
        <w:t xml:space="preserve"> </w:t>
      </w:r>
      <w:r w:rsidRPr="00F0234C">
        <w:rPr>
          <w:rFonts w:cs="Times New Roman" w:hint="eastAsia"/>
          <w:color w:val="000000"/>
          <w:lang w:bidi="en-US"/>
        </w:rPr>
        <w:t>业务与技术”之“三、发行人的销售情况和主要客户”之“（二）发行人的主要客户”补充披露如下：</w:t>
      </w:r>
    </w:p>
    <w:p w:rsidR="006A42A7" w:rsidRPr="006A42A7" w:rsidRDefault="006A42A7" w:rsidP="006A42A7">
      <w:pPr>
        <w:spacing w:beforeLines="50" w:before="156" w:afterLines="50" w:after="156"/>
        <w:ind w:firstLineChars="200" w:firstLine="480"/>
        <w:rPr>
          <w:rFonts w:ascii="Times New Roman" w:eastAsia="宋体" w:hAnsi="Times New Roman" w:cs="Times New Roman"/>
          <w:sz w:val="24"/>
          <w:szCs w:val="24"/>
        </w:rPr>
      </w:pPr>
      <w:r w:rsidRPr="006A42A7">
        <w:rPr>
          <w:rFonts w:ascii="Times New Roman" w:eastAsia="宋体" w:hAnsi="Times New Roman" w:cs="Times New Roman"/>
          <w:sz w:val="24"/>
          <w:szCs w:val="24"/>
        </w:rPr>
        <w:t>报告期内，公司与保利合作项目涉及的区域分布情况如下表所示：</w:t>
      </w:r>
    </w:p>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单位：万元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ayout w:type="fixed"/>
        <w:tblLook w:val="0000" w:firstRow="0" w:lastRow="0" w:firstColumn="0" w:lastColumn="0" w:noHBand="0" w:noVBand="0"/>
      </w:tblPr>
      <w:tblGrid>
        <w:gridCol w:w="1617"/>
        <w:gridCol w:w="1326"/>
        <w:gridCol w:w="1119"/>
        <w:gridCol w:w="1114"/>
        <w:gridCol w:w="1114"/>
        <w:gridCol w:w="1114"/>
        <w:gridCol w:w="1112"/>
      </w:tblGrid>
      <w:tr w:rsidR="006A42A7" w:rsidRPr="006A42A7" w:rsidTr="00FF5C8F">
        <w:trPr>
          <w:trHeight w:val="397"/>
          <w:jc w:val="center"/>
        </w:trPr>
        <w:tc>
          <w:tcPr>
            <w:tcW w:w="949" w:type="pct"/>
            <w:vMerge w:val="restart"/>
            <w:vAlign w:val="center"/>
          </w:tcPr>
          <w:p w:rsidR="006A42A7" w:rsidRPr="006A42A7" w:rsidRDefault="006A42A7" w:rsidP="006A42A7">
            <w:pPr>
              <w:spacing w:beforeLines="50" w:before="156" w:afterLines="50" w:after="156" w:line="360" w:lineRule="auto"/>
              <w:jc w:val="center"/>
              <w:rPr>
                <w:rFonts w:ascii="Times New Roman" w:eastAsia="宋体" w:hAnsi="Times New Roman" w:cs="Times New Roman"/>
                <w:b/>
                <w:bCs/>
                <w:iCs/>
                <w:szCs w:val="21"/>
              </w:rPr>
            </w:pPr>
            <w:r w:rsidRPr="006A42A7">
              <w:rPr>
                <w:rFonts w:ascii="Times New Roman" w:eastAsia="宋体" w:hAnsi="Times New Roman" w:cs="Times New Roman"/>
                <w:b/>
                <w:bCs/>
                <w:szCs w:val="21"/>
              </w:rPr>
              <w:t>区域</w:t>
            </w:r>
          </w:p>
        </w:tc>
        <w:tc>
          <w:tcPr>
            <w:tcW w:w="1435" w:type="pct"/>
            <w:gridSpan w:val="2"/>
            <w:vAlign w:val="center"/>
          </w:tcPr>
          <w:p w:rsidR="006A42A7" w:rsidRPr="006A42A7" w:rsidRDefault="006A42A7" w:rsidP="006A42A7">
            <w:pPr>
              <w:jc w:val="center"/>
              <w:rPr>
                <w:rFonts w:ascii="楷体" w:eastAsia="楷体" w:hAnsi="楷体" w:cs="Times New Roman"/>
                <w:b/>
                <w:color w:val="000000"/>
                <w:kern w:val="0"/>
                <w:szCs w:val="21"/>
                <w:lang w:bidi="en-US"/>
              </w:rPr>
            </w:pPr>
            <w:r w:rsidRPr="006A42A7">
              <w:rPr>
                <w:rFonts w:ascii="楷体" w:eastAsia="楷体" w:hAnsi="楷体" w:cs="Times New Roman"/>
                <w:b/>
                <w:color w:val="000000"/>
                <w:kern w:val="0"/>
                <w:szCs w:val="21"/>
                <w:lang w:bidi="en-US"/>
              </w:rPr>
              <w:t>2020年</w:t>
            </w:r>
            <w:r w:rsidRPr="006A42A7">
              <w:rPr>
                <w:rFonts w:ascii="楷体" w:eastAsia="楷体" w:hAnsi="楷体" w:cs="Times New Roman" w:hint="eastAsia"/>
                <w:b/>
                <w:color w:val="000000"/>
                <w:kern w:val="0"/>
                <w:szCs w:val="21"/>
                <w:lang w:bidi="en-US"/>
              </w:rPr>
              <w:t>度</w:t>
            </w:r>
          </w:p>
        </w:tc>
        <w:tc>
          <w:tcPr>
            <w:tcW w:w="1308" w:type="pct"/>
            <w:gridSpan w:val="2"/>
            <w:vAlign w:val="center"/>
          </w:tcPr>
          <w:p w:rsidR="006A42A7" w:rsidRPr="006A42A7" w:rsidRDefault="006A42A7" w:rsidP="006A42A7">
            <w:pPr>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2019</w:t>
            </w:r>
            <w:r w:rsidRPr="006A42A7">
              <w:rPr>
                <w:rFonts w:ascii="Times New Roman" w:eastAsia="宋体" w:hAnsi="Times New Roman" w:cs="Times New Roman"/>
                <w:b/>
                <w:bCs/>
                <w:iCs/>
                <w:szCs w:val="21"/>
              </w:rPr>
              <w:t>年度</w:t>
            </w:r>
          </w:p>
        </w:tc>
        <w:tc>
          <w:tcPr>
            <w:tcW w:w="1307" w:type="pct"/>
            <w:gridSpan w:val="2"/>
            <w:vAlign w:val="center"/>
          </w:tcPr>
          <w:p w:rsidR="006A42A7" w:rsidRPr="006A42A7" w:rsidRDefault="006A42A7" w:rsidP="006A42A7">
            <w:pPr>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2018</w:t>
            </w:r>
            <w:r w:rsidRPr="006A42A7">
              <w:rPr>
                <w:rFonts w:ascii="Times New Roman" w:eastAsia="宋体" w:hAnsi="Times New Roman" w:cs="Times New Roman"/>
                <w:b/>
                <w:bCs/>
                <w:iCs/>
                <w:szCs w:val="21"/>
              </w:rPr>
              <w:t>年度</w:t>
            </w:r>
          </w:p>
        </w:tc>
      </w:tr>
      <w:tr w:rsidR="006A42A7" w:rsidRPr="006A42A7" w:rsidTr="00FF5C8F">
        <w:trPr>
          <w:trHeight w:val="397"/>
          <w:jc w:val="center"/>
        </w:trPr>
        <w:tc>
          <w:tcPr>
            <w:tcW w:w="949" w:type="pct"/>
            <w:vMerge/>
            <w:vAlign w:val="center"/>
          </w:tcPr>
          <w:p w:rsidR="006A42A7" w:rsidRPr="006A42A7" w:rsidRDefault="006A42A7" w:rsidP="006A42A7">
            <w:pPr>
              <w:spacing w:beforeLines="50" w:before="156" w:afterLines="50" w:after="156" w:line="360" w:lineRule="auto"/>
              <w:jc w:val="center"/>
              <w:rPr>
                <w:rFonts w:ascii="Times New Roman" w:eastAsia="宋体" w:hAnsi="Times New Roman" w:cs="Times New Roman"/>
                <w:b/>
                <w:bCs/>
                <w:iCs/>
                <w:szCs w:val="21"/>
              </w:rPr>
            </w:pPr>
          </w:p>
        </w:tc>
        <w:tc>
          <w:tcPr>
            <w:tcW w:w="778" w:type="pct"/>
            <w:vAlign w:val="center"/>
          </w:tcPr>
          <w:p w:rsidR="006A42A7" w:rsidRPr="006A42A7" w:rsidRDefault="006A42A7" w:rsidP="006A42A7">
            <w:pPr>
              <w:widowControl/>
              <w:jc w:val="center"/>
              <w:rPr>
                <w:rFonts w:ascii="楷体" w:eastAsia="楷体" w:hAnsi="楷体" w:cs="Times New Roman"/>
                <w:b/>
                <w:color w:val="000000"/>
                <w:kern w:val="0"/>
                <w:szCs w:val="21"/>
                <w:lang w:bidi="en-US"/>
              </w:rPr>
            </w:pPr>
            <w:r w:rsidRPr="006A42A7">
              <w:rPr>
                <w:rFonts w:ascii="楷体" w:eastAsia="楷体" w:hAnsi="楷体" w:cs="Times New Roman"/>
                <w:b/>
                <w:color w:val="000000"/>
                <w:kern w:val="0"/>
                <w:szCs w:val="21"/>
                <w:lang w:bidi="en-US"/>
              </w:rPr>
              <w:t>金额</w:t>
            </w:r>
          </w:p>
        </w:tc>
        <w:tc>
          <w:tcPr>
            <w:tcW w:w="655" w:type="pct"/>
            <w:vAlign w:val="center"/>
          </w:tcPr>
          <w:p w:rsidR="006A42A7" w:rsidRPr="006A42A7" w:rsidRDefault="006A42A7" w:rsidP="006A42A7">
            <w:pPr>
              <w:widowControl/>
              <w:jc w:val="center"/>
              <w:rPr>
                <w:rFonts w:ascii="楷体" w:eastAsia="楷体" w:hAnsi="楷体" w:cs="Times New Roman"/>
                <w:b/>
                <w:color w:val="000000"/>
                <w:kern w:val="0"/>
                <w:szCs w:val="21"/>
                <w:lang w:bidi="en-US"/>
              </w:rPr>
            </w:pPr>
            <w:r w:rsidRPr="006A42A7">
              <w:rPr>
                <w:rFonts w:ascii="楷体" w:eastAsia="楷体" w:hAnsi="楷体" w:cs="Times New Roman"/>
                <w:b/>
                <w:color w:val="000000"/>
                <w:kern w:val="0"/>
                <w:szCs w:val="21"/>
                <w:lang w:bidi="en-US"/>
              </w:rPr>
              <w:t>占比</w:t>
            </w:r>
          </w:p>
        </w:tc>
        <w:tc>
          <w:tcPr>
            <w:tcW w:w="654"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金额</w:t>
            </w:r>
          </w:p>
        </w:tc>
        <w:tc>
          <w:tcPr>
            <w:tcW w:w="654"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占比</w:t>
            </w:r>
          </w:p>
        </w:tc>
        <w:tc>
          <w:tcPr>
            <w:tcW w:w="654"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金额</w:t>
            </w:r>
          </w:p>
        </w:tc>
        <w:tc>
          <w:tcPr>
            <w:tcW w:w="653"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占比</w:t>
            </w:r>
          </w:p>
        </w:tc>
      </w:tr>
      <w:tr w:rsidR="006A42A7" w:rsidRPr="006A42A7" w:rsidTr="00FF5C8F">
        <w:trPr>
          <w:trHeight w:val="397"/>
          <w:jc w:val="center"/>
        </w:trPr>
        <w:tc>
          <w:tcPr>
            <w:tcW w:w="949"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华东</w:t>
            </w:r>
          </w:p>
        </w:tc>
        <w:tc>
          <w:tcPr>
            <w:tcW w:w="778"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5,928.27</w:t>
            </w:r>
          </w:p>
        </w:tc>
        <w:tc>
          <w:tcPr>
            <w:tcW w:w="655"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35.87%</w:t>
            </w:r>
          </w:p>
        </w:tc>
        <w:tc>
          <w:tcPr>
            <w:tcW w:w="654"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2,962.71</w:t>
            </w:r>
          </w:p>
        </w:tc>
        <w:tc>
          <w:tcPr>
            <w:tcW w:w="654"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24.15%</w:t>
            </w:r>
          </w:p>
        </w:tc>
        <w:tc>
          <w:tcPr>
            <w:tcW w:w="654"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2,926.47</w:t>
            </w:r>
          </w:p>
        </w:tc>
        <w:tc>
          <w:tcPr>
            <w:tcW w:w="653"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28.72%</w:t>
            </w:r>
          </w:p>
        </w:tc>
      </w:tr>
      <w:tr w:rsidR="006A42A7" w:rsidRPr="006A42A7" w:rsidTr="00FF5C8F">
        <w:trPr>
          <w:trHeight w:val="397"/>
          <w:jc w:val="center"/>
        </w:trPr>
        <w:tc>
          <w:tcPr>
            <w:tcW w:w="949"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华南</w:t>
            </w:r>
          </w:p>
        </w:tc>
        <w:tc>
          <w:tcPr>
            <w:tcW w:w="778"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2,895.41</w:t>
            </w:r>
          </w:p>
        </w:tc>
        <w:tc>
          <w:tcPr>
            <w:tcW w:w="655"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17.52%</w:t>
            </w:r>
          </w:p>
        </w:tc>
        <w:tc>
          <w:tcPr>
            <w:tcW w:w="654"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3,644.69</w:t>
            </w:r>
          </w:p>
        </w:tc>
        <w:tc>
          <w:tcPr>
            <w:tcW w:w="654"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29.71%</w:t>
            </w:r>
          </w:p>
        </w:tc>
        <w:tc>
          <w:tcPr>
            <w:tcW w:w="654"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4,392.39</w:t>
            </w:r>
          </w:p>
        </w:tc>
        <w:tc>
          <w:tcPr>
            <w:tcW w:w="653"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43.11%</w:t>
            </w:r>
          </w:p>
        </w:tc>
      </w:tr>
      <w:tr w:rsidR="006A42A7" w:rsidRPr="006A42A7" w:rsidTr="00FF5C8F">
        <w:trPr>
          <w:trHeight w:val="397"/>
          <w:jc w:val="center"/>
        </w:trPr>
        <w:tc>
          <w:tcPr>
            <w:tcW w:w="949"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东北</w:t>
            </w:r>
          </w:p>
        </w:tc>
        <w:tc>
          <w:tcPr>
            <w:tcW w:w="778"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2,342.90</w:t>
            </w:r>
          </w:p>
        </w:tc>
        <w:tc>
          <w:tcPr>
            <w:tcW w:w="655"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14.17%</w:t>
            </w:r>
          </w:p>
        </w:tc>
        <w:tc>
          <w:tcPr>
            <w:tcW w:w="654"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1,890.18</w:t>
            </w:r>
          </w:p>
        </w:tc>
        <w:tc>
          <w:tcPr>
            <w:tcW w:w="654"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15.41%</w:t>
            </w:r>
          </w:p>
        </w:tc>
        <w:tc>
          <w:tcPr>
            <w:tcW w:w="654"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872.01</w:t>
            </w:r>
          </w:p>
        </w:tc>
        <w:tc>
          <w:tcPr>
            <w:tcW w:w="653"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8.56%</w:t>
            </w:r>
          </w:p>
        </w:tc>
      </w:tr>
      <w:tr w:rsidR="006A42A7" w:rsidRPr="006A42A7" w:rsidTr="00FF5C8F">
        <w:trPr>
          <w:trHeight w:val="397"/>
          <w:jc w:val="center"/>
        </w:trPr>
        <w:tc>
          <w:tcPr>
            <w:tcW w:w="949"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华北</w:t>
            </w:r>
          </w:p>
        </w:tc>
        <w:tc>
          <w:tcPr>
            <w:tcW w:w="778"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1,926.42</w:t>
            </w:r>
          </w:p>
        </w:tc>
        <w:tc>
          <w:tcPr>
            <w:tcW w:w="655"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11.65%</w:t>
            </w:r>
          </w:p>
        </w:tc>
        <w:tc>
          <w:tcPr>
            <w:tcW w:w="654"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1,657.61</w:t>
            </w:r>
          </w:p>
        </w:tc>
        <w:tc>
          <w:tcPr>
            <w:tcW w:w="654"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13.51%</w:t>
            </w:r>
          </w:p>
        </w:tc>
        <w:tc>
          <w:tcPr>
            <w:tcW w:w="654"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920.71</w:t>
            </w:r>
          </w:p>
        </w:tc>
        <w:tc>
          <w:tcPr>
            <w:tcW w:w="653"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9.04%</w:t>
            </w:r>
          </w:p>
        </w:tc>
      </w:tr>
      <w:tr w:rsidR="006A42A7" w:rsidRPr="006A42A7" w:rsidTr="00FF5C8F">
        <w:trPr>
          <w:trHeight w:val="397"/>
          <w:jc w:val="center"/>
        </w:trPr>
        <w:tc>
          <w:tcPr>
            <w:tcW w:w="949"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华中</w:t>
            </w:r>
          </w:p>
        </w:tc>
        <w:tc>
          <w:tcPr>
            <w:tcW w:w="778"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2,478.26</w:t>
            </w:r>
          </w:p>
        </w:tc>
        <w:tc>
          <w:tcPr>
            <w:tcW w:w="655"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14.99%</w:t>
            </w:r>
          </w:p>
        </w:tc>
        <w:tc>
          <w:tcPr>
            <w:tcW w:w="654"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1,532.54</w:t>
            </w:r>
          </w:p>
        </w:tc>
        <w:tc>
          <w:tcPr>
            <w:tcW w:w="654"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12.49%</w:t>
            </w:r>
          </w:p>
        </w:tc>
        <w:tc>
          <w:tcPr>
            <w:tcW w:w="654"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844.76</w:t>
            </w:r>
          </w:p>
        </w:tc>
        <w:tc>
          <w:tcPr>
            <w:tcW w:w="653"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8.29%</w:t>
            </w:r>
          </w:p>
        </w:tc>
      </w:tr>
      <w:tr w:rsidR="006A42A7" w:rsidRPr="006A42A7" w:rsidTr="00FF5C8F">
        <w:trPr>
          <w:trHeight w:val="397"/>
          <w:jc w:val="center"/>
        </w:trPr>
        <w:tc>
          <w:tcPr>
            <w:tcW w:w="949"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其他</w:t>
            </w:r>
          </w:p>
        </w:tc>
        <w:tc>
          <w:tcPr>
            <w:tcW w:w="778"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957.67</w:t>
            </w:r>
          </w:p>
        </w:tc>
        <w:tc>
          <w:tcPr>
            <w:tcW w:w="655"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5.79%</w:t>
            </w:r>
          </w:p>
        </w:tc>
        <w:tc>
          <w:tcPr>
            <w:tcW w:w="654"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580.54</w:t>
            </w:r>
          </w:p>
        </w:tc>
        <w:tc>
          <w:tcPr>
            <w:tcW w:w="654"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4.73%</w:t>
            </w:r>
          </w:p>
        </w:tc>
        <w:tc>
          <w:tcPr>
            <w:tcW w:w="654"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233.37</w:t>
            </w:r>
          </w:p>
        </w:tc>
        <w:tc>
          <w:tcPr>
            <w:tcW w:w="653" w:type="pct"/>
            <w:vAlign w:val="center"/>
          </w:tcPr>
          <w:p w:rsidR="006A42A7" w:rsidRPr="006A42A7" w:rsidRDefault="006A42A7" w:rsidP="006A42A7">
            <w:pPr>
              <w:jc w:val="right"/>
              <w:rPr>
                <w:rFonts w:ascii="Times New Roman" w:eastAsia="宋体" w:hAnsi="Times New Roman" w:cs="Times New Roman"/>
                <w:iCs/>
                <w:szCs w:val="21"/>
              </w:rPr>
            </w:pPr>
            <w:r w:rsidRPr="006A42A7">
              <w:rPr>
                <w:rFonts w:ascii="Times New Roman" w:eastAsia="宋体" w:hAnsi="Times New Roman" w:cs="Times New Roman"/>
                <w:szCs w:val="21"/>
              </w:rPr>
              <w:t>2.29%</w:t>
            </w:r>
          </w:p>
        </w:tc>
      </w:tr>
      <w:tr w:rsidR="006A42A7" w:rsidRPr="006A42A7" w:rsidTr="00FF5C8F">
        <w:trPr>
          <w:trHeight w:val="397"/>
          <w:jc w:val="center"/>
        </w:trPr>
        <w:tc>
          <w:tcPr>
            <w:tcW w:w="949"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合计</w:t>
            </w:r>
          </w:p>
        </w:tc>
        <w:tc>
          <w:tcPr>
            <w:tcW w:w="778"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16,528.93</w:t>
            </w:r>
          </w:p>
        </w:tc>
        <w:tc>
          <w:tcPr>
            <w:tcW w:w="655" w:type="pct"/>
            <w:vAlign w:val="center"/>
          </w:tcPr>
          <w:p w:rsidR="006A42A7" w:rsidRPr="006A42A7" w:rsidRDefault="006A42A7" w:rsidP="006A42A7">
            <w:pPr>
              <w:jc w:val="right"/>
              <w:rPr>
                <w:rFonts w:ascii="楷体" w:eastAsia="楷体" w:hAnsi="楷体" w:cs="Times New Roman"/>
                <w:b/>
                <w:color w:val="000000"/>
                <w:kern w:val="0"/>
                <w:szCs w:val="21"/>
                <w:lang w:bidi="en-US"/>
              </w:rPr>
            </w:pPr>
            <w:r w:rsidRPr="006A42A7">
              <w:rPr>
                <w:rFonts w:ascii="楷体" w:eastAsia="楷体" w:hAnsi="楷体" w:cs="Times New Roman" w:hint="eastAsia"/>
                <w:b/>
                <w:bCs/>
                <w:szCs w:val="21"/>
              </w:rPr>
              <w:t>100.00%</w:t>
            </w:r>
          </w:p>
        </w:tc>
        <w:tc>
          <w:tcPr>
            <w:tcW w:w="654" w:type="pct"/>
            <w:vAlign w:val="center"/>
          </w:tcPr>
          <w:p w:rsidR="006A42A7" w:rsidRPr="006A42A7" w:rsidRDefault="006A42A7" w:rsidP="006A42A7">
            <w:pPr>
              <w:jc w:val="right"/>
              <w:rPr>
                <w:rFonts w:ascii="Times New Roman" w:eastAsia="宋体" w:hAnsi="Times New Roman" w:cs="Times New Roman"/>
                <w:b/>
                <w:bCs/>
                <w:iCs/>
                <w:szCs w:val="21"/>
              </w:rPr>
            </w:pPr>
            <w:r w:rsidRPr="006A42A7">
              <w:rPr>
                <w:rFonts w:ascii="Times New Roman" w:eastAsia="宋体" w:hAnsi="Times New Roman" w:cs="Times New Roman"/>
                <w:b/>
                <w:bCs/>
                <w:szCs w:val="21"/>
              </w:rPr>
              <w:t>12,268.28</w:t>
            </w:r>
          </w:p>
        </w:tc>
        <w:tc>
          <w:tcPr>
            <w:tcW w:w="654" w:type="pct"/>
            <w:vAlign w:val="center"/>
          </w:tcPr>
          <w:p w:rsidR="006A42A7" w:rsidRPr="006A42A7" w:rsidRDefault="006A42A7" w:rsidP="006A42A7">
            <w:pPr>
              <w:jc w:val="right"/>
              <w:rPr>
                <w:rFonts w:ascii="Times New Roman" w:eastAsia="宋体" w:hAnsi="Times New Roman" w:cs="Times New Roman"/>
                <w:b/>
                <w:bCs/>
                <w:iCs/>
                <w:szCs w:val="21"/>
              </w:rPr>
            </w:pPr>
            <w:r w:rsidRPr="006A42A7">
              <w:rPr>
                <w:rFonts w:ascii="Times New Roman" w:eastAsia="宋体" w:hAnsi="Times New Roman" w:cs="Times New Roman"/>
                <w:b/>
                <w:bCs/>
                <w:szCs w:val="21"/>
              </w:rPr>
              <w:t>100%</w:t>
            </w:r>
          </w:p>
        </w:tc>
        <w:tc>
          <w:tcPr>
            <w:tcW w:w="654" w:type="pct"/>
            <w:vAlign w:val="center"/>
          </w:tcPr>
          <w:p w:rsidR="006A42A7" w:rsidRPr="006A42A7" w:rsidRDefault="006A42A7" w:rsidP="006A42A7">
            <w:pPr>
              <w:jc w:val="right"/>
              <w:rPr>
                <w:rFonts w:ascii="Times New Roman" w:eastAsia="宋体" w:hAnsi="Times New Roman" w:cs="Times New Roman"/>
                <w:b/>
                <w:bCs/>
                <w:iCs/>
                <w:szCs w:val="21"/>
              </w:rPr>
            </w:pPr>
            <w:r w:rsidRPr="006A42A7">
              <w:rPr>
                <w:rFonts w:ascii="Times New Roman" w:eastAsia="宋体" w:hAnsi="Times New Roman" w:cs="Times New Roman"/>
                <w:b/>
                <w:bCs/>
                <w:szCs w:val="21"/>
              </w:rPr>
              <w:t>10,189.72</w:t>
            </w:r>
          </w:p>
        </w:tc>
        <w:tc>
          <w:tcPr>
            <w:tcW w:w="653" w:type="pct"/>
            <w:vAlign w:val="center"/>
          </w:tcPr>
          <w:p w:rsidR="006A42A7" w:rsidRPr="006A42A7" w:rsidRDefault="006A42A7" w:rsidP="006A42A7">
            <w:pPr>
              <w:jc w:val="right"/>
              <w:rPr>
                <w:rFonts w:ascii="Times New Roman" w:eastAsia="宋体" w:hAnsi="Times New Roman" w:cs="Times New Roman"/>
                <w:b/>
                <w:bCs/>
                <w:iCs/>
                <w:szCs w:val="21"/>
              </w:rPr>
            </w:pPr>
            <w:r w:rsidRPr="006A42A7">
              <w:rPr>
                <w:rFonts w:ascii="Times New Roman" w:eastAsia="宋体" w:hAnsi="Times New Roman" w:cs="Times New Roman"/>
                <w:b/>
                <w:bCs/>
                <w:szCs w:val="21"/>
              </w:rPr>
              <w:t>100%</w:t>
            </w:r>
          </w:p>
        </w:tc>
      </w:tr>
    </w:tbl>
    <w:p w:rsidR="006A42A7" w:rsidRPr="006A42A7" w:rsidRDefault="006A42A7" w:rsidP="006A42A7">
      <w:pPr>
        <w:spacing w:beforeLines="50" w:before="156" w:afterLines="50" w:after="156" w:line="360" w:lineRule="auto"/>
        <w:ind w:firstLineChars="200" w:firstLine="480"/>
        <w:rPr>
          <w:rFonts w:ascii="Times New Roman" w:eastAsia="宋体" w:hAnsi="Times New Roman" w:cs="Times New Roman"/>
          <w:sz w:val="24"/>
          <w:szCs w:val="24"/>
        </w:rPr>
      </w:pPr>
      <w:r w:rsidRPr="006A42A7">
        <w:rPr>
          <w:rFonts w:ascii="Times New Roman" w:eastAsia="宋体" w:hAnsi="Times New Roman" w:cs="Times New Roman"/>
          <w:sz w:val="24"/>
          <w:szCs w:val="24"/>
        </w:rPr>
        <w:t>报告期内，公司与保利合作项目涉及的区域分布以华东、华南区域为主，东北、华北、华中等区域业务不断发展。</w:t>
      </w:r>
    </w:p>
    <w:p w:rsidR="006A42A7" w:rsidRPr="006A42A7" w:rsidRDefault="006A42A7" w:rsidP="006A42A7">
      <w:pPr>
        <w:spacing w:afterLines="50" w:after="156" w:line="360" w:lineRule="auto"/>
        <w:ind w:firstLineChars="200" w:firstLine="480"/>
        <w:rPr>
          <w:rFonts w:ascii="Times New Roman" w:eastAsia="宋体" w:hAnsi="Times New Roman" w:cs="Times New Roman"/>
          <w:sz w:val="24"/>
          <w:szCs w:val="24"/>
        </w:rPr>
      </w:pPr>
      <w:r w:rsidRPr="006A42A7">
        <w:rPr>
          <w:rFonts w:ascii="Times New Roman" w:eastAsia="宋体" w:hAnsi="Times New Roman" w:cs="Times New Roman"/>
          <w:sz w:val="24"/>
          <w:szCs w:val="24"/>
        </w:rPr>
        <w:t>报告期内，公司与保利的收入按城市类型划分的情况如下表所示：</w:t>
      </w:r>
    </w:p>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单位：万元</w:t>
      </w:r>
    </w:p>
    <w:tbl>
      <w:tblPr>
        <w:tblW w:w="4879"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1503"/>
        <w:gridCol w:w="1169"/>
        <w:gridCol w:w="1127"/>
        <w:gridCol w:w="1127"/>
        <w:gridCol w:w="1128"/>
        <w:gridCol w:w="1128"/>
        <w:gridCol w:w="1128"/>
      </w:tblGrid>
      <w:tr w:rsidR="006A42A7" w:rsidRPr="006A42A7" w:rsidTr="00FF5C8F">
        <w:trPr>
          <w:trHeight w:val="424"/>
          <w:jc w:val="center"/>
        </w:trPr>
        <w:tc>
          <w:tcPr>
            <w:tcW w:w="908" w:type="pct"/>
            <w:vMerge w:val="restart"/>
            <w:vAlign w:val="center"/>
          </w:tcPr>
          <w:p w:rsidR="006A42A7" w:rsidRPr="006A42A7" w:rsidRDefault="006A42A7" w:rsidP="006A42A7">
            <w:pPr>
              <w:spacing w:beforeLines="50" w:before="156" w:afterLines="50" w:after="156" w:line="360" w:lineRule="auto"/>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城市类型</w:t>
            </w:r>
          </w:p>
        </w:tc>
        <w:tc>
          <w:tcPr>
            <w:tcW w:w="1364" w:type="pct"/>
            <w:gridSpan w:val="2"/>
            <w:vAlign w:val="center"/>
          </w:tcPr>
          <w:p w:rsidR="006A42A7" w:rsidRPr="006A42A7" w:rsidRDefault="006A42A7" w:rsidP="006A42A7">
            <w:pPr>
              <w:jc w:val="center"/>
              <w:rPr>
                <w:rFonts w:ascii="楷体" w:eastAsia="楷体" w:hAnsi="楷体" w:cs="Times New Roman"/>
                <w:b/>
                <w:color w:val="000000"/>
                <w:kern w:val="0"/>
                <w:szCs w:val="21"/>
                <w:lang w:bidi="en-US"/>
              </w:rPr>
            </w:pPr>
            <w:r w:rsidRPr="006A42A7">
              <w:rPr>
                <w:rFonts w:ascii="楷体" w:eastAsia="楷体" w:hAnsi="楷体" w:cs="Times New Roman"/>
                <w:b/>
                <w:color w:val="000000"/>
                <w:kern w:val="0"/>
                <w:szCs w:val="21"/>
                <w:lang w:bidi="en-US"/>
              </w:rPr>
              <w:t>2020年</w:t>
            </w:r>
            <w:r w:rsidRPr="006A42A7">
              <w:rPr>
                <w:rFonts w:ascii="楷体" w:eastAsia="楷体" w:hAnsi="楷体" w:cs="Times New Roman" w:hint="eastAsia"/>
                <w:b/>
                <w:color w:val="000000"/>
                <w:kern w:val="0"/>
                <w:szCs w:val="21"/>
                <w:lang w:bidi="en-US"/>
              </w:rPr>
              <w:t>度</w:t>
            </w:r>
          </w:p>
        </w:tc>
        <w:tc>
          <w:tcPr>
            <w:tcW w:w="1364" w:type="pct"/>
            <w:gridSpan w:val="2"/>
            <w:vAlign w:val="center"/>
          </w:tcPr>
          <w:p w:rsidR="006A42A7" w:rsidRPr="006A42A7" w:rsidRDefault="006A42A7" w:rsidP="006A42A7">
            <w:pPr>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2019</w:t>
            </w:r>
            <w:r w:rsidRPr="006A42A7">
              <w:rPr>
                <w:rFonts w:ascii="Times New Roman" w:eastAsia="宋体" w:hAnsi="Times New Roman" w:cs="Times New Roman"/>
                <w:b/>
                <w:bCs/>
                <w:iCs/>
                <w:szCs w:val="21"/>
              </w:rPr>
              <w:t>年度</w:t>
            </w:r>
          </w:p>
        </w:tc>
        <w:tc>
          <w:tcPr>
            <w:tcW w:w="1364" w:type="pct"/>
            <w:gridSpan w:val="2"/>
            <w:vAlign w:val="center"/>
          </w:tcPr>
          <w:p w:rsidR="006A42A7" w:rsidRPr="006A42A7" w:rsidRDefault="006A42A7" w:rsidP="006A42A7">
            <w:pPr>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2018</w:t>
            </w:r>
            <w:r w:rsidRPr="006A42A7">
              <w:rPr>
                <w:rFonts w:ascii="Times New Roman" w:eastAsia="宋体" w:hAnsi="Times New Roman" w:cs="Times New Roman"/>
                <w:b/>
                <w:bCs/>
                <w:iCs/>
                <w:szCs w:val="21"/>
              </w:rPr>
              <w:t>年度</w:t>
            </w:r>
          </w:p>
        </w:tc>
      </w:tr>
      <w:tr w:rsidR="006A42A7" w:rsidRPr="006A42A7" w:rsidTr="00FF5C8F">
        <w:trPr>
          <w:trHeight w:val="424"/>
          <w:jc w:val="center"/>
        </w:trPr>
        <w:tc>
          <w:tcPr>
            <w:tcW w:w="908" w:type="pct"/>
            <w:vMerge/>
            <w:vAlign w:val="center"/>
          </w:tcPr>
          <w:p w:rsidR="006A42A7" w:rsidRPr="006A42A7" w:rsidRDefault="006A42A7" w:rsidP="006A42A7">
            <w:pPr>
              <w:spacing w:beforeLines="50" w:before="156" w:afterLines="50" w:after="156" w:line="360" w:lineRule="auto"/>
              <w:jc w:val="center"/>
              <w:rPr>
                <w:rFonts w:ascii="Times New Roman" w:eastAsia="宋体" w:hAnsi="Times New Roman" w:cs="Times New Roman"/>
                <w:b/>
                <w:bCs/>
                <w:iCs/>
                <w:szCs w:val="21"/>
              </w:rPr>
            </w:pPr>
          </w:p>
        </w:tc>
        <w:tc>
          <w:tcPr>
            <w:tcW w:w="682" w:type="pct"/>
            <w:vAlign w:val="center"/>
          </w:tcPr>
          <w:p w:rsidR="006A42A7" w:rsidRPr="006A42A7" w:rsidRDefault="006A42A7" w:rsidP="006A42A7">
            <w:pPr>
              <w:widowControl/>
              <w:jc w:val="center"/>
              <w:rPr>
                <w:rFonts w:ascii="楷体" w:eastAsia="楷体" w:hAnsi="楷体" w:cs="Times New Roman"/>
                <w:b/>
                <w:color w:val="000000"/>
                <w:kern w:val="0"/>
                <w:szCs w:val="21"/>
                <w:lang w:bidi="en-US"/>
              </w:rPr>
            </w:pPr>
            <w:r w:rsidRPr="006A42A7">
              <w:rPr>
                <w:rFonts w:ascii="楷体" w:eastAsia="楷体" w:hAnsi="楷体" w:cs="Times New Roman"/>
                <w:b/>
                <w:color w:val="000000"/>
                <w:kern w:val="0"/>
                <w:szCs w:val="21"/>
                <w:lang w:bidi="en-US"/>
              </w:rPr>
              <w:t>金额</w:t>
            </w:r>
          </w:p>
        </w:tc>
        <w:tc>
          <w:tcPr>
            <w:tcW w:w="682" w:type="pct"/>
            <w:vAlign w:val="center"/>
          </w:tcPr>
          <w:p w:rsidR="006A42A7" w:rsidRPr="006A42A7" w:rsidRDefault="006A42A7" w:rsidP="006A42A7">
            <w:pPr>
              <w:widowControl/>
              <w:jc w:val="center"/>
              <w:rPr>
                <w:rFonts w:ascii="楷体" w:eastAsia="楷体" w:hAnsi="楷体" w:cs="Times New Roman"/>
                <w:b/>
                <w:color w:val="000000"/>
                <w:kern w:val="0"/>
                <w:szCs w:val="21"/>
                <w:lang w:bidi="en-US"/>
              </w:rPr>
            </w:pPr>
            <w:r w:rsidRPr="006A42A7">
              <w:rPr>
                <w:rFonts w:ascii="楷体" w:eastAsia="楷体" w:hAnsi="楷体" w:cs="Times New Roman"/>
                <w:b/>
                <w:color w:val="000000"/>
                <w:kern w:val="0"/>
                <w:szCs w:val="21"/>
                <w:lang w:bidi="en-US"/>
              </w:rPr>
              <w:t>占比</w:t>
            </w:r>
          </w:p>
        </w:tc>
        <w:tc>
          <w:tcPr>
            <w:tcW w:w="682"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金额</w:t>
            </w:r>
          </w:p>
        </w:tc>
        <w:tc>
          <w:tcPr>
            <w:tcW w:w="682"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占比</w:t>
            </w:r>
          </w:p>
        </w:tc>
        <w:tc>
          <w:tcPr>
            <w:tcW w:w="682"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金额</w:t>
            </w:r>
          </w:p>
        </w:tc>
        <w:tc>
          <w:tcPr>
            <w:tcW w:w="682"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占比</w:t>
            </w:r>
          </w:p>
        </w:tc>
      </w:tr>
      <w:tr w:rsidR="006A42A7" w:rsidRPr="006A42A7" w:rsidTr="00FF5C8F">
        <w:trPr>
          <w:trHeight w:val="424"/>
          <w:jc w:val="center"/>
        </w:trPr>
        <w:tc>
          <w:tcPr>
            <w:tcW w:w="908"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一线城市</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 xml:space="preserve"> 961.28 </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5.82%</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333.71</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2.72%</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366.70</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3.60%</w:t>
            </w:r>
          </w:p>
        </w:tc>
      </w:tr>
      <w:tr w:rsidR="006A42A7" w:rsidRPr="006A42A7" w:rsidTr="00FF5C8F">
        <w:trPr>
          <w:trHeight w:val="424"/>
          <w:jc w:val="center"/>
        </w:trPr>
        <w:tc>
          <w:tcPr>
            <w:tcW w:w="908"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二线城市</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 xml:space="preserve">11,531.80 </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69.77%</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6,508.29</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53.05%</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5,442.02</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53.41%</w:t>
            </w:r>
          </w:p>
        </w:tc>
      </w:tr>
      <w:tr w:rsidR="006A42A7" w:rsidRPr="006A42A7" w:rsidTr="00FF5C8F">
        <w:trPr>
          <w:trHeight w:val="424"/>
          <w:jc w:val="center"/>
        </w:trPr>
        <w:tc>
          <w:tcPr>
            <w:tcW w:w="908"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三线城市</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 xml:space="preserve"> 2,636.07 </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15.95%</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3,123.78</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25.46%</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2,660.61</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26.11%</w:t>
            </w:r>
          </w:p>
        </w:tc>
      </w:tr>
      <w:tr w:rsidR="006A42A7" w:rsidRPr="006A42A7" w:rsidTr="00FF5C8F">
        <w:trPr>
          <w:trHeight w:val="424"/>
          <w:jc w:val="center"/>
        </w:trPr>
        <w:tc>
          <w:tcPr>
            <w:tcW w:w="908" w:type="pct"/>
            <w:vAlign w:val="center"/>
          </w:tcPr>
          <w:p w:rsidR="006A42A7" w:rsidRPr="006A42A7" w:rsidRDefault="006A42A7" w:rsidP="006A42A7">
            <w:pPr>
              <w:widowControl/>
              <w:jc w:val="center"/>
              <w:rPr>
                <w:rFonts w:ascii="Times New Roman" w:eastAsia="宋体" w:hAnsi="Times New Roman" w:cs="Times New Roman"/>
                <w:iCs/>
                <w:szCs w:val="21"/>
              </w:rPr>
            </w:pPr>
            <w:r w:rsidRPr="006A42A7">
              <w:rPr>
                <w:rFonts w:ascii="Times New Roman" w:eastAsia="宋体" w:hAnsi="Times New Roman" w:cs="Times New Roman"/>
                <w:iCs/>
                <w:szCs w:val="21"/>
              </w:rPr>
              <w:t>四线城市</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 xml:space="preserve"> 1,399.77 </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8.47%</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2,302.50</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18.77%</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1,720.39</w:t>
            </w:r>
          </w:p>
        </w:tc>
        <w:tc>
          <w:tcPr>
            <w:tcW w:w="682" w:type="pct"/>
            <w:vAlign w:val="center"/>
          </w:tcPr>
          <w:p w:rsidR="006A42A7" w:rsidRPr="006A42A7" w:rsidRDefault="006A42A7" w:rsidP="006A42A7">
            <w:pPr>
              <w:jc w:val="right"/>
              <w:rPr>
                <w:rFonts w:ascii="Times New Roman" w:eastAsia="宋体" w:hAnsi="Times New Roman" w:cs="Times New Roman"/>
                <w:szCs w:val="21"/>
              </w:rPr>
            </w:pPr>
            <w:r w:rsidRPr="006A42A7">
              <w:rPr>
                <w:rFonts w:ascii="Times New Roman" w:eastAsia="宋体" w:hAnsi="Times New Roman" w:cs="Times New Roman"/>
                <w:szCs w:val="21"/>
              </w:rPr>
              <w:t>16.88%</w:t>
            </w:r>
          </w:p>
        </w:tc>
      </w:tr>
      <w:tr w:rsidR="006A42A7" w:rsidRPr="006A42A7" w:rsidTr="00FF5C8F">
        <w:trPr>
          <w:trHeight w:val="424"/>
          <w:jc w:val="center"/>
        </w:trPr>
        <w:tc>
          <w:tcPr>
            <w:tcW w:w="908" w:type="pct"/>
            <w:vAlign w:val="center"/>
          </w:tcPr>
          <w:p w:rsidR="006A42A7" w:rsidRPr="006A42A7" w:rsidRDefault="006A42A7" w:rsidP="006A42A7">
            <w:pPr>
              <w:widowControl/>
              <w:jc w:val="center"/>
              <w:rPr>
                <w:rFonts w:ascii="Times New Roman" w:eastAsia="宋体" w:hAnsi="Times New Roman" w:cs="Times New Roman"/>
                <w:b/>
                <w:bCs/>
                <w:iCs/>
                <w:szCs w:val="21"/>
              </w:rPr>
            </w:pPr>
            <w:r w:rsidRPr="006A42A7">
              <w:rPr>
                <w:rFonts w:ascii="Times New Roman" w:eastAsia="宋体" w:hAnsi="Times New Roman" w:cs="Times New Roman"/>
                <w:b/>
                <w:bCs/>
                <w:iCs/>
                <w:szCs w:val="21"/>
              </w:rPr>
              <w:t>合计</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 xml:space="preserve">16,528.93 </w:t>
            </w:r>
          </w:p>
        </w:tc>
        <w:tc>
          <w:tcPr>
            <w:tcW w:w="682" w:type="pct"/>
            <w:vAlign w:val="center"/>
          </w:tcPr>
          <w:p w:rsidR="006A42A7" w:rsidRPr="006A42A7" w:rsidRDefault="006A42A7" w:rsidP="006A42A7">
            <w:pPr>
              <w:jc w:val="right"/>
              <w:rPr>
                <w:rFonts w:ascii="楷体" w:eastAsia="楷体" w:hAnsi="楷体" w:cs="Times New Roman"/>
                <w:b/>
                <w:bCs/>
                <w:color w:val="000000"/>
                <w:kern w:val="0"/>
                <w:szCs w:val="21"/>
                <w:lang w:bidi="en-US"/>
              </w:rPr>
            </w:pPr>
            <w:r w:rsidRPr="006A42A7">
              <w:rPr>
                <w:rFonts w:ascii="楷体" w:eastAsia="楷体" w:hAnsi="楷体" w:cs="Times New Roman"/>
                <w:b/>
                <w:bCs/>
                <w:szCs w:val="20"/>
              </w:rPr>
              <w:t>100.00%</w:t>
            </w:r>
          </w:p>
        </w:tc>
        <w:tc>
          <w:tcPr>
            <w:tcW w:w="682" w:type="pct"/>
            <w:vAlign w:val="center"/>
          </w:tcPr>
          <w:p w:rsidR="006A42A7" w:rsidRPr="006A42A7" w:rsidRDefault="006A42A7" w:rsidP="006A42A7">
            <w:pPr>
              <w:jc w:val="right"/>
              <w:rPr>
                <w:rFonts w:ascii="Times New Roman" w:eastAsia="宋体" w:hAnsi="Times New Roman" w:cs="Times New Roman"/>
                <w:b/>
                <w:bCs/>
                <w:szCs w:val="21"/>
              </w:rPr>
            </w:pPr>
            <w:r w:rsidRPr="006A42A7">
              <w:rPr>
                <w:rFonts w:ascii="Times New Roman" w:eastAsia="宋体" w:hAnsi="Times New Roman" w:cs="Times New Roman"/>
                <w:b/>
                <w:bCs/>
                <w:szCs w:val="21"/>
              </w:rPr>
              <w:t>12,268.28</w:t>
            </w:r>
          </w:p>
        </w:tc>
        <w:tc>
          <w:tcPr>
            <w:tcW w:w="682" w:type="pct"/>
            <w:vAlign w:val="center"/>
          </w:tcPr>
          <w:p w:rsidR="006A42A7" w:rsidRPr="006A42A7" w:rsidRDefault="006A42A7" w:rsidP="006A42A7">
            <w:pPr>
              <w:jc w:val="right"/>
              <w:rPr>
                <w:rFonts w:ascii="Times New Roman" w:eastAsia="宋体" w:hAnsi="Times New Roman" w:cs="Times New Roman"/>
                <w:b/>
                <w:bCs/>
                <w:szCs w:val="21"/>
              </w:rPr>
            </w:pPr>
            <w:r w:rsidRPr="006A42A7">
              <w:rPr>
                <w:rFonts w:ascii="Times New Roman" w:eastAsia="宋体" w:hAnsi="Times New Roman" w:cs="Times New Roman"/>
                <w:b/>
                <w:bCs/>
                <w:szCs w:val="21"/>
              </w:rPr>
              <w:t>100.00%</w:t>
            </w:r>
          </w:p>
        </w:tc>
        <w:tc>
          <w:tcPr>
            <w:tcW w:w="682" w:type="pct"/>
            <w:vAlign w:val="center"/>
          </w:tcPr>
          <w:p w:rsidR="006A42A7" w:rsidRPr="006A42A7" w:rsidRDefault="006A42A7" w:rsidP="006A42A7">
            <w:pPr>
              <w:jc w:val="right"/>
              <w:rPr>
                <w:rFonts w:ascii="Times New Roman" w:eastAsia="宋体" w:hAnsi="Times New Roman" w:cs="Times New Roman"/>
                <w:b/>
                <w:bCs/>
                <w:szCs w:val="21"/>
              </w:rPr>
            </w:pPr>
            <w:r w:rsidRPr="006A42A7">
              <w:rPr>
                <w:rFonts w:ascii="Times New Roman" w:eastAsia="宋体" w:hAnsi="Times New Roman" w:cs="Times New Roman"/>
                <w:b/>
                <w:bCs/>
                <w:szCs w:val="21"/>
              </w:rPr>
              <w:t>10,189.72</w:t>
            </w:r>
          </w:p>
        </w:tc>
        <w:tc>
          <w:tcPr>
            <w:tcW w:w="682" w:type="pct"/>
            <w:vAlign w:val="center"/>
          </w:tcPr>
          <w:p w:rsidR="006A42A7" w:rsidRPr="006A42A7" w:rsidRDefault="006A42A7" w:rsidP="006A42A7">
            <w:pPr>
              <w:jc w:val="right"/>
              <w:rPr>
                <w:rFonts w:ascii="Times New Roman" w:eastAsia="宋体" w:hAnsi="Times New Roman" w:cs="Times New Roman"/>
                <w:b/>
                <w:bCs/>
                <w:szCs w:val="21"/>
              </w:rPr>
            </w:pPr>
            <w:r w:rsidRPr="006A42A7">
              <w:rPr>
                <w:rFonts w:ascii="Times New Roman" w:eastAsia="宋体" w:hAnsi="Times New Roman" w:cs="Times New Roman"/>
                <w:b/>
                <w:bCs/>
                <w:szCs w:val="21"/>
              </w:rPr>
              <w:t>100.00%</w:t>
            </w:r>
          </w:p>
        </w:tc>
      </w:tr>
    </w:tbl>
    <w:p w:rsidR="006A42A7" w:rsidRPr="006A42A7" w:rsidRDefault="006A42A7" w:rsidP="006A42A7">
      <w:pPr>
        <w:jc w:val="left"/>
        <w:rPr>
          <w:rFonts w:ascii="Times New Roman" w:eastAsia="宋体" w:hAnsi="Times New Roman" w:cs="Times New Roman"/>
          <w:szCs w:val="21"/>
        </w:rPr>
      </w:pPr>
      <w:r w:rsidRPr="006A42A7">
        <w:rPr>
          <w:rFonts w:ascii="Times New Roman" w:eastAsia="宋体" w:hAnsi="Times New Roman" w:cs="Times New Roman"/>
          <w:szCs w:val="21"/>
        </w:rPr>
        <w:t>注：城市划分标准摘自《</w:t>
      </w:r>
      <w:r w:rsidRPr="006A42A7">
        <w:rPr>
          <w:rFonts w:ascii="Times New Roman" w:eastAsia="宋体" w:hAnsi="Times New Roman" w:cs="Times New Roman"/>
          <w:szCs w:val="21"/>
        </w:rPr>
        <w:t>2020</w:t>
      </w:r>
      <w:r w:rsidRPr="006A42A7">
        <w:rPr>
          <w:rFonts w:ascii="Times New Roman" w:eastAsia="宋体" w:hAnsi="Times New Roman" w:cs="Times New Roman"/>
          <w:szCs w:val="21"/>
        </w:rPr>
        <w:t>城市商业魅力排行榜》。其中，一线城市包括：北、上、广、深；二线城市主要包括省会城市、副省级城市、东部地区的经济强市或经济发达的区域性中心城市。</w:t>
      </w:r>
    </w:p>
    <w:p w:rsidR="006A42A7" w:rsidRDefault="006A42A7" w:rsidP="006A42A7">
      <w:pPr>
        <w:widowControl/>
        <w:autoSpaceDE w:val="0"/>
        <w:autoSpaceDN w:val="0"/>
        <w:adjustRightInd w:val="0"/>
        <w:spacing w:beforeLines="50" w:before="156" w:afterLines="50" w:after="156" w:line="360" w:lineRule="auto"/>
        <w:ind w:firstLineChars="200" w:firstLine="480"/>
        <w:rPr>
          <w:rFonts w:ascii="Times New Roman" w:eastAsia="宋体" w:hAnsi="Times New Roman" w:cs="Times New Roman"/>
          <w:color w:val="000000"/>
          <w:kern w:val="0"/>
          <w:sz w:val="24"/>
          <w:szCs w:val="24"/>
          <w:lang w:bidi="en-US"/>
        </w:rPr>
      </w:pPr>
      <w:r w:rsidRPr="006A42A7">
        <w:rPr>
          <w:rFonts w:ascii="Times New Roman" w:eastAsia="宋体" w:hAnsi="Times New Roman" w:cs="Times New Roman"/>
          <w:color w:val="000000"/>
          <w:kern w:val="0"/>
          <w:sz w:val="24"/>
          <w:szCs w:val="24"/>
          <w:lang w:bidi="en-US"/>
        </w:rPr>
        <w:lastRenderedPageBreak/>
        <w:t>报告期内，公司与保利的业务合作主要集中在二线城市，</w:t>
      </w:r>
      <w:r w:rsidRPr="006A42A7">
        <w:rPr>
          <w:rFonts w:ascii="Times New Roman" w:eastAsia="宋体" w:hAnsi="Times New Roman" w:cs="Times New Roman"/>
          <w:color w:val="000000"/>
          <w:kern w:val="0"/>
          <w:sz w:val="24"/>
          <w:szCs w:val="24"/>
          <w:lang w:bidi="en-US"/>
        </w:rPr>
        <w:t>2020</w:t>
      </w:r>
      <w:r w:rsidRPr="006A42A7">
        <w:rPr>
          <w:rFonts w:ascii="Times New Roman" w:eastAsia="宋体" w:hAnsi="Times New Roman" w:cs="Times New Roman"/>
          <w:color w:val="000000"/>
          <w:kern w:val="0"/>
          <w:sz w:val="24"/>
          <w:szCs w:val="24"/>
          <w:lang w:bidi="en-US"/>
        </w:rPr>
        <w:t>年，随着武汉等城市业务项目的贡献，二线城市收入占比进一步提升。</w:t>
      </w:r>
    </w:p>
    <w:p w:rsidR="00A836CF" w:rsidRPr="00A836CF" w:rsidRDefault="00A836CF" w:rsidP="00A836CF">
      <w:pPr>
        <w:widowControl/>
        <w:autoSpaceDE w:val="0"/>
        <w:autoSpaceDN w:val="0"/>
        <w:adjustRightInd w:val="0"/>
        <w:spacing w:beforeLines="50" w:before="156" w:afterLines="50" w:after="156" w:line="360" w:lineRule="auto"/>
        <w:ind w:firstLineChars="200" w:firstLine="482"/>
        <w:rPr>
          <w:rFonts w:ascii="Times New Roman" w:eastAsia="宋体" w:hAnsi="Times New Roman" w:cs="Times New Roman"/>
          <w:color w:val="000000"/>
          <w:kern w:val="0"/>
          <w:sz w:val="24"/>
          <w:szCs w:val="21"/>
          <w:lang w:bidi="en-US"/>
        </w:rPr>
      </w:pPr>
      <w:r w:rsidRPr="00A836CF">
        <w:rPr>
          <w:rFonts w:ascii="楷体" w:eastAsia="楷体" w:hAnsi="楷体" w:cs="Times New Roman"/>
          <w:b/>
          <w:color w:val="000000"/>
          <w:kern w:val="0"/>
          <w:sz w:val="24"/>
          <w:szCs w:val="24"/>
          <w:lang w:bidi="en-US"/>
        </w:rPr>
        <w:t>截至2020年12月31日</w:t>
      </w:r>
      <w:r w:rsidRPr="00A836CF">
        <w:rPr>
          <w:rFonts w:ascii="Times New Roman" w:eastAsia="宋体" w:hAnsi="Times New Roman" w:cs="Times New Roman"/>
          <w:color w:val="000000"/>
          <w:kern w:val="0"/>
          <w:sz w:val="24"/>
          <w:szCs w:val="24"/>
          <w:lang w:bidi="en-US"/>
        </w:rPr>
        <w:t>，公司</w:t>
      </w:r>
      <w:proofErr w:type="gramStart"/>
      <w:r w:rsidRPr="00A836CF">
        <w:rPr>
          <w:rFonts w:ascii="Times New Roman" w:eastAsia="宋体" w:hAnsi="Times New Roman" w:cs="Times New Roman"/>
          <w:color w:val="000000"/>
          <w:kern w:val="0"/>
          <w:sz w:val="24"/>
          <w:szCs w:val="24"/>
          <w:lang w:bidi="en-US"/>
        </w:rPr>
        <w:t>对保利</w:t>
      </w:r>
      <w:proofErr w:type="gramEnd"/>
      <w:r w:rsidRPr="00A836CF">
        <w:rPr>
          <w:rFonts w:ascii="Times New Roman" w:eastAsia="宋体" w:hAnsi="Times New Roman" w:cs="Times New Roman"/>
          <w:color w:val="000000"/>
          <w:kern w:val="0"/>
          <w:sz w:val="24"/>
          <w:szCs w:val="24"/>
          <w:lang w:bidi="en-US"/>
        </w:rPr>
        <w:t>的在手合同金额为</w:t>
      </w:r>
      <w:r w:rsidRPr="00A836CF">
        <w:rPr>
          <w:rFonts w:ascii="楷体" w:eastAsia="楷体" w:hAnsi="楷体" w:cs="Times New Roman"/>
          <w:b/>
          <w:bCs/>
          <w:color w:val="000000"/>
          <w:kern w:val="0"/>
          <w:sz w:val="24"/>
          <w:szCs w:val="21"/>
          <w:lang w:bidi="en-US"/>
        </w:rPr>
        <w:t>21,206.60万元</w:t>
      </w:r>
      <w:r w:rsidRPr="00A836CF">
        <w:rPr>
          <w:rFonts w:ascii="Times New Roman" w:eastAsia="宋体" w:hAnsi="Times New Roman" w:cs="Times New Roman"/>
          <w:color w:val="000000"/>
          <w:kern w:val="0"/>
          <w:sz w:val="24"/>
          <w:szCs w:val="21"/>
          <w:lang w:bidi="en-US"/>
        </w:rPr>
        <w:t>，主要区域和各区域排名前两位的主要业务城市情况如下：</w:t>
      </w:r>
    </w:p>
    <w:p w:rsidR="00A836CF" w:rsidRPr="00A836CF" w:rsidRDefault="00A836CF" w:rsidP="00A836CF">
      <w:pPr>
        <w:jc w:val="right"/>
        <w:rPr>
          <w:rFonts w:ascii="Times New Roman" w:eastAsia="宋体" w:hAnsi="Times New Roman" w:cs="Times New Roman"/>
          <w:szCs w:val="21"/>
        </w:rPr>
      </w:pPr>
      <w:r w:rsidRPr="00A836CF">
        <w:rPr>
          <w:rFonts w:ascii="Times New Roman" w:eastAsia="宋体" w:hAnsi="Times New Roman" w:cs="Times New Roman"/>
          <w:szCs w:val="21"/>
        </w:rPr>
        <w:t>单位：万元</w:t>
      </w:r>
    </w:p>
    <w:tbl>
      <w:tblPr>
        <w:tblW w:w="5000"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3106"/>
        <w:gridCol w:w="3490"/>
        <w:gridCol w:w="1920"/>
      </w:tblGrid>
      <w:tr w:rsidR="00A836CF" w:rsidRPr="00A836CF" w:rsidTr="004008ED">
        <w:trPr>
          <w:trHeight w:val="397"/>
          <w:jc w:val="center"/>
        </w:trPr>
        <w:tc>
          <w:tcPr>
            <w:tcW w:w="1824" w:type="pct"/>
            <w:shd w:val="clear" w:color="auto" w:fill="auto"/>
            <w:noWrap/>
            <w:vAlign w:val="center"/>
          </w:tcPr>
          <w:p w:rsidR="00A836CF" w:rsidRPr="00A836CF" w:rsidRDefault="00A836CF" w:rsidP="00A836CF">
            <w:pPr>
              <w:jc w:val="center"/>
              <w:rPr>
                <w:rFonts w:ascii="Times New Roman" w:eastAsia="宋体" w:hAnsi="Times New Roman" w:cs="Times New Roman"/>
                <w:b/>
                <w:bCs/>
                <w:color w:val="000000"/>
                <w:kern w:val="0"/>
                <w:szCs w:val="21"/>
                <w:lang w:eastAsia="en-US" w:bidi="en-US"/>
              </w:rPr>
            </w:pPr>
            <w:r w:rsidRPr="00A836CF">
              <w:rPr>
                <w:rFonts w:ascii="Times New Roman" w:eastAsia="宋体" w:hAnsi="Times New Roman" w:cs="Times New Roman"/>
                <w:b/>
                <w:bCs/>
                <w:color w:val="000000"/>
                <w:kern w:val="0"/>
                <w:szCs w:val="21"/>
                <w:lang w:bidi="en-US"/>
              </w:rPr>
              <w:t>区域及主要城市</w:t>
            </w:r>
          </w:p>
        </w:tc>
        <w:tc>
          <w:tcPr>
            <w:tcW w:w="2049" w:type="pct"/>
            <w:shd w:val="clear" w:color="auto" w:fill="auto"/>
            <w:noWrap/>
            <w:vAlign w:val="center"/>
          </w:tcPr>
          <w:p w:rsidR="00A836CF" w:rsidRPr="00A836CF" w:rsidRDefault="00A836CF" w:rsidP="00A836CF">
            <w:pPr>
              <w:jc w:val="center"/>
              <w:rPr>
                <w:rFonts w:ascii="Times New Roman" w:eastAsia="宋体" w:hAnsi="Times New Roman" w:cs="Times New Roman"/>
                <w:b/>
                <w:bCs/>
                <w:color w:val="000000"/>
                <w:kern w:val="0"/>
                <w:szCs w:val="21"/>
                <w:lang w:eastAsia="en-US" w:bidi="en-US"/>
              </w:rPr>
            </w:pPr>
            <w:proofErr w:type="spellStart"/>
            <w:r w:rsidRPr="00A836CF">
              <w:rPr>
                <w:rFonts w:ascii="Times New Roman" w:eastAsia="宋体" w:hAnsi="Times New Roman" w:cs="Times New Roman"/>
                <w:b/>
                <w:bCs/>
                <w:color w:val="000000"/>
                <w:kern w:val="0"/>
                <w:szCs w:val="21"/>
                <w:lang w:eastAsia="en-US" w:bidi="en-US"/>
              </w:rPr>
              <w:t>在手合同金额</w:t>
            </w:r>
            <w:proofErr w:type="spellEnd"/>
          </w:p>
        </w:tc>
        <w:tc>
          <w:tcPr>
            <w:tcW w:w="1128" w:type="pct"/>
            <w:shd w:val="clear" w:color="auto" w:fill="auto"/>
            <w:noWrap/>
            <w:vAlign w:val="center"/>
          </w:tcPr>
          <w:p w:rsidR="00A836CF" w:rsidRPr="00A836CF" w:rsidRDefault="00A836CF" w:rsidP="00A836CF">
            <w:pPr>
              <w:jc w:val="center"/>
              <w:rPr>
                <w:rFonts w:ascii="Times New Roman" w:eastAsia="宋体" w:hAnsi="Times New Roman" w:cs="Times New Roman"/>
                <w:b/>
                <w:bCs/>
                <w:color w:val="000000"/>
                <w:kern w:val="0"/>
                <w:szCs w:val="21"/>
                <w:lang w:eastAsia="en-US" w:bidi="en-US"/>
              </w:rPr>
            </w:pPr>
            <w:r w:rsidRPr="00A836CF">
              <w:rPr>
                <w:rFonts w:ascii="Times New Roman" w:eastAsia="宋体" w:hAnsi="Times New Roman" w:cs="Times New Roman"/>
                <w:b/>
                <w:bCs/>
                <w:color w:val="000000"/>
                <w:kern w:val="0"/>
                <w:szCs w:val="21"/>
                <w:lang w:bidi="en-US"/>
              </w:rPr>
              <w:t>占比</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jc w:val="left"/>
              <w:rPr>
                <w:rFonts w:ascii="楷体" w:eastAsia="楷体" w:hAnsi="楷体" w:cs="Times New Roman"/>
                <w:b/>
                <w:bCs/>
                <w:szCs w:val="20"/>
              </w:rPr>
            </w:pPr>
            <w:r w:rsidRPr="00A836CF">
              <w:rPr>
                <w:rFonts w:ascii="楷体" w:eastAsia="楷体" w:hAnsi="楷体" w:cs="Times New Roman" w:hint="eastAsia"/>
                <w:b/>
                <w:bCs/>
                <w:szCs w:val="20"/>
              </w:rPr>
              <w:t>华东</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 xml:space="preserve">6,084.77 </w:t>
            </w:r>
            <w:r w:rsidRPr="00A836CF">
              <w:rPr>
                <w:rFonts w:ascii="楷体" w:eastAsia="楷体" w:hAnsi="楷体" w:cs="Times New Roman" w:hint="eastAsia"/>
                <w:b/>
                <w:bCs/>
                <w:szCs w:val="20"/>
              </w:rPr>
              <w:t xml:space="preserve">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28.69%</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100" w:firstLine="211"/>
              <w:jc w:val="left"/>
              <w:rPr>
                <w:rFonts w:ascii="楷体" w:eastAsia="楷体" w:hAnsi="楷体" w:cs="Times New Roman"/>
                <w:b/>
                <w:bCs/>
                <w:szCs w:val="20"/>
              </w:rPr>
            </w:pPr>
            <w:r w:rsidRPr="00A836CF">
              <w:rPr>
                <w:rFonts w:ascii="楷体" w:eastAsia="楷体" w:hAnsi="楷体" w:cs="Times New Roman" w:hint="eastAsia"/>
                <w:b/>
                <w:bCs/>
                <w:szCs w:val="20"/>
              </w:rPr>
              <w:t>其中：南昌</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hint="eastAsia"/>
                <w:b/>
                <w:bCs/>
                <w:szCs w:val="20"/>
              </w:rPr>
              <w:t xml:space="preserve">  1,159.15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5.47%</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400" w:firstLine="843"/>
              <w:jc w:val="left"/>
              <w:rPr>
                <w:rFonts w:ascii="楷体" w:eastAsia="楷体" w:hAnsi="楷体" w:cs="Times New Roman"/>
                <w:b/>
                <w:bCs/>
                <w:szCs w:val="20"/>
              </w:rPr>
            </w:pPr>
            <w:r w:rsidRPr="00A836CF">
              <w:rPr>
                <w:rFonts w:ascii="楷体" w:eastAsia="楷体" w:hAnsi="楷体" w:cs="Times New Roman" w:hint="eastAsia"/>
                <w:b/>
                <w:bCs/>
                <w:szCs w:val="20"/>
              </w:rPr>
              <w:t>聊城</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777.00</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3.66%</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jc w:val="left"/>
              <w:rPr>
                <w:rFonts w:ascii="楷体" w:eastAsia="楷体" w:hAnsi="楷体" w:cs="Times New Roman"/>
                <w:b/>
                <w:bCs/>
                <w:szCs w:val="20"/>
              </w:rPr>
            </w:pPr>
            <w:r w:rsidRPr="00A836CF">
              <w:rPr>
                <w:rFonts w:ascii="楷体" w:eastAsia="楷体" w:hAnsi="楷体" w:cs="Times New Roman" w:hint="eastAsia"/>
                <w:b/>
                <w:bCs/>
                <w:szCs w:val="20"/>
              </w:rPr>
              <w:t>华南</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4,774.01</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22.51%</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100" w:firstLine="211"/>
              <w:jc w:val="left"/>
              <w:rPr>
                <w:rFonts w:ascii="楷体" w:eastAsia="楷体" w:hAnsi="楷体" w:cs="Times New Roman"/>
                <w:b/>
                <w:bCs/>
                <w:szCs w:val="20"/>
              </w:rPr>
            </w:pPr>
            <w:r w:rsidRPr="00A836CF">
              <w:rPr>
                <w:rFonts w:ascii="楷体" w:eastAsia="楷体" w:hAnsi="楷体" w:cs="Times New Roman" w:hint="eastAsia"/>
                <w:b/>
                <w:bCs/>
                <w:szCs w:val="20"/>
              </w:rPr>
              <w:t>其中：南宁</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hint="eastAsia"/>
                <w:b/>
                <w:bCs/>
                <w:szCs w:val="20"/>
              </w:rPr>
              <w:t xml:space="preserve">    903.14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4.26%</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400" w:firstLine="843"/>
              <w:jc w:val="left"/>
              <w:rPr>
                <w:rFonts w:ascii="楷体" w:eastAsia="楷体" w:hAnsi="楷体" w:cs="Times New Roman"/>
                <w:b/>
                <w:bCs/>
                <w:szCs w:val="20"/>
              </w:rPr>
            </w:pPr>
            <w:r w:rsidRPr="00A836CF">
              <w:rPr>
                <w:rFonts w:ascii="楷体" w:eastAsia="楷体" w:hAnsi="楷体" w:cs="Times New Roman" w:hint="eastAsia"/>
                <w:b/>
                <w:bCs/>
                <w:szCs w:val="20"/>
              </w:rPr>
              <w:t>广州</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hint="eastAsia"/>
                <w:b/>
                <w:bCs/>
                <w:szCs w:val="20"/>
              </w:rPr>
              <w:t xml:space="preserve">    883.14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4.16%</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rPr>
                <w:rFonts w:ascii="楷体" w:eastAsia="楷体" w:hAnsi="楷体" w:cs="Times New Roman"/>
                <w:b/>
                <w:bCs/>
                <w:szCs w:val="20"/>
              </w:rPr>
            </w:pPr>
            <w:r w:rsidRPr="00A836CF">
              <w:rPr>
                <w:rFonts w:ascii="楷体" w:eastAsia="楷体" w:hAnsi="楷体" w:cs="Times New Roman" w:hint="eastAsia"/>
                <w:b/>
                <w:bCs/>
                <w:szCs w:val="20"/>
              </w:rPr>
              <w:t>华北</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3,543.89</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16.71%</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100" w:firstLine="211"/>
              <w:jc w:val="left"/>
              <w:rPr>
                <w:rFonts w:ascii="楷体" w:eastAsia="楷体" w:hAnsi="楷体" w:cs="Times New Roman"/>
                <w:b/>
                <w:bCs/>
                <w:szCs w:val="20"/>
              </w:rPr>
            </w:pPr>
            <w:r w:rsidRPr="00A836CF">
              <w:rPr>
                <w:rFonts w:ascii="楷体" w:eastAsia="楷体" w:hAnsi="楷体" w:cs="Times New Roman" w:hint="eastAsia"/>
                <w:b/>
                <w:bCs/>
                <w:szCs w:val="20"/>
              </w:rPr>
              <w:t>其中：石家庄</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1,080.37</w:t>
            </w:r>
            <w:r w:rsidRPr="00A836CF">
              <w:rPr>
                <w:rFonts w:ascii="楷体" w:eastAsia="楷体" w:hAnsi="楷体" w:cs="Times New Roman" w:hint="eastAsia"/>
                <w:b/>
                <w:bCs/>
                <w:szCs w:val="20"/>
              </w:rPr>
              <w:t xml:space="preserve">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5.09%</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400" w:firstLine="843"/>
              <w:jc w:val="left"/>
              <w:rPr>
                <w:rFonts w:ascii="楷体" w:eastAsia="楷体" w:hAnsi="楷体" w:cs="Times New Roman"/>
                <w:b/>
                <w:bCs/>
                <w:szCs w:val="20"/>
              </w:rPr>
            </w:pPr>
            <w:r w:rsidRPr="00A836CF">
              <w:rPr>
                <w:rFonts w:ascii="楷体" w:eastAsia="楷体" w:hAnsi="楷体" w:cs="Times New Roman" w:hint="eastAsia"/>
                <w:b/>
                <w:bCs/>
                <w:szCs w:val="20"/>
              </w:rPr>
              <w:t>秦皇岛</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hint="eastAsia"/>
                <w:b/>
                <w:bCs/>
                <w:szCs w:val="20"/>
              </w:rPr>
              <w:t xml:space="preserve">    749.29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hint="eastAsia"/>
                <w:b/>
                <w:bCs/>
                <w:szCs w:val="20"/>
              </w:rPr>
              <w:t>3.</w:t>
            </w:r>
            <w:r w:rsidRPr="00A836CF">
              <w:rPr>
                <w:rFonts w:ascii="楷体" w:eastAsia="楷体" w:hAnsi="楷体" w:cs="Times New Roman"/>
                <w:b/>
                <w:bCs/>
                <w:szCs w:val="20"/>
              </w:rPr>
              <w:t>5</w:t>
            </w:r>
            <w:r w:rsidRPr="00A836CF">
              <w:rPr>
                <w:rFonts w:ascii="楷体" w:eastAsia="楷体" w:hAnsi="楷体" w:cs="Times New Roman" w:hint="eastAsia"/>
                <w:b/>
                <w:bCs/>
                <w:szCs w:val="20"/>
              </w:rPr>
              <w:t>3%</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jc w:val="left"/>
              <w:rPr>
                <w:rFonts w:ascii="楷体" w:eastAsia="楷体" w:hAnsi="楷体" w:cs="Times New Roman"/>
                <w:b/>
                <w:bCs/>
                <w:szCs w:val="20"/>
              </w:rPr>
            </w:pPr>
            <w:r w:rsidRPr="00A836CF">
              <w:rPr>
                <w:rFonts w:ascii="楷体" w:eastAsia="楷体" w:hAnsi="楷体" w:cs="Times New Roman" w:hint="eastAsia"/>
                <w:b/>
                <w:bCs/>
                <w:szCs w:val="20"/>
              </w:rPr>
              <w:t>华中</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 xml:space="preserve">3,006.90 </w:t>
            </w:r>
            <w:r w:rsidRPr="00A836CF">
              <w:rPr>
                <w:rFonts w:ascii="楷体" w:eastAsia="楷体" w:hAnsi="楷体" w:cs="Times New Roman" w:hint="eastAsia"/>
                <w:b/>
                <w:bCs/>
                <w:szCs w:val="20"/>
              </w:rPr>
              <w:t xml:space="preserve">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14.18%</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100" w:firstLine="211"/>
              <w:jc w:val="left"/>
              <w:rPr>
                <w:rFonts w:ascii="楷体" w:eastAsia="楷体" w:hAnsi="楷体" w:cs="Times New Roman"/>
                <w:b/>
                <w:bCs/>
                <w:szCs w:val="20"/>
              </w:rPr>
            </w:pPr>
            <w:r w:rsidRPr="00A836CF">
              <w:rPr>
                <w:rFonts w:ascii="楷体" w:eastAsia="楷体" w:hAnsi="楷体" w:cs="Times New Roman" w:hint="eastAsia"/>
                <w:b/>
                <w:bCs/>
                <w:szCs w:val="20"/>
              </w:rPr>
              <w:t>其中：武汉</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 xml:space="preserve">1,545.85 </w:t>
            </w:r>
            <w:r w:rsidRPr="00A836CF">
              <w:rPr>
                <w:rFonts w:ascii="楷体" w:eastAsia="楷体" w:hAnsi="楷体" w:cs="Times New Roman" w:hint="eastAsia"/>
                <w:b/>
                <w:bCs/>
                <w:szCs w:val="20"/>
              </w:rPr>
              <w:t xml:space="preserve">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7.29%</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400" w:firstLine="843"/>
              <w:jc w:val="left"/>
              <w:rPr>
                <w:rFonts w:ascii="楷体" w:eastAsia="楷体" w:hAnsi="楷体" w:cs="Times New Roman"/>
                <w:b/>
                <w:bCs/>
                <w:szCs w:val="20"/>
              </w:rPr>
            </w:pPr>
            <w:r w:rsidRPr="00A836CF">
              <w:rPr>
                <w:rFonts w:ascii="楷体" w:eastAsia="楷体" w:hAnsi="楷体" w:cs="Times New Roman" w:hint="eastAsia"/>
                <w:b/>
                <w:bCs/>
                <w:szCs w:val="20"/>
              </w:rPr>
              <w:t>郑州</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1,229.09</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5.80%</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jc w:val="left"/>
              <w:rPr>
                <w:rFonts w:ascii="楷体" w:eastAsia="楷体" w:hAnsi="楷体" w:cs="Times New Roman"/>
                <w:b/>
                <w:bCs/>
                <w:szCs w:val="20"/>
              </w:rPr>
            </w:pPr>
            <w:r w:rsidRPr="00A836CF">
              <w:rPr>
                <w:rFonts w:ascii="楷体" w:eastAsia="楷体" w:hAnsi="楷体" w:cs="Times New Roman" w:hint="eastAsia"/>
                <w:b/>
                <w:bCs/>
                <w:szCs w:val="20"/>
              </w:rPr>
              <w:t>西南</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 xml:space="preserve">2,298.88 </w:t>
            </w:r>
            <w:r w:rsidRPr="00A836CF">
              <w:rPr>
                <w:rFonts w:ascii="楷体" w:eastAsia="楷体" w:hAnsi="楷体" w:cs="Times New Roman" w:hint="eastAsia"/>
                <w:b/>
                <w:bCs/>
                <w:szCs w:val="20"/>
              </w:rPr>
              <w:t xml:space="preserve">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10.84%</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100" w:firstLine="211"/>
              <w:jc w:val="left"/>
              <w:rPr>
                <w:rFonts w:ascii="楷体" w:eastAsia="楷体" w:hAnsi="楷体" w:cs="Times New Roman"/>
                <w:b/>
                <w:bCs/>
                <w:szCs w:val="20"/>
              </w:rPr>
            </w:pPr>
            <w:r w:rsidRPr="00A836CF">
              <w:rPr>
                <w:rFonts w:ascii="楷体" w:eastAsia="楷体" w:hAnsi="楷体" w:cs="Times New Roman" w:hint="eastAsia"/>
                <w:b/>
                <w:bCs/>
                <w:szCs w:val="20"/>
              </w:rPr>
              <w:t>其中：成都</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1,486.39</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7.01%</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400" w:firstLine="843"/>
              <w:jc w:val="left"/>
              <w:rPr>
                <w:rFonts w:ascii="楷体" w:eastAsia="楷体" w:hAnsi="楷体" w:cs="Times New Roman"/>
                <w:b/>
                <w:bCs/>
                <w:szCs w:val="20"/>
              </w:rPr>
            </w:pPr>
            <w:r w:rsidRPr="00A836CF">
              <w:rPr>
                <w:rFonts w:ascii="楷体" w:eastAsia="楷体" w:hAnsi="楷体" w:cs="Times New Roman" w:hint="eastAsia"/>
                <w:b/>
                <w:bCs/>
                <w:szCs w:val="20"/>
              </w:rPr>
              <w:t>贵阳</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391.17</w:t>
            </w:r>
            <w:r w:rsidRPr="00A836CF">
              <w:rPr>
                <w:rFonts w:ascii="楷体" w:eastAsia="楷体" w:hAnsi="楷体" w:cs="Times New Roman" w:hint="eastAsia"/>
                <w:b/>
                <w:bCs/>
                <w:szCs w:val="20"/>
              </w:rPr>
              <w:t xml:space="preserve">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1.84%</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jc w:val="left"/>
              <w:rPr>
                <w:rFonts w:ascii="楷体" w:eastAsia="楷体" w:hAnsi="楷体" w:cs="Times New Roman"/>
                <w:b/>
                <w:bCs/>
                <w:szCs w:val="20"/>
              </w:rPr>
            </w:pPr>
            <w:r w:rsidRPr="00A836CF">
              <w:rPr>
                <w:rFonts w:ascii="楷体" w:eastAsia="楷体" w:hAnsi="楷体" w:cs="Times New Roman" w:hint="eastAsia"/>
                <w:b/>
                <w:bCs/>
                <w:szCs w:val="20"/>
              </w:rPr>
              <w:t>其他</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1,498.16</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7.06%</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100" w:firstLine="211"/>
              <w:jc w:val="left"/>
              <w:rPr>
                <w:rFonts w:ascii="楷体" w:eastAsia="楷体" w:hAnsi="楷体" w:cs="Times New Roman"/>
                <w:b/>
                <w:bCs/>
                <w:szCs w:val="20"/>
              </w:rPr>
            </w:pPr>
            <w:r w:rsidRPr="00A836CF">
              <w:rPr>
                <w:rFonts w:ascii="楷体" w:eastAsia="楷体" w:hAnsi="楷体" w:cs="Times New Roman" w:hint="eastAsia"/>
                <w:b/>
                <w:bCs/>
                <w:szCs w:val="20"/>
              </w:rPr>
              <w:t>其中：沈阳</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468.24</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2.21%</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ind w:firstLineChars="400" w:firstLine="843"/>
              <w:jc w:val="left"/>
              <w:rPr>
                <w:rFonts w:ascii="楷体" w:eastAsia="楷体" w:hAnsi="楷体" w:cs="Times New Roman"/>
                <w:b/>
                <w:bCs/>
                <w:szCs w:val="20"/>
              </w:rPr>
            </w:pPr>
            <w:r w:rsidRPr="00A836CF">
              <w:rPr>
                <w:rFonts w:ascii="楷体" w:eastAsia="楷体" w:hAnsi="楷体" w:cs="Times New Roman" w:hint="eastAsia"/>
                <w:b/>
                <w:bCs/>
                <w:szCs w:val="20"/>
              </w:rPr>
              <w:t>长春</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419.48</w:t>
            </w:r>
            <w:r w:rsidRPr="00A836CF">
              <w:rPr>
                <w:rFonts w:ascii="楷体" w:eastAsia="楷体" w:hAnsi="楷体" w:cs="Times New Roman" w:hint="eastAsia"/>
                <w:b/>
                <w:bCs/>
                <w:szCs w:val="20"/>
              </w:rPr>
              <w:t xml:space="preserve"> </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1.98%</w:t>
            </w:r>
          </w:p>
        </w:tc>
      </w:tr>
      <w:tr w:rsidR="00A836CF" w:rsidRPr="00A836CF" w:rsidTr="004008ED">
        <w:trPr>
          <w:trHeight w:val="397"/>
          <w:jc w:val="center"/>
        </w:trPr>
        <w:tc>
          <w:tcPr>
            <w:tcW w:w="1824" w:type="pct"/>
            <w:shd w:val="clear" w:color="auto" w:fill="auto"/>
            <w:noWrap/>
            <w:vAlign w:val="center"/>
          </w:tcPr>
          <w:p w:rsidR="00A836CF" w:rsidRPr="00A836CF" w:rsidRDefault="00A836CF" w:rsidP="00A836CF">
            <w:pPr>
              <w:jc w:val="center"/>
              <w:rPr>
                <w:rFonts w:ascii="楷体" w:eastAsia="楷体" w:hAnsi="楷体" w:cs="Times New Roman"/>
                <w:b/>
                <w:bCs/>
                <w:szCs w:val="20"/>
              </w:rPr>
            </w:pPr>
            <w:r w:rsidRPr="00A836CF">
              <w:rPr>
                <w:rFonts w:ascii="楷体" w:eastAsia="楷体" w:hAnsi="楷体" w:cs="Times New Roman" w:hint="eastAsia"/>
                <w:b/>
                <w:bCs/>
                <w:szCs w:val="20"/>
              </w:rPr>
              <w:t>总计</w:t>
            </w:r>
          </w:p>
        </w:tc>
        <w:tc>
          <w:tcPr>
            <w:tcW w:w="2049"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b/>
                <w:bCs/>
                <w:szCs w:val="20"/>
              </w:rPr>
              <w:t>21,206.60</w:t>
            </w:r>
          </w:p>
        </w:tc>
        <w:tc>
          <w:tcPr>
            <w:tcW w:w="1128" w:type="pct"/>
            <w:shd w:val="clear" w:color="auto" w:fill="auto"/>
            <w:noWrap/>
            <w:vAlign w:val="center"/>
          </w:tcPr>
          <w:p w:rsidR="00A836CF" w:rsidRPr="00A836CF" w:rsidRDefault="00A836CF" w:rsidP="00A836CF">
            <w:pPr>
              <w:jc w:val="right"/>
              <w:rPr>
                <w:rFonts w:ascii="楷体" w:eastAsia="楷体" w:hAnsi="楷体" w:cs="Times New Roman"/>
                <w:b/>
                <w:bCs/>
                <w:szCs w:val="20"/>
              </w:rPr>
            </w:pPr>
            <w:r w:rsidRPr="00A836CF">
              <w:rPr>
                <w:rFonts w:ascii="楷体" w:eastAsia="楷体" w:hAnsi="楷体" w:cs="Times New Roman" w:hint="eastAsia"/>
                <w:b/>
                <w:bCs/>
                <w:szCs w:val="20"/>
              </w:rPr>
              <w:t>100.00%</w:t>
            </w:r>
          </w:p>
        </w:tc>
      </w:tr>
    </w:tbl>
    <w:p w:rsidR="00A836CF" w:rsidRPr="00A836CF" w:rsidRDefault="00A836CF" w:rsidP="00A836CF">
      <w:pPr>
        <w:spacing w:beforeLines="50" w:before="156" w:line="360" w:lineRule="auto"/>
        <w:ind w:firstLineChars="200" w:firstLine="480"/>
        <w:jc w:val="left"/>
        <w:rPr>
          <w:rFonts w:ascii="Times New Roman" w:eastAsia="宋体" w:hAnsi="Times New Roman" w:cs="Times New Roman"/>
          <w:szCs w:val="21"/>
        </w:rPr>
      </w:pPr>
      <w:r w:rsidRPr="00A836CF">
        <w:rPr>
          <w:rFonts w:ascii="Times New Roman" w:eastAsia="宋体" w:hAnsi="Times New Roman" w:cs="Times New Roman"/>
          <w:color w:val="000000"/>
          <w:kern w:val="0"/>
          <w:sz w:val="24"/>
          <w:szCs w:val="24"/>
          <w:lang w:bidi="en-US"/>
        </w:rPr>
        <w:t>从在手订单区域分布情况来看，主要分布在华东、华南、华北区域，在各区域及城市之间分布较为广泛。</w:t>
      </w:r>
    </w:p>
    <w:p w:rsidR="00776F91" w:rsidRDefault="00776F91" w:rsidP="00E449CC">
      <w:pPr>
        <w:pStyle w:val="a6"/>
        <w:spacing w:before="156" w:after="156"/>
      </w:pPr>
      <w:r>
        <w:rPr>
          <w:rFonts w:hint="eastAsia"/>
        </w:rPr>
        <w:t>（二）</w:t>
      </w:r>
      <w:r w:rsidR="00D63A86" w:rsidRPr="00D63A86">
        <w:t>结合在手订单、业务拓展计划等因素，补充披露未来</w:t>
      </w:r>
      <w:proofErr w:type="gramStart"/>
      <w:r w:rsidR="00D63A86" w:rsidRPr="00D63A86">
        <w:t>对保利</w:t>
      </w:r>
      <w:proofErr w:type="gramEnd"/>
      <w:r w:rsidR="00D63A86" w:rsidRPr="00D63A86">
        <w:t>和其他客户的收入预计实现及占比情况，客观、充分披露发行人客户集中度较高特别是第一大客户占比高的风险，并做重大风险提示</w:t>
      </w:r>
    </w:p>
    <w:p w:rsidR="007B3E41" w:rsidRPr="007B3E41" w:rsidRDefault="007B3E41" w:rsidP="002E712E">
      <w:pPr>
        <w:pStyle w:val="11"/>
        <w:spacing w:before="156" w:after="156"/>
        <w:ind w:firstLine="482"/>
        <w:rPr>
          <w:rFonts w:cs="Times New Roman"/>
          <w:b/>
          <w:bCs/>
          <w:color w:val="000000"/>
          <w:lang w:bidi="en-US"/>
        </w:rPr>
      </w:pPr>
      <w:r w:rsidRPr="007B3E41">
        <w:rPr>
          <w:rFonts w:cs="Times New Roman" w:hint="eastAsia"/>
          <w:b/>
          <w:bCs/>
          <w:color w:val="000000"/>
          <w:lang w:bidi="en-US"/>
        </w:rPr>
        <w:lastRenderedPageBreak/>
        <w:t>1</w:t>
      </w:r>
      <w:r w:rsidRPr="007B3E41">
        <w:rPr>
          <w:rFonts w:cs="Times New Roman" w:hint="eastAsia"/>
          <w:b/>
          <w:bCs/>
          <w:color w:val="000000"/>
          <w:lang w:bidi="en-US"/>
        </w:rPr>
        <w:t>、</w:t>
      </w:r>
      <w:r w:rsidRPr="007B3E41">
        <w:rPr>
          <w:b/>
          <w:bCs/>
        </w:rPr>
        <w:t>结合在手订单、业务拓展计划等因素，补充披露未来对保利和其他客户的收入预计实现及占比情况</w:t>
      </w:r>
    </w:p>
    <w:p w:rsidR="002E712E" w:rsidRDefault="002E712E" w:rsidP="002E712E">
      <w:pPr>
        <w:pStyle w:val="11"/>
        <w:spacing w:before="156" w:after="156"/>
        <w:rPr>
          <w:rFonts w:cs="Times New Roman"/>
          <w:color w:val="000000"/>
          <w:lang w:bidi="en-US"/>
        </w:rPr>
      </w:pPr>
      <w:r w:rsidRPr="00F0234C">
        <w:rPr>
          <w:rFonts w:cs="Times New Roman" w:hint="eastAsia"/>
          <w:color w:val="000000"/>
          <w:lang w:bidi="en-US"/>
        </w:rPr>
        <w:t>发行人已在招股说明书“第六节</w:t>
      </w:r>
      <w:r w:rsidRPr="00F0234C">
        <w:rPr>
          <w:rFonts w:cs="Times New Roman"/>
          <w:color w:val="000000"/>
          <w:lang w:bidi="en-US"/>
        </w:rPr>
        <w:t xml:space="preserve"> </w:t>
      </w:r>
      <w:r w:rsidRPr="00F0234C">
        <w:rPr>
          <w:rFonts w:cs="Times New Roman" w:hint="eastAsia"/>
          <w:color w:val="000000"/>
          <w:lang w:bidi="en-US"/>
        </w:rPr>
        <w:t>业务与技术”之“三、发行人的销售情况和主要客户”之“（二）发行人的主要客户”补充披露如下：</w:t>
      </w:r>
    </w:p>
    <w:p w:rsidR="00776F91" w:rsidRPr="00566CF7" w:rsidRDefault="007B3E41" w:rsidP="00E449CC">
      <w:pPr>
        <w:pStyle w:val="a7"/>
        <w:spacing w:before="156" w:after="156"/>
        <w:ind w:firstLine="480"/>
        <w:rPr>
          <w:rFonts w:ascii="Times New Roman" w:eastAsia="宋体" w:hAnsi="Times New Roman"/>
          <w:b w:val="0"/>
          <w:bCs w:val="0"/>
        </w:rPr>
      </w:pPr>
      <w:bookmarkStart w:id="4" w:name="_Hlk58849473"/>
      <w:r w:rsidRPr="00566CF7">
        <w:rPr>
          <w:rFonts w:ascii="Times New Roman" w:eastAsia="宋体" w:hAnsi="Times New Roman"/>
          <w:b w:val="0"/>
          <w:bCs w:val="0"/>
        </w:rPr>
        <w:t>预计</w:t>
      </w:r>
      <w:r w:rsidRPr="00566CF7">
        <w:rPr>
          <w:rFonts w:ascii="Times New Roman" w:eastAsia="宋体" w:hAnsi="Times New Roman"/>
          <w:b w:val="0"/>
          <w:bCs w:val="0"/>
        </w:rPr>
        <w:t>2021</w:t>
      </w:r>
      <w:r w:rsidRPr="00566CF7">
        <w:rPr>
          <w:rFonts w:ascii="Times New Roman" w:eastAsia="宋体" w:hAnsi="Times New Roman"/>
          <w:b w:val="0"/>
          <w:bCs w:val="0"/>
        </w:rPr>
        <w:t>年及后续年度，公司营业收入将呈现逐年稳定增长的态势，并随着公司经营规模的持续扩大、非保利客户</w:t>
      </w:r>
      <w:proofErr w:type="gramStart"/>
      <w:r w:rsidRPr="00566CF7">
        <w:rPr>
          <w:rFonts w:ascii="Times New Roman" w:eastAsia="宋体" w:hAnsi="Times New Roman"/>
          <w:b w:val="0"/>
          <w:bCs w:val="0"/>
        </w:rPr>
        <w:t>拓展成效</w:t>
      </w:r>
      <w:proofErr w:type="gramEnd"/>
      <w:r w:rsidRPr="00566CF7">
        <w:rPr>
          <w:rFonts w:ascii="Times New Roman" w:eastAsia="宋体" w:hAnsi="Times New Roman"/>
          <w:b w:val="0"/>
          <w:bCs w:val="0"/>
        </w:rPr>
        <w:t>的逐步显现，</w:t>
      </w:r>
      <w:proofErr w:type="gramStart"/>
      <w:r w:rsidRPr="00566CF7">
        <w:rPr>
          <w:rFonts w:ascii="Times New Roman" w:eastAsia="宋体" w:hAnsi="Times New Roman"/>
          <w:b w:val="0"/>
          <w:bCs w:val="0"/>
        </w:rPr>
        <w:t>对保利</w:t>
      </w:r>
      <w:proofErr w:type="gramEnd"/>
      <w:r w:rsidRPr="00566CF7">
        <w:rPr>
          <w:rFonts w:ascii="Times New Roman" w:eastAsia="宋体" w:hAnsi="Times New Roman"/>
          <w:b w:val="0"/>
          <w:bCs w:val="0"/>
        </w:rPr>
        <w:t>的收入占比将</w:t>
      </w:r>
      <w:r w:rsidR="00CF6995" w:rsidRPr="00566CF7">
        <w:rPr>
          <w:rFonts w:ascii="Times New Roman" w:eastAsia="宋体" w:hAnsi="Times New Roman"/>
          <w:b w:val="0"/>
          <w:bCs w:val="0"/>
        </w:rPr>
        <w:t>有望</w:t>
      </w:r>
      <w:r w:rsidR="008B09E1" w:rsidRPr="00566CF7">
        <w:rPr>
          <w:rFonts w:ascii="Times New Roman" w:eastAsia="宋体" w:hAnsi="Times New Roman"/>
          <w:b w:val="0"/>
          <w:bCs w:val="0"/>
        </w:rPr>
        <w:t>降低</w:t>
      </w:r>
      <w:r w:rsidR="00CF6995" w:rsidRPr="00566CF7">
        <w:rPr>
          <w:rFonts w:ascii="Times New Roman" w:eastAsia="宋体" w:hAnsi="Times New Roman"/>
          <w:b w:val="0"/>
          <w:bCs w:val="0"/>
        </w:rPr>
        <w:t>、对非保利的收入占比将有望提升</w:t>
      </w:r>
      <w:r w:rsidR="008B09E1" w:rsidRPr="00566CF7">
        <w:rPr>
          <w:rFonts w:ascii="Times New Roman" w:eastAsia="宋体" w:hAnsi="Times New Roman"/>
          <w:b w:val="0"/>
          <w:bCs w:val="0"/>
        </w:rPr>
        <w:t>。</w:t>
      </w:r>
      <w:bookmarkEnd w:id="4"/>
    </w:p>
    <w:p w:rsidR="002E712E" w:rsidRDefault="007B3E41" w:rsidP="00E449CC">
      <w:pPr>
        <w:pStyle w:val="a7"/>
        <w:spacing w:before="156" w:after="156"/>
        <w:rPr>
          <w:rFonts w:ascii="Times New Roman" w:eastAsia="宋体" w:hAnsi="Times New Roman"/>
        </w:rPr>
      </w:pPr>
      <w:r w:rsidRPr="007B3E41">
        <w:rPr>
          <w:rFonts w:ascii="Times New Roman" w:eastAsia="宋体" w:hAnsi="Times New Roman"/>
        </w:rPr>
        <w:t>2</w:t>
      </w:r>
      <w:r w:rsidRPr="007B3E41">
        <w:rPr>
          <w:rFonts w:ascii="Times New Roman" w:eastAsia="宋体" w:hAnsi="Times New Roman"/>
        </w:rPr>
        <w:t>、客观、充分披露发行人客户集中度较高特别是第一大客户占比高的风险，并做重大风险提示</w:t>
      </w:r>
    </w:p>
    <w:p w:rsidR="007B3E41" w:rsidRDefault="007B3E41" w:rsidP="00E449CC">
      <w:pPr>
        <w:pStyle w:val="a7"/>
        <w:spacing w:before="156" w:after="156"/>
        <w:ind w:firstLine="480"/>
        <w:rPr>
          <w:rFonts w:ascii="Times New Roman" w:eastAsia="宋体" w:hAnsi="Times New Roman"/>
          <w:b w:val="0"/>
          <w:bCs w:val="0"/>
        </w:rPr>
      </w:pPr>
      <w:r w:rsidRPr="007B3E41">
        <w:rPr>
          <w:rFonts w:ascii="Times New Roman" w:eastAsia="宋体" w:hAnsi="Times New Roman" w:hint="eastAsia"/>
          <w:b w:val="0"/>
          <w:bCs w:val="0"/>
        </w:rPr>
        <w:t>发行人已在招股说明书“第四节</w:t>
      </w:r>
      <w:r w:rsidRPr="007B3E41">
        <w:rPr>
          <w:rFonts w:ascii="Times New Roman" w:eastAsia="宋体" w:hAnsi="Times New Roman"/>
          <w:b w:val="0"/>
          <w:bCs w:val="0"/>
        </w:rPr>
        <w:t xml:space="preserve"> </w:t>
      </w:r>
      <w:r w:rsidRPr="007B3E41">
        <w:rPr>
          <w:rFonts w:ascii="Times New Roman" w:eastAsia="宋体" w:hAnsi="Times New Roman"/>
          <w:b w:val="0"/>
          <w:bCs w:val="0"/>
        </w:rPr>
        <w:t>风险因素</w:t>
      </w:r>
      <w:r w:rsidRPr="007B3E41">
        <w:rPr>
          <w:rFonts w:ascii="Times New Roman" w:eastAsia="宋体" w:hAnsi="Times New Roman"/>
          <w:b w:val="0"/>
          <w:bCs w:val="0"/>
        </w:rPr>
        <w:t>”</w:t>
      </w:r>
      <w:r w:rsidRPr="007B3E41">
        <w:rPr>
          <w:rFonts w:ascii="Times New Roman" w:eastAsia="宋体" w:hAnsi="Times New Roman"/>
          <w:b w:val="0"/>
          <w:bCs w:val="0"/>
        </w:rPr>
        <w:t>之</w:t>
      </w:r>
      <w:r w:rsidRPr="007B3E41">
        <w:rPr>
          <w:rFonts w:ascii="Times New Roman" w:eastAsia="宋体" w:hAnsi="Times New Roman"/>
          <w:b w:val="0"/>
          <w:bCs w:val="0"/>
        </w:rPr>
        <w:t>“</w:t>
      </w:r>
      <w:r w:rsidRPr="007B3E41">
        <w:rPr>
          <w:rFonts w:ascii="Times New Roman" w:eastAsia="宋体" w:hAnsi="Times New Roman"/>
          <w:b w:val="0"/>
          <w:bCs w:val="0"/>
        </w:rPr>
        <w:t>三、经营风险</w:t>
      </w:r>
      <w:r w:rsidRPr="007B3E41">
        <w:rPr>
          <w:rFonts w:ascii="Times New Roman" w:eastAsia="宋体" w:hAnsi="Times New Roman"/>
          <w:b w:val="0"/>
          <w:bCs w:val="0"/>
        </w:rPr>
        <w:t>”</w:t>
      </w:r>
      <w:r w:rsidRPr="007B3E41">
        <w:rPr>
          <w:rFonts w:ascii="Times New Roman" w:eastAsia="宋体" w:hAnsi="Times New Roman"/>
          <w:b w:val="0"/>
          <w:bCs w:val="0"/>
        </w:rPr>
        <w:t>之</w:t>
      </w:r>
      <w:r w:rsidRPr="007B3E41">
        <w:rPr>
          <w:rFonts w:ascii="Times New Roman" w:eastAsia="宋体" w:hAnsi="Times New Roman"/>
          <w:b w:val="0"/>
          <w:bCs w:val="0"/>
        </w:rPr>
        <w:t>“</w:t>
      </w:r>
      <w:r w:rsidRPr="007B3E41">
        <w:rPr>
          <w:rFonts w:ascii="Times New Roman" w:eastAsia="宋体" w:hAnsi="Times New Roman" w:hint="eastAsia"/>
          <w:b w:val="0"/>
          <w:bCs w:val="0"/>
        </w:rPr>
        <w:t>（一）客户较为集中的风险</w:t>
      </w:r>
      <w:r w:rsidRPr="007B3E41">
        <w:rPr>
          <w:rFonts w:ascii="Times New Roman" w:eastAsia="宋体" w:hAnsi="Times New Roman"/>
          <w:b w:val="0"/>
          <w:bCs w:val="0"/>
        </w:rPr>
        <w:t>”</w:t>
      </w:r>
      <w:r w:rsidRPr="007B3E41">
        <w:rPr>
          <w:rFonts w:ascii="Times New Roman" w:eastAsia="宋体" w:hAnsi="Times New Roman"/>
          <w:b w:val="0"/>
          <w:bCs w:val="0"/>
        </w:rPr>
        <w:t>以及</w:t>
      </w:r>
      <w:r w:rsidRPr="007B3E41">
        <w:rPr>
          <w:rFonts w:ascii="Times New Roman" w:eastAsia="宋体" w:hAnsi="Times New Roman"/>
          <w:b w:val="0"/>
          <w:bCs w:val="0"/>
        </w:rPr>
        <w:t>“</w:t>
      </w:r>
      <w:r w:rsidRPr="007B3E41">
        <w:rPr>
          <w:rFonts w:ascii="Times New Roman" w:eastAsia="宋体" w:hAnsi="Times New Roman"/>
          <w:b w:val="0"/>
          <w:bCs w:val="0"/>
        </w:rPr>
        <w:t>重大事项提示</w:t>
      </w:r>
      <w:r w:rsidRPr="007B3E41">
        <w:rPr>
          <w:rFonts w:ascii="Times New Roman" w:eastAsia="宋体" w:hAnsi="Times New Roman"/>
          <w:b w:val="0"/>
          <w:bCs w:val="0"/>
        </w:rPr>
        <w:t>”</w:t>
      </w:r>
      <w:r w:rsidRPr="007B3E41">
        <w:rPr>
          <w:rFonts w:ascii="Times New Roman" w:eastAsia="宋体" w:hAnsi="Times New Roman"/>
          <w:b w:val="0"/>
          <w:bCs w:val="0"/>
        </w:rPr>
        <w:t>之</w:t>
      </w:r>
      <w:r w:rsidRPr="007B3E41">
        <w:rPr>
          <w:rFonts w:ascii="Times New Roman" w:eastAsia="宋体" w:hAnsi="Times New Roman"/>
          <w:b w:val="0"/>
          <w:bCs w:val="0"/>
        </w:rPr>
        <w:t>“</w:t>
      </w:r>
      <w:r w:rsidRPr="007B3E41">
        <w:rPr>
          <w:rFonts w:ascii="Times New Roman" w:eastAsia="宋体" w:hAnsi="Times New Roman"/>
          <w:b w:val="0"/>
          <w:bCs w:val="0"/>
        </w:rPr>
        <w:t>三、风险提示</w:t>
      </w:r>
      <w:r w:rsidRPr="007B3E41">
        <w:rPr>
          <w:rFonts w:ascii="Times New Roman" w:eastAsia="宋体" w:hAnsi="Times New Roman"/>
          <w:b w:val="0"/>
          <w:bCs w:val="0"/>
        </w:rPr>
        <w:t>”</w:t>
      </w:r>
      <w:r w:rsidRPr="007B3E41">
        <w:rPr>
          <w:rFonts w:ascii="Times New Roman" w:eastAsia="宋体" w:hAnsi="Times New Roman"/>
          <w:b w:val="0"/>
          <w:bCs w:val="0"/>
        </w:rPr>
        <w:t>补充披露如下：</w:t>
      </w:r>
    </w:p>
    <w:p w:rsidR="007B3E41" w:rsidRPr="00566CF7" w:rsidRDefault="007B3E41" w:rsidP="00E449CC">
      <w:pPr>
        <w:pStyle w:val="a7"/>
        <w:spacing w:before="156" w:after="156"/>
        <w:ind w:firstLine="480"/>
        <w:rPr>
          <w:rFonts w:ascii="Times New Roman" w:eastAsia="宋体" w:hAnsi="Times New Roman"/>
          <w:b w:val="0"/>
          <w:bCs w:val="0"/>
          <w:u w:color="000000"/>
        </w:rPr>
      </w:pPr>
      <w:r w:rsidRPr="00566CF7">
        <w:rPr>
          <w:rFonts w:ascii="Times New Roman" w:eastAsia="宋体" w:hAnsi="Times New Roman"/>
          <w:b w:val="0"/>
          <w:bCs w:val="0"/>
          <w:u w:color="000000"/>
        </w:rPr>
        <w:t>（一）客户集中度较高特别是第一大客户占比高的风险</w:t>
      </w:r>
    </w:p>
    <w:p w:rsidR="007B3E41" w:rsidRPr="00566CF7" w:rsidRDefault="00566CF7" w:rsidP="00E449CC">
      <w:pPr>
        <w:pStyle w:val="a7"/>
        <w:spacing w:before="156" w:after="156"/>
        <w:ind w:firstLine="480"/>
        <w:rPr>
          <w:rFonts w:ascii="Times New Roman" w:eastAsia="宋体" w:hAnsi="Times New Roman"/>
          <w:b w:val="0"/>
          <w:bCs w:val="0"/>
          <w:u w:color="000000"/>
        </w:rPr>
      </w:pPr>
      <w:r w:rsidRPr="00566CF7">
        <w:rPr>
          <w:rFonts w:ascii="Times New Roman" w:eastAsia="宋体" w:hAnsi="Times New Roman" w:hint="eastAsia"/>
          <w:b w:val="0"/>
          <w:bCs w:val="0"/>
          <w:u w:color="000000"/>
        </w:rPr>
        <w:t>报告期各期，公司前五名客户销售占比分别为</w:t>
      </w:r>
      <w:r w:rsidRPr="00566CF7">
        <w:rPr>
          <w:rFonts w:ascii="Times New Roman" w:eastAsia="宋体" w:hAnsi="Times New Roman"/>
          <w:b w:val="0"/>
          <w:bCs w:val="0"/>
          <w:u w:color="000000"/>
        </w:rPr>
        <w:t>61.06%</w:t>
      </w:r>
      <w:r w:rsidRPr="00566CF7">
        <w:rPr>
          <w:rFonts w:ascii="Times New Roman" w:eastAsia="宋体" w:hAnsi="Times New Roman"/>
          <w:b w:val="0"/>
          <w:bCs w:val="0"/>
          <w:u w:color="000000"/>
        </w:rPr>
        <w:t>、</w:t>
      </w:r>
      <w:r w:rsidRPr="00566CF7">
        <w:rPr>
          <w:rFonts w:ascii="Times New Roman" w:eastAsia="宋体" w:hAnsi="Times New Roman"/>
          <w:b w:val="0"/>
          <w:bCs w:val="0"/>
          <w:u w:color="000000"/>
        </w:rPr>
        <w:t>65.58%</w:t>
      </w:r>
      <w:r w:rsidRPr="00566CF7">
        <w:rPr>
          <w:rFonts w:ascii="Times New Roman" w:eastAsia="宋体" w:hAnsi="Times New Roman"/>
          <w:b w:val="0"/>
          <w:bCs w:val="0"/>
          <w:u w:color="000000"/>
        </w:rPr>
        <w:t>、</w:t>
      </w:r>
      <w:r w:rsidRPr="00566CF7">
        <w:rPr>
          <w:u w:color="000000"/>
        </w:rPr>
        <w:t>62.49%</w:t>
      </w:r>
      <w:r w:rsidRPr="00566CF7">
        <w:rPr>
          <w:rFonts w:ascii="Times New Roman" w:eastAsia="宋体" w:hAnsi="Times New Roman"/>
          <w:b w:val="0"/>
          <w:bCs w:val="0"/>
          <w:u w:color="000000"/>
        </w:rPr>
        <w:t>，其中，</w:t>
      </w:r>
      <w:proofErr w:type="gramStart"/>
      <w:r w:rsidRPr="00566CF7">
        <w:rPr>
          <w:rFonts w:ascii="Times New Roman" w:eastAsia="宋体" w:hAnsi="Times New Roman"/>
          <w:b w:val="0"/>
          <w:bCs w:val="0"/>
          <w:u w:color="000000"/>
        </w:rPr>
        <w:t>对保利</w:t>
      </w:r>
      <w:proofErr w:type="gramEnd"/>
      <w:r w:rsidRPr="00566CF7">
        <w:rPr>
          <w:rFonts w:ascii="Times New Roman" w:eastAsia="宋体" w:hAnsi="Times New Roman"/>
          <w:b w:val="0"/>
          <w:bCs w:val="0"/>
          <w:u w:color="000000"/>
        </w:rPr>
        <w:t>的收入占比分别为</w:t>
      </w:r>
      <w:r w:rsidRPr="00566CF7">
        <w:rPr>
          <w:rFonts w:ascii="Times New Roman" w:eastAsia="宋体" w:hAnsi="Times New Roman"/>
          <w:b w:val="0"/>
          <w:bCs w:val="0"/>
          <w:u w:color="000000"/>
        </w:rPr>
        <w:t>42.20%</w:t>
      </w:r>
      <w:r w:rsidRPr="00566CF7">
        <w:rPr>
          <w:rFonts w:ascii="Times New Roman" w:eastAsia="宋体" w:hAnsi="Times New Roman"/>
          <w:b w:val="0"/>
          <w:bCs w:val="0"/>
          <w:u w:color="000000"/>
        </w:rPr>
        <w:t>、</w:t>
      </w:r>
      <w:r w:rsidRPr="00566CF7">
        <w:rPr>
          <w:rFonts w:ascii="Times New Roman" w:eastAsia="宋体" w:hAnsi="Times New Roman"/>
          <w:b w:val="0"/>
          <w:bCs w:val="0"/>
          <w:u w:color="000000"/>
        </w:rPr>
        <w:t>46.01%</w:t>
      </w:r>
      <w:r w:rsidRPr="00566CF7">
        <w:rPr>
          <w:rFonts w:ascii="Times New Roman" w:eastAsia="宋体" w:hAnsi="Times New Roman"/>
          <w:b w:val="0"/>
          <w:bCs w:val="0"/>
          <w:u w:color="000000"/>
        </w:rPr>
        <w:t>、</w:t>
      </w:r>
      <w:r w:rsidRPr="00566CF7">
        <w:rPr>
          <w:u w:color="000000"/>
        </w:rPr>
        <w:t>51.95%</w:t>
      </w:r>
      <w:r w:rsidRPr="00566CF7">
        <w:rPr>
          <w:rFonts w:ascii="Times New Roman" w:eastAsia="宋体" w:hAnsi="Times New Roman"/>
          <w:b w:val="0"/>
          <w:bCs w:val="0"/>
          <w:u w:color="000000"/>
        </w:rPr>
        <w:t>，</w:t>
      </w:r>
      <w:proofErr w:type="gramStart"/>
      <w:r w:rsidRPr="00566CF7">
        <w:rPr>
          <w:rFonts w:ascii="Times New Roman" w:eastAsia="宋体" w:hAnsi="Times New Roman"/>
          <w:b w:val="0"/>
          <w:bCs w:val="0"/>
          <w:u w:color="000000"/>
        </w:rPr>
        <w:t>占比较</w:t>
      </w:r>
      <w:proofErr w:type="gramEnd"/>
      <w:r w:rsidRPr="00566CF7">
        <w:rPr>
          <w:rFonts w:ascii="Times New Roman" w:eastAsia="宋体" w:hAnsi="Times New Roman"/>
          <w:b w:val="0"/>
          <w:bCs w:val="0"/>
          <w:u w:color="000000"/>
        </w:rPr>
        <w:t>高。</w:t>
      </w:r>
      <w:r w:rsidR="007B3E41" w:rsidRPr="00566CF7">
        <w:rPr>
          <w:rFonts w:ascii="Times New Roman" w:eastAsia="宋体" w:hAnsi="Times New Roman"/>
          <w:b w:val="0"/>
          <w:bCs w:val="0"/>
          <w:u w:color="000000"/>
        </w:rPr>
        <w:t>报告期各期，公司的业务收入呈现出前五名客户集中度高、特别是第一大客户占比高的情形，存在一定的客户集中风险。报告期内，公司</w:t>
      </w:r>
      <w:proofErr w:type="gramStart"/>
      <w:r w:rsidR="007B3E41" w:rsidRPr="00566CF7">
        <w:rPr>
          <w:rFonts w:ascii="Times New Roman" w:eastAsia="宋体" w:hAnsi="Times New Roman"/>
          <w:b w:val="0"/>
          <w:bCs w:val="0"/>
          <w:u w:color="000000"/>
        </w:rPr>
        <w:t>对保利</w:t>
      </w:r>
      <w:proofErr w:type="gramEnd"/>
      <w:r w:rsidR="007B3E41" w:rsidRPr="00566CF7">
        <w:rPr>
          <w:rFonts w:ascii="Times New Roman" w:eastAsia="宋体" w:hAnsi="Times New Roman"/>
          <w:b w:val="0"/>
          <w:bCs w:val="0"/>
          <w:u w:color="000000"/>
        </w:rPr>
        <w:t>的业务主要集中在华东、华南区域，若未来公司未能持续保持与保利的业务合作关系，将对公司经营业绩构成不利影响。</w:t>
      </w:r>
    </w:p>
    <w:p w:rsidR="007B3E41" w:rsidRPr="00566CF7" w:rsidRDefault="007B3E4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u w:color="000000"/>
        </w:rPr>
        <w:t>未来，如果公司的技术服务能力无法持续满足下游客户需求，并最终导致双方合作关系终止，或者下游主要客户的经营状况或业务结构发生重大不利变化，使得公司不能继续维持与下游客户的良好合作关系，短期内将影响公司合同订单情况，则将对公司的盈利水平产生一定的不利影响。</w:t>
      </w:r>
    </w:p>
    <w:p w:rsidR="00776F91" w:rsidRDefault="00776F91" w:rsidP="00E449CC">
      <w:pPr>
        <w:pStyle w:val="a6"/>
        <w:spacing w:before="156" w:after="156"/>
      </w:pPr>
      <w:r>
        <w:rPr>
          <w:rFonts w:hint="eastAsia"/>
        </w:rPr>
        <w:t>（三）</w:t>
      </w:r>
      <w:r w:rsidR="00D63A86" w:rsidRPr="00D63A86">
        <w:t>结合主要客户变动较大、客户经营情况及面临的地域限制等因素，补充披露发行人业务发展的可持续性，房地产调控政策对发行人经营业绩的影响，并做重大风险提示</w:t>
      </w:r>
    </w:p>
    <w:p w:rsidR="00510166" w:rsidRPr="00510166" w:rsidRDefault="00510166" w:rsidP="00776F91">
      <w:pPr>
        <w:pStyle w:val="11"/>
        <w:spacing w:before="156" w:after="156"/>
        <w:ind w:firstLine="482"/>
        <w:rPr>
          <w:b/>
          <w:bCs/>
        </w:rPr>
      </w:pPr>
      <w:r w:rsidRPr="00510166">
        <w:rPr>
          <w:rFonts w:hint="eastAsia"/>
          <w:b/>
          <w:bCs/>
        </w:rPr>
        <w:lastRenderedPageBreak/>
        <w:t>1</w:t>
      </w:r>
      <w:r w:rsidRPr="00510166">
        <w:rPr>
          <w:rFonts w:hint="eastAsia"/>
          <w:b/>
          <w:bCs/>
        </w:rPr>
        <w:t>、</w:t>
      </w:r>
      <w:r w:rsidRPr="00510166">
        <w:rPr>
          <w:b/>
          <w:bCs/>
        </w:rPr>
        <w:t>结合主要客户变动较大、客户经营情况及面临的地域限制等因素，补充披露发行人业务发展的可持续性</w:t>
      </w:r>
    </w:p>
    <w:p w:rsidR="00734650" w:rsidRDefault="00734650" w:rsidP="00776F91">
      <w:pPr>
        <w:pStyle w:val="11"/>
        <w:spacing w:before="156" w:after="156"/>
        <w:rPr>
          <w:rFonts w:cs="Times New Roman"/>
          <w:color w:val="000000"/>
          <w:lang w:bidi="en-US"/>
        </w:rPr>
      </w:pPr>
      <w:r>
        <w:rPr>
          <w:rFonts w:cs="Times New Roman" w:hint="eastAsia"/>
          <w:color w:val="000000"/>
          <w:lang w:bidi="en-US"/>
        </w:rPr>
        <w:t>报告期内，发行人主要客户变动情况如下：其一，报告期各期，发行人第一大客户均为保利，交易规模呈现逐年</w:t>
      </w:r>
      <w:r w:rsidR="00DB45CB">
        <w:rPr>
          <w:rFonts w:cs="Times New Roman" w:hint="eastAsia"/>
          <w:color w:val="000000"/>
          <w:lang w:bidi="en-US"/>
        </w:rPr>
        <w:t>稳定</w:t>
      </w:r>
      <w:r>
        <w:rPr>
          <w:rFonts w:cs="Times New Roman" w:hint="eastAsia"/>
          <w:color w:val="000000"/>
          <w:lang w:bidi="en-US"/>
        </w:rPr>
        <w:t>上升趋势；其二，</w:t>
      </w:r>
      <w:r w:rsidR="001B696E">
        <w:rPr>
          <w:rFonts w:cs="Times New Roman" w:hint="eastAsia"/>
          <w:color w:val="000000"/>
          <w:lang w:bidi="en-US"/>
        </w:rPr>
        <w:t>报告期内，发行人进一步强化、加深了对国内一线开发商客户绿地、世茂等的开拓力度，该等客户自</w:t>
      </w:r>
      <w:r w:rsidR="001B696E">
        <w:rPr>
          <w:rFonts w:cs="Times New Roman" w:hint="eastAsia"/>
          <w:color w:val="000000"/>
          <w:lang w:bidi="en-US"/>
        </w:rPr>
        <w:t>2018</w:t>
      </w:r>
      <w:r w:rsidR="001B696E">
        <w:rPr>
          <w:rFonts w:cs="Times New Roman" w:hint="eastAsia"/>
          <w:color w:val="000000"/>
          <w:lang w:bidi="en-US"/>
        </w:rPr>
        <w:t>年起进入发行人主要客户并在后续年度持续保持稳定业务；其三</w:t>
      </w:r>
      <w:r w:rsidR="00A70B63">
        <w:rPr>
          <w:rFonts w:cs="Times New Roman" w:hint="eastAsia"/>
          <w:color w:val="000000"/>
          <w:lang w:bidi="en-US"/>
        </w:rPr>
        <w:t>，报告期内，发行人凭借自身在行业内的综合优势，持续开拓如阳光城、北京北辰等国内知名开发商客户以及区域优质客户，由于在报告期内与该等客户交易规模相对较小、且多为具体项目的合作，因此该等客户在年度间存在一定的波动。</w:t>
      </w:r>
    </w:p>
    <w:p w:rsidR="00B9137C" w:rsidRDefault="00B9137C" w:rsidP="00776F91">
      <w:pPr>
        <w:pStyle w:val="11"/>
        <w:spacing w:before="156" w:after="156"/>
        <w:rPr>
          <w:rFonts w:cs="Times New Roman"/>
          <w:color w:val="000000"/>
          <w:lang w:bidi="en-US"/>
        </w:rPr>
      </w:pPr>
      <w:r>
        <w:rPr>
          <w:rFonts w:cs="Times New Roman" w:hint="eastAsia"/>
          <w:color w:val="000000"/>
          <w:lang w:bidi="en-US"/>
        </w:rPr>
        <w:t>整体看来，报告期内，发行人主要客户</w:t>
      </w:r>
      <w:r w:rsidRPr="00B9137C">
        <w:rPr>
          <w:rFonts w:cs="Times New Roman" w:hint="eastAsia"/>
          <w:color w:val="000000"/>
          <w:lang w:bidi="en-US"/>
        </w:rPr>
        <w:t>均为具有全国品牌影响力的大型房地产企业，自身经营业绩稳定，资信情况良好，市场竞争力较强</w:t>
      </w:r>
      <w:r>
        <w:rPr>
          <w:rFonts w:cs="Times New Roman" w:hint="eastAsia"/>
          <w:color w:val="000000"/>
          <w:lang w:bidi="en-US"/>
        </w:rPr>
        <w:t>，有力的支撑了发行人业务的可持续发展</w:t>
      </w:r>
      <w:r w:rsidRPr="00B9137C">
        <w:rPr>
          <w:rFonts w:cs="Times New Roman" w:hint="eastAsia"/>
          <w:color w:val="000000"/>
          <w:lang w:bidi="en-US"/>
        </w:rPr>
        <w:t>。</w:t>
      </w:r>
    </w:p>
    <w:p w:rsidR="00776F91" w:rsidRPr="002C4D3B" w:rsidRDefault="00510166" w:rsidP="00776F91">
      <w:pPr>
        <w:pStyle w:val="11"/>
        <w:spacing w:before="156" w:after="156"/>
      </w:pPr>
      <w:r w:rsidRPr="00F0234C">
        <w:rPr>
          <w:rFonts w:cs="Times New Roman"/>
          <w:color w:val="000000"/>
          <w:lang w:bidi="en-US"/>
        </w:rPr>
        <w:t>发行人已在招股说明</w:t>
      </w:r>
      <w:r w:rsidRPr="00220E2C">
        <w:rPr>
          <w:rFonts w:ascii="宋体" w:hAnsi="宋体" w:cs="Times New Roman"/>
          <w:color w:val="000000"/>
          <w:lang w:bidi="en-US"/>
        </w:rPr>
        <w:t>书“</w:t>
      </w:r>
      <w:r w:rsidRPr="00220E2C">
        <w:rPr>
          <w:rFonts w:ascii="宋体" w:hAnsi="宋体" w:cs="Times New Roman" w:hint="eastAsia"/>
          <w:color w:val="000000"/>
          <w:lang w:bidi="en-US"/>
        </w:rPr>
        <w:t>第六节</w:t>
      </w:r>
      <w:r w:rsidRPr="00220E2C">
        <w:rPr>
          <w:rFonts w:ascii="宋体" w:hAnsi="宋体" w:cs="Times New Roman"/>
          <w:color w:val="000000"/>
          <w:lang w:bidi="en-US"/>
        </w:rPr>
        <w:t xml:space="preserve"> </w:t>
      </w:r>
      <w:r w:rsidRPr="00220E2C">
        <w:rPr>
          <w:rFonts w:ascii="宋体" w:hAnsi="宋体" w:cs="Times New Roman" w:hint="eastAsia"/>
          <w:color w:val="000000"/>
          <w:lang w:bidi="en-US"/>
        </w:rPr>
        <w:t>业务与技术</w:t>
      </w:r>
      <w:r w:rsidRPr="00220E2C">
        <w:rPr>
          <w:rFonts w:ascii="宋体" w:hAnsi="宋体" w:cs="Times New Roman"/>
          <w:color w:val="000000"/>
          <w:lang w:bidi="en-US"/>
        </w:rPr>
        <w:t>”之“</w:t>
      </w:r>
      <w:r w:rsidRPr="00220E2C">
        <w:rPr>
          <w:rFonts w:ascii="宋体" w:hAnsi="宋体" w:cs="Times New Roman" w:hint="eastAsia"/>
          <w:color w:val="000000"/>
          <w:lang w:bidi="en-US"/>
        </w:rPr>
        <w:t>三、发行人的销售情况和主要客户</w:t>
      </w:r>
      <w:r w:rsidRPr="00220E2C">
        <w:rPr>
          <w:rFonts w:ascii="宋体" w:hAnsi="宋体" w:cs="Times New Roman"/>
          <w:color w:val="000000"/>
          <w:lang w:bidi="en-US"/>
        </w:rPr>
        <w:t>”之“</w:t>
      </w:r>
      <w:r w:rsidRPr="00220E2C">
        <w:rPr>
          <w:rFonts w:ascii="宋体" w:hAnsi="宋体" w:cs="Times New Roman" w:hint="eastAsia"/>
          <w:color w:val="000000"/>
          <w:lang w:bidi="en-US"/>
        </w:rPr>
        <w:t>（二）发行人的主要客户</w:t>
      </w:r>
      <w:r w:rsidRPr="00220E2C">
        <w:rPr>
          <w:rFonts w:ascii="宋体" w:hAnsi="宋体" w:cs="Times New Roman"/>
          <w:color w:val="000000"/>
          <w:lang w:bidi="en-US"/>
        </w:rPr>
        <w:t>”补</w:t>
      </w:r>
      <w:r w:rsidRPr="00F0234C">
        <w:rPr>
          <w:rFonts w:cs="Times New Roman"/>
          <w:color w:val="000000"/>
          <w:lang w:bidi="en-US"/>
        </w:rPr>
        <w:t>充披露如下：</w:t>
      </w:r>
    </w:p>
    <w:p w:rsidR="00776F91" w:rsidRPr="00566CF7" w:rsidRDefault="00510166"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6</w:t>
      </w:r>
      <w:r w:rsidRPr="00566CF7">
        <w:rPr>
          <w:rFonts w:ascii="Times New Roman" w:eastAsia="宋体" w:hAnsi="Times New Roman"/>
          <w:b w:val="0"/>
          <w:bCs w:val="0"/>
        </w:rPr>
        <w:t>、</w:t>
      </w:r>
      <w:r w:rsidR="009526D1" w:rsidRPr="00566CF7">
        <w:rPr>
          <w:rFonts w:ascii="Times New Roman" w:eastAsia="宋体" w:hAnsi="Times New Roman"/>
          <w:b w:val="0"/>
          <w:bCs w:val="0"/>
        </w:rPr>
        <w:t>发行人业务发展具有可持续性，具体分析如下：</w:t>
      </w:r>
    </w:p>
    <w:p w:rsidR="009526D1" w:rsidRPr="00566CF7" w:rsidRDefault="009526D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w:t>
      </w:r>
      <w:r w:rsidRPr="00566CF7">
        <w:rPr>
          <w:rFonts w:ascii="Times New Roman" w:eastAsia="宋体" w:hAnsi="Times New Roman"/>
          <w:b w:val="0"/>
          <w:bCs w:val="0"/>
        </w:rPr>
        <w:t>1</w:t>
      </w:r>
      <w:r w:rsidRPr="00566CF7">
        <w:rPr>
          <w:rFonts w:ascii="Times New Roman" w:eastAsia="宋体" w:hAnsi="Times New Roman"/>
          <w:b w:val="0"/>
          <w:bCs w:val="0"/>
        </w:rPr>
        <w:t>）发行人下游房地产行业市场空间稳定增长</w:t>
      </w:r>
    </w:p>
    <w:p w:rsidR="009526D1" w:rsidRPr="00566CF7" w:rsidRDefault="009526D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在新型城镇化进程快速推进、居民住房消费全面升级的宏观背景下，房地产</w:t>
      </w:r>
      <w:r w:rsidRPr="00566CF7">
        <w:rPr>
          <w:rFonts w:ascii="Times New Roman" w:eastAsia="宋体" w:hAnsi="Times New Roman"/>
          <w:b w:val="0"/>
          <w:bCs w:val="0"/>
        </w:rPr>
        <w:t xml:space="preserve"> </w:t>
      </w:r>
      <w:r w:rsidRPr="00566CF7">
        <w:rPr>
          <w:rFonts w:ascii="Times New Roman" w:eastAsia="宋体" w:hAnsi="Times New Roman"/>
          <w:b w:val="0"/>
          <w:bCs w:val="0"/>
        </w:rPr>
        <w:t>市场逐渐进入平稳发展阶段。</w:t>
      </w:r>
      <w:r w:rsidRPr="00566CF7">
        <w:rPr>
          <w:rFonts w:ascii="Times New Roman" w:eastAsia="宋体" w:hAnsi="Times New Roman"/>
          <w:b w:val="0"/>
          <w:bCs w:val="0"/>
        </w:rPr>
        <w:t xml:space="preserve">2017 </w:t>
      </w:r>
      <w:r w:rsidRPr="00566CF7">
        <w:rPr>
          <w:rFonts w:ascii="Times New Roman" w:eastAsia="宋体" w:hAnsi="Times New Roman"/>
          <w:b w:val="0"/>
          <w:bCs w:val="0"/>
        </w:rPr>
        <w:t>年至</w:t>
      </w:r>
      <w:r w:rsidRPr="00566CF7">
        <w:rPr>
          <w:rFonts w:ascii="Times New Roman" w:eastAsia="宋体" w:hAnsi="Times New Roman"/>
          <w:b w:val="0"/>
          <w:bCs w:val="0"/>
        </w:rPr>
        <w:t xml:space="preserve"> 2019 </w:t>
      </w:r>
      <w:r w:rsidRPr="00566CF7">
        <w:rPr>
          <w:rFonts w:ascii="Times New Roman" w:eastAsia="宋体" w:hAnsi="Times New Roman"/>
          <w:b w:val="0"/>
          <w:bCs w:val="0"/>
        </w:rPr>
        <w:t>年，全国房地产开发投资额分别为</w:t>
      </w:r>
      <w:r w:rsidRPr="00566CF7">
        <w:rPr>
          <w:rFonts w:ascii="Times New Roman" w:eastAsia="宋体" w:hAnsi="Times New Roman"/>
          <w:b w:val="0"/>
          <w:bCs w:val="0"/>
        </w:rPr>
        <w:t xml:space="preserve"> 109,798.53 </w:t>
      </w:r>
      <w:r w:rsidRPr="00566CF7">
        <w:rPr>
          <w:rFonts w:ascii="Times New Roman" w:eastAsia="宋体" w:hAnsi="Times New Roman"/>
          <w:b w:val="0"/>
          <w:bCs w:val="0"/>
        </w:rPr>
        <w:t>亿元、</w:t>
      </w:r>
      <w:r w:rsidRPr="00566CF7">
        <w:rPr>
          <w:rFonts w:ascii="Times New Roman" w:eastAsia="宋体" w:hAnsi="Times New Roman"/>
          <w:b w:val="0"/>
          <w:bCs w:val="0"/>
        </w:rPr>
        <w:t xml:space="preserve">120,263.51 </w:t>
      </w:r>
      <w:r w:rsidRPr="00566CF7">
        <w:rPr>
          <w:rFonts w:ascii="Times New Roman" w:eastAsia="宋体" w:hAnsi="Times New Roman"/>
          <w:b w:val="0"/>
          <w:bCs w:val="0"/>
        </w:rPr>
        <w:t>亿元和</w:t>
      </w:r>
      <w:r w:rsidRPr="00566CF7">
        <w:rPr>
          <w:rFonts w:ascii="Times New Roman" w:eastAsia="宋体" w:hAnsi="Times New Roman"/>
          <w:b w:val="0"/>
          <w:bCs w:val="0"/>
        </w:rPr>
        <w:t xml:space="preserve"> 132,194.00 </w:t>
      </w:r>
      <w:r w:rsidRPr="00566CF7">
        <w:rPr>
          <w:rFonts w:ascii="Times New Roman" w:eastAsia="宋体" w:hAnsi="Times New Roman"/>
          <w:b w:val="0"/>
          <w:bCs w:val="0"/>
        </w:rPr>
        <w:t>亿元，同比增长</w:t>
      </w:r>
      <w:r w:rsidRPr="00566CF7">
        <w:rPr>
          <w:rFonts w:ascii="Times New Roman" w:eastAsia="宋体" w:hAnsi="Times New Roman"/>
          <w:b w:val="0"/>
          <w:bCs w:val="0"/>
        </w:rPr>
        <w:t xml:space="preserve"> 7.04%</w:t>
      </w:r>
      <w:r w:rsidRPr="00566CF7">
        <w:rPr>
          <w:rFonts w:ascii="Times New Roman" w:eastAsia="宋体" w:hAnsi="Times New Roman"/>
          <w:b w:val="0"/>
          <w:bCs w:val="0"/>
        </w:rPr>
        <w:t>、</w:t>
      </w:r>
      <w:r w:rsidRPr="00566CF7">
        <w:rPr>
          <w:rFonts w:ascii="Times New Roman" w:eastAsia="宋体" w:hAnsi="Times New Roman"/>
          <w:b w:val="0"/>
          <w:bCs w:val="0"/>
        </w:rPr>
        <w:t>9.53%</w:t>
      </w:r>
      <w:r w:rsidRPr="00566CF7">
        <w:rPr>
          <w:rFonts w:ascii="Times New Roman" w:eastAsia="宋体" w:hAnsi="Times New Roman"/>
          <w:b w:val="0"/>
          <w:bCs w:val="0"/>
        </w:rPr>
        <w:t>和</w:t>
      </w:r>
      <w:r w:rsidRPr="00566CF7">
        <w:rPr>
          <w:rFonts w:ascii="Times New Roman" w:eastAsia="宋体" w:hAnsi="Times New Roman"/>
          <w:b w:val="0"/>
          <w:bCs w:val="0"/>
        </w:rPr>
        <w:t xml:space="preserve"> 9.92%</w:t>
      </w:r>
      <w:r w:rsidRPr="00566CF7">
        <w:rPr>
          <w:rFonts w:ascii="Times New Roman" w:eastAsia="宋体" w:hAnsi="Times New Roman"/>
          <w:b w:val="0"/>
          <w:bCs w:val="0"/>
        </w:rPr>
        <w:t>，</w:t>
      </w:r>
      <w:r w:rsidR="00566CF7" w:rsidRPr="00566CF7">
        <w:rPr>
          <w:rFonts w:hint="eastAsia"/>
          <w:iCs/>
        </w:rPr>
        <w:t>2</w:t>
      </w:r>
      <w:r w:rsidR="00566CF7" w:rsidRPr="00566CF7">
        <w:rPr>
          <w:iCs/>
        </w:rPr>
        <w:t>020</w:t>
      </w:r>
      <w:r w:rsidR="00566CF7" w:rsidRPr="00566CF7">
        <w:rPr>
          <w:rFonts w:hint="eastAsia"/>
          <w:iCs/>
        </w:rPr>
        <w:t>年，全国房地产开发投资额为</w:t>
      </w:r>
      <w:r w:rsidR="00566CF7" w:rsidRPr="00566CF7">
        <w:rPr>
          <w:iCs/>
        </w:rPr>
        <w:t>141,443</w:t>
      </w:r>
      <w:r w:rsidR="00566CF7" w:rsidRPr="00566CF7">
        <w:rPr>
          <w:rFonts w:hint="eastAsia"/>
          <w:iCs/>
        </w:rPr>
        <w:t>亿元，同比增长</w:t>
      </w:r>
      <w:r w:rsidR="00566CF7" w:rsidRPr="00566CF7">
        <w:rPr>
          <w:iCs/>
        </w:rPr>
        <w:t>7.0</w:t>
      </w:r>
      <w:r w:rsidR="00566CF7" w:rsidRPr="00566CF7">
        <w:rPr>
          <w:rFonts w:hint="eastAsia"/>
          <w:iCs/>
        </w:rPr>
        <w:t>%</w:t>
      </w:r>
      <w:r w:rsidR="00566CF7">
        <w:rPr>
          <w:rFonts w:ascii="Times New Roman" w:eastAsia="宋体" w:hAnsi="Times New Roman" w:hint="eastAsia"/>
          <w:b w:val="0"/>
          <w:bCs w:val="0"/>
        </w:rPr>
        <w:t>,</w:t>
      </w:r>
      <w:r w:rsidRPr="00566CF7">
        <w:rPr>
          <w:rFonts w:ascii="Times New Roman" w:eastAsia="宋体" w:hAnsi="Times New Roman"/>
          <w:b w:val="0"/>
          <w:bCs w:val="0"/>
        </w:rPr>
        <w:t>总体呈现</w:t>
      </w:r>
      <w:r w:rsidRPr="00566CF7">
        <w:rPr>
          <w:rFonts w:ascii="Times New Roman" w:eastAsia="宋体" w:hAnsi="Times New Roman"/>
          <w:b w:val="0"/>
          <w:bCs w:val="0"/>
        </w:rPr>
        <w:t>“</w:t>
      </w:r>
      <w:r w:rsidRPr="00566CF7">
        <w:rPr>
          <w:rFonts w:ascii="Times New Roman" w:eastAsia="宋体" w:hAnsi="Times New Roman"/>
          <w:b w:val="0"/>
          <w:bCs w:val="0"/>
        </w:rPr>
        <w:t>稳中有增</w:t>
      </w:r>
      <w:r w:rsidRPr="00566CF7">
        <w:rPr>
          <w:rFonts w:ascii="Times New Roman" w:eastAsia="宋体" w:hAnsi="Times New Roman"/>
          <w:b w:val="0"/>
          <w:bCs w:val="0"/>
        </w:rPr>
        <w:t>”</w:t>
      </w:r>
      <w:r w:rsidRPr="00566CF7">
        <w:rPr>
          <w:rFonts w:ascii="Times New Roman" w:eastAsia="宋体" w:hAnsi="Times New Roman"/>
          <w:b w:val="0"/>
          <w:bCs w:val="0"/>
        </w:rPr>
        <w:t>的良性态势，从而为建筑设计行业的下游市场需求创造了稳定、合理、持续的增长空间。</w:t>
      </w:r>
    </w:p>
    <w:p w:rsidR="009526D1" w:rsidRPr="00566CF7" w:rsidRDefault="009526D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w:t>
      </w:r>
      <w:r w:rsidRPr="00566CF7">
        <w:rPr>
          <w:rFonts w:ascii="Times New Roman" w:eastAsia="宋体" w:hAnsi="Times New Roman"/>
          <w:b w:val="0"/>
          <w:bCs w:val="0"/>
        </w:rPr>
        <w:t>2</w:t>
      </w:r>
      <w:r w:rsidRPr="00566CF7">
        <w:rPr>
          <w:rFonts w:ascii="Times New Roman" w:eastAsia="宋体" w:hAnsi="Times New Roman"/>
          <w:b w:val="0"/>
          <w:bCs w:val="0"/>
        </w:rPr>
        <w:t>）房地产行业集中度持续提升</w:t>
      </w:r>
      <w:r w:rsidR="00797AD6" w:rsidRPr="00566CF7">
        <w:rPr>
          <w:rFonts w:ascii="Times New Roman" w:eastAsia="宋体" w:hAnsi="Times New Roman"/>
          <w:b w:val="0"/>
          <w:bCs w:val="0"/>
        </w:rPr>
        <w:t>为发行人业务发展带来了新的机遇</w:t>
      </w:r>
    </w:p>
    <w:p w:rsidR="009526D1" w:rsidRPr="00566CF7" w:rsidRDefault="009526D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在房地产宏观调控的背景下，房地产行业进入新的整合期，行业内资本实力较强、具有品牌影响力的大中型房地产企业的销售规模</w:t>
      </w:r>
      <w:proofErr w:type="gramStart"/>
      <w:r w:rsidRPr="00566CF7">
        <w:rPr>
          <w:rFonts w:ascii="Times New Roman" w:eastAsia="宋体" w:hAnsi="Times New Roman"/>
          <w:b w:val="0"/>
          <w:bCs w:val="0"/>
        </w:rPr>
        <w:t>及集中</w:t>
      </w:r>
      <w:proofErr w:type="gramEnd"/>
      <w:r w:rsidRPr="00566CF7">
        <w:rPr>
          <w:rFonts w:ascii="Times New Roman" w:eastAsia="宋体" w:hAnsi="Times New Roman"/>
          <w:b w:val="0"/>
          <w:bCs w:val="0"/>
        </w:rPr>
        <w:t>度进一步提升，</w:t>
      </w:r>
      <w:proofErr w:type="gramStart"/>
      <w:r w:rsidRPr="00566CF7">
        <w:rPr>
          <w:rFonts w:ascii="Times New Roman" w:eastAsia="宋体" w:hAnsi="Times New Roman"/>
          <w:b w:val="0"/>
          <w:bCs w:val="0"/>
        </w:rPr>
        <w:t>房企规模</w:t>
      </w:r>
      <w:proofErr w:type="gramEnd"/>
      <w:r w:rsidRPr="00566CF7">
        <w:rPr>
          <w:rFonts w:ascii="Times New Roman" w:eastAsia="宋体" w:hAnsi="Times New Roman"/>
          <w:b w:val="0"/>
          <w:bCs w:val="0"/>
        </w:rPr>
        <w:t>分化格局持续加大。根据中国房地产业协会发布的《中国房地产开发企业</w:t>
      </w:r>
      <w:r w:rsidRPr="00566CF7">
        <w:rPr>
          <w:rFonts w:ascii="Times New Roman" w:eastAsia="宋体" w:hAnsi="Times New Roman"/>
          <w:b w:val="0"/>
          <w:bCs w:val="0"/>
        </w:rPr>
        <w:t>500</w:t>
      </w:r>
      <w:r w:rsidRPr="00566CF7">
        <w:rPr>
          <w:rFonts w:ascii="Times New Roman" w:eastAsia="宋体" w:hAnsi="Times New Roman"/>
          <w:b w:val="0"/>
          <w:bCs w:val="0"/>
        </w:rPr>
        <w:t>强测评研究报告》显示，</w:t>
      </w:r>
      <w:r w:rsidRPr="00566CF7">
        <w:rPr>
          <w:rFonts w:ascii="Times New Roman" w:eastAsia="宋体" w:hAnsi="Times New Roman"/>
          <w:b w:val="0"/>
          <w:bCs w:val="0"/>
        </w:rPr>
        <w:t>2017</w:t>
      </w:r>
      <w:r w:rsidRPr="00566CF7">
        <w:rPr>
          <w:rFonts w:ascii="Times New Roman" w:eastAsia="宋体" w:hAnsi="Times New Roman"/>
          <w:b w:val="0"/>
          <w:bCs w:val="0"/>
        </w:rPr>
        <w:t>年至</w:t>
      </w:r>
      <w:r w:rsidRPr="00566CF7">
        <w:rPr>
          <w:rFonts w:ascii="Times New Roman" w:eastAsia="宋体" w:hAnsi="Times New Roman"/>
          <w:b w:val="0"/>
          <w:bCs w:val="0"/>
        </w:rPr>
        <w:t>2019</w:t>
      </w:r>
      <w:r w:rsidRPr="00566CF7">
        <w:rPr>
          <w:rFonts w:ascii="Times New Roman" w:eastAsia="宋体" w:hAnsi="Times New Roman"/>
          <w:b w:val="0"/>
          <w:bCs w:val="0"/>
        </w:rPr>
        <w:t>年，销售前二十名企业合计的市场</w:t>
      </w:r>
      <w:r w:rsidRPr="00566CF7">
        <w:rPr>
          <w:rFonts w:ascii="Times New Roman" w:eastAsia="宋体" w:hAnsi="Times New Roman"/>
          <w:b w:val="0"/>
          <w:bCs w:val="0"/>
        </w:rPr>
        <w:lastRenderedPageBreak/>
        <w:t>占有率分别为</w:t>
      </w:r>
      <w:r w:rsidRPr="00566CF7">
        <w:rPr>
          <w:rFonts w:ascii="Times New Roman" w:eastAsia="宋体" w:hAnsi="Times New Roman"/>
          <w:b w:val="0"/>
          <w:bCs w:val="0"/>
        </w:rPr>
        <w:t>32%</w:t>
      </w:r>
      <w:r w:rsidRPr="00566CF7">
        <w:rPr>
          <w:rFonts w:ascii="Times New Roman" w:eastAsia="宋体" w:hAnsi="Times New Roman"/>
          <w:b w:val="0"/>
          <w:bCs w:val="0"/>
        </w:rPr>
        <w:t>、</w:t>
      </w:r>
      <w:r w:rsidRPr="00566CF7">
        <w:rPr>
          <w:rFonts w:ascii="Times New Roman" w:eastAsia="宋体" w:hAnsi="Times New Roman"/>
          <w:b w:val="0"/>
          <w:bCs w:val="0"/>
        </w:rPr>
        <w:t>36%</w:t>
      </w:r>
      <w:r w:rsidRPr="00566CF7">
        <w:rPr>
          <w:rFonts w:ascii="Times New Roman" w:eastAsia="宋体" w:hAnsi="Times New Roman"/>
          <w:b w:val="0"/>
          <w:bCs w:val="0"/>
        </w:rPr>
        <w:t>和</w:t>
      </w:r>
      <w:r w:rsidRPr="00566CF7">
        <w:rPr>
          <w:rFonts w:ascii="Times New Roman" w:eastAsia="宋体" w:hAnsi="Times New Roman"/>
          <w:b w:val="0"/>
          <w:bCs w:val="0"/>
        </w:rPr>
        <w:t>37%</w:t>
      </w:r>
      <w:r w:rsidRPr="00566CF7">
        <w:rPr>
          <w:rFonts w:ascii="Times New Roman" w:eastAsia="宋体" w:hAnsi="Times New Roman"/>
          <w:b w:val="0"/>
          <w:bCs w:val="0"/>
        </w:rPr>
        <w:t>；销售前五十名企业合计的市场占有率分别为</w:t>
      </w:r>
      <w:r w:rsidRPr="00566CF7">
        <w:rPr>
          <w:rFonts w:ascii="Times New Roman" w:eastAsia="宋体" w:hAnsi="Times New Roman"/>
          <w:b w:val="0"/>
          <w:bCs w:val="0"/>
        </w:rPr>
        <w:t>45%</w:t>
      </w:r>
      <w:r w:rsidRPr="00566CF7">
        <w:rPr>
          <w:rFonts w:ascii="Times New Roman" w:eastAsia="宋体" w:hAnsi="Times New Roman"/>
          <w:b w:val="0"/>
          <w:bCs w:val="0"/>
        </w:rPr>
        <w:t>、</w:t>
      </w:r>
      <w:r w:rsidRPr="00566CF7">
        <w:rPr>
          <w:rFonts w:ascii="Times New Roman" w:eastAsia="宋体" w:hAnsi="Times New Roman"/>
          <w:b w:val="0"/>
          <w:bCs w:val="0"/>
        </w:rPr>
        <w:t>52%</w:t>
      </w:r>
      <w:r w:rsidRPr="00566CF7">
        <w:rPr>
          <w:rFonts w:ascii="Times New Roman" w:eastAsia="宋体" w:hAnsi="Times New Roman"/>
          <w:b w:val="0"/>
          <w:bCs w:val="0"/>
        </w:rPr>
        <w:t>、</w:t>
      </w:r>
      <w:r w:rsidRPr="00566CF7">
        <w:rPr>
          <w:rFonts w:ascii="Times New Roman" w:eastAsia="宋体" w:hAnsi="Times New Roman"/>
          <w:b w:val="0"/>
          <w:bCs w:val="0"/>
        </w:rPr>
        <w:t>54%</w:t>
      </w:r>
      <w:r w:rsidRPr="00566CF7">
        <w:rPr>
          <w:rFonts w:ascii="Times New Roman" w:eastAsia="宋体" w:hAnsi="Times New Roman"/>
          <w:b w:val="0"/>
          <w:bCs w:val="0"/>
        </w:rPr>
        <w:t>，行业集中度持续提升。</w:t>
      </w:r>
    </w:p>
    <w:p w:rsidR="009526D1" w:rsidRPr="00566CF7" w:rsidRDefault="009526D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由于规模较大的房地产企业基于自身项目品质稳定性、产品系列设计风格连贯性等因素，往往倾向于和具有丰富项目经验和优秀设计能力的设计企业采用战略供应商选定和集中采购模式，形成长期稳定的合作关系。房地产行业集中度的提升势必促进建筑设计行业集中度的提升，因而为服务于</w:t>
      </w:r>
      <w:proofErr w:type="gramStart"/>
      <w:r w:rsidRPr="00566CF7">
        <w:rPr>
          <w:rFonts w:ascii="Times New Roman" w:eastAsia="宋体" w:hAnsi="Times New Roman"/>
          <w:b w:val="0"/>
          <w:bCs w:val="0"/>
        </w:rPr>
        <w:t>龙头房企</w:t>
      </w:r>
      <w:proofErr w:type="gramEnd"/>
      <w:r w:rsidRPr="00566CF7">
        <w:rPr>
          <w:rFonts w:ascii="Times New Roman" w:eastAsia="宋体" w:hAnsi="Times New Roman"/>
          <w:b w:val="0"/>
          <w:bCs w:val="0"/>
        </w:rPr>
        <w:t>、具有品牌知名度的建筑设计企业带来了新的增长机遇。</w:t>
      </w:r>
    </w:p>
    <w:p w:rsidR="009526D1" w:rsidRPr="00566CF7" w:rsidRDefault="003E3CC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w:t>
      </w:r>
      <w:r w:rsidRPr="00566CF7">
        <w:rPr>
          <w:rFonts w:ascii="Times New Roman" w:eastAsia="宋体" w:hAnsi="Times New Roman"/>
          <w:b w:val="0"/>
          <w:bCs w:val="0"/>
        </w:rPr>
        <w:t>3</w:t>
      </w:r>
      <w:r w:rsidRPr="00566CF7">
        <w:rPr>
          <w:rFonts w:ascii="Times New Roman" w:eastAsia="宋体" w:hAnsi="Times New Roman"/>
          <w:b w:val="0"/>
          <w:bCs w:val="0"/>
        </w:rPr>
        <w:t>）发行人</w:t>
      </w:r>
      <w:r w:rsidR="00797AD6" w:rsidRPr="00566CF7">
        <w:rPr>
          <w:rFonts w:ascii="Times New Roman" w:eastAsia="宋体" w:hAnsi="Times New Roman"/>
          <w:b w:val="0"/>
          <w:bCs w:val="0"/>
        </w:rPr>
        <w:t>与</w:t>
      </w:r>
      <w:r w:rsidRPr="00566CF7">
        <w:rPr>
          <w:rFonts w:ascii="Times New Roman" w:eastAsia="宋体" w:hAnsi="Times New Roman"/>
          <w:b w:val="0"/>
          <w:bCs w:val="0"/>
        </w:rPr>
        <w:t>主要客户</w:t>
      </w:r>
      <w:r w:rsidR="00797AD6" w:rsidRPr="00566CF7">
        <w:rPr>
          <w:rFonts w:ascii="Times New Roman" w:eastAsia="宋体" w:hAnsi="Times New Roman"/>
          <w:b w:val="0"/>
          <w:bCs w:val="0"/>
        </w:rPr>
        <w:t>的业务合作具有可持续性</w:t>
      </w:r>
    </w:p>
    <w:p w:rsidR="003E3CC1" w:rsidRPr="00566CF7" w:rsidRDefault="003E3CC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发行人主要客户均为具有全国品牌影响力的大型房地产企业，自身经营业绩稳定，资信情况良好，市场竞争力较强。</w:t>
      </w:r>
      <w:r w:rsidR="00797AD6" w:rsidRPr="00566CF7">
        <w:rPr>
          <w:rFonts w:ascii="Times New Roman" w:eastAsia="宋体" w:hAnsi="Times New Roman"/>
          <w:b w:val="0"/>
          <w:bCs w:val="0"/>
        </w:rPr>
        <w:t>建筑设计业务专业性较强，同时鉴于建筑方案设计在建筑设计项目中的牵头引领作用，下游客户尤其是品牌知名度较高的房地产开发企业在建筑设计服务尤其是建筑方案设计供应商的选择上较为谨慎，普遍采用供需黏合度较高的战略供应商选定和集中采购模式，因此，设计企业与开发企业之间的业务黏性较大。</w:t>
      </w:r>
    </w:p>
    <w:p w:rsidR="003E3CC1" w:rsidRPr="00566CF7" w:rsidRDefault="003E3CC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发行人的核心客户为保利，与保利的业务开展具有可持续性：保利作为地产行业的领军企业，倾向选择理解其产品特色、设计理念的战略供应商，发行人与保利地产合作长达十多年，</w:t>
      </w:r>
      <w:proofErr w:type="gramStart"/>
      <w:r w:rsidRPr="00566CF7">
        <w:rPr>
          <w:rFonts w:ascii="Times New Roman" w:eastAsia="宋体" w:hAnsi="Times New Roman"/>
          <w:b w:val="0"/>
          <w:bCs w:val="0"/>
        </w:rPr>
        <w:t>对保利</w:t>
      </w:r>
      <w:proofErr w:type="gramEnd"/>
      <w:r w:rsidRPr="00566CF7">
        <w:rPr>
          <w:rFonts w:ascii="Times New Roman" w:eastAsia="宋体" w:hAnsi="Times New Roman"/>
          <w:b w:val="0"/>
          <w:bCs w:val="0"/>
        </w:rPr>
        <w:t>的建筑风格、建筑文化有着深刻的理解，双方合作关系稳固。目前，发行人</w:t>
      </w:r>
      <w:proofErr w:type="gramStart"/>
      <w:r w:rsidRPr="00566CF7">
        <w:rPr>
          <w:rFonts w:ascii="Times New Roman" w:eastAsia="宋体" w:hAnsi="Times New Roman"/>
          <w:b w:val="0"/>
          <w:bCs w:val="0"/>
        </w:rPr>
        <w:t>对保利</w:t>
      </w:r>
      <w:proofErr w:type="gramEnd"/>
      <w:r w:rsidRPr="00566CF7">
        <w:rPr>
          <w:rFonts w:ascii="Times New Roman" w:eastAsia="宋体" w:hAnsi="Times New Roman"/>
          <w:b w:val="0"/>
          <w:bCs w:val="0"/>
        </w:rPr>
        <w:t>的在手订单充沛，且未来具有较大的提升空间。</w:t>
      </w:r>
    </w:p>
    <w:p w:rsidR="003E3CC1" w:rsidRPr="00566CF7" w:rsidRDefault="003E3CC1"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除了保利外，公司还与绿地、</w:t>
      </w:r>
      <w:proofErr w:type="gramStart"/>
      <w:r w:rsidRPr="00566CF7">
        <w:rPr>
          <w:rFonts w:ascii="Times New Roman" w:eastAsia="宋体" w:hAnsi="Times New Roman"/>
          <w:b w:val="0"/>
          <w:bCs w:val="0"/>
        </w:rPr>
        <w:t>世</w:t>
      </w:r>
      <w:proofErr w:type="gramEnd"/>
      <w:r w:rsidRPr="00566CF7">
        <w:rPr>
          <w:rFonts w:ascii="Times New Roman" w:eastAsia="宋体" w:hAnsi="Times New Roman"/>
          <w:b w:val="0"/>
          <w:bCs w:val="0"/>
        </w:rPr>
        <w:t>茂、金科、等在内的国内百强房地产商之间建立了长期稳定的合作关系。尽管目前，公司与该等客户之间的交易量相对较小，且年度间存在一定波动，</w:t>
      </w:r>
      <w:r w:rsidR="00E71463" w:rsidRPr="00566CF7">
        <w:rPr>
          <w:rFonts w:ascii="Times New Roman" w:eastAsia="宋体" w:hAnsi="Times New Roman"/>
          <w:b w:val="0"/>
          <w:bCs w:val="0"/>
        </w:rPr>
        <w:t>但</w:t>
      </w:r>
      <w:r w:rsidRPr="00566CF7">
        <w:rPr>
          <w:rFonts w:ascii="Times New Roman" w:eastAsia="宋体" w:hAnsi="Times New Roman"/>
          <w:b w:val="0"/>
          <w:bCs w:val="0"/>
        </w:rPr>
        <w:t>随着公司经营规模的不断扩大，对该等非保利客户的</w:t>
      </w:r>
      <w:r w:rsidR="00E71463" w:rsidRPr="00566CF7">
        <w:rPr>
          <w:rFonts w:ascii="Times New Roman" w:eastAsia="宋体" w:hAnsi="Times New Roman"/>
          <w:b w:val="0"/>
          <w:bCs w:val="0"/>
        </w:rPr>
        <w:t>业务拓展力度持续加强，与该等客户的交易规模</w:t>
      </w:r>
      <w:r w:rsidRPr="00566CF7">
        <w:rPr>
          <w:rFonts w:ascii="Times New Roman" w:eastAsia="宋体" w:hAnsi="Times New Roman"/>
          <w:b w:val="0"/>
          <w:bCs w:val="0"/>
        </w:rPr>
        <w:t>亦会不断攀升。未来，公司将持续开拓客户资源、优化客户结构并扩大市场份额。</w:t>
      </w:r>
    </w:p>
    <w:p w:rsidR="00797AD6" w:rsidRPr="00566CF7" w:rsidRDefault="00797AD6"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w:t>
      </w:r>
      <w:r w:rsidRPr="00566CF7">
        <w:rPr>
          <w:rFonts w:ascii="Times New Roman" w:eastAsia="宋体" w:hAnsi="Times New Roman"/>
          <w:b w:val="0"/>
          <w:bCs w:val="0"/>
        </w:rPr>
        <w:t>4</w:t>
      </w:r>
      <w:r w:rsidRPr="00566CF7">
        <w:rPr>
          <w:rFonts w:ascii="Times New Roman" w:eastAsia="宋体" w:hAnsi="Times New Roman"/>
          <w:b w:val="0"/>
          <w:bCs w:val="0"/>
        </w:rPr>
        <w:t>）发行人是具有全国品牌知名度的建筑方案公司，具备持续拓展市场客户、实现业务持续发展的综合实力</w:t>
      </w:r>
    </w:p>
    <w:p w:rsidR="00797AD6" w:rsidRPr="00566CF7" w:rsidRDefault="00797AD6" w:rsidP="00E449CC">
      <w:pPr>
        <w:pStyle w:val="a7"/>
        <w:spacing w:before="156" w:after="156"/>
        <w:ind w:firstLine="480"/>
        <w:rPr>
          <w:rFonts w:ascii="Times New Roman" w:eastAsia="宋体" w:hAnsi="Times New Roman"/>
          <w:b w:val="0"/>
          <w:bCs w:val="0"/>
          <w:iCs/>
        </w:rPr>
      </w:pPr>
      <w:r w:rsidRPr="00566CF7">
        <w:rPr>
          <w:rFonts w:ascii="Times New Roman" w:eastAsia="宋体" w:hAnsi="Times New Roman"/>
          <w:b w:val="0"/>
          <w:bCs w:val="0"/>
          <w:iCs/>
        </w:rPr>
        <w:t>发行人是国内知名的建筑方案公司，完成了多项底蕴深厚而又充满时代气息</w:t>
      </w:r>
      <w:r w:rsidRPr="00566CF7">
        <w:rPr>
          <w:rFonts w:ascii="Times New Roman" w:eastAsia="宋体" w:hAnsi="Times New Roman"/>
          <w:b w:val="0"/>
          <w:bCs w:val="0"/>
          <w:iCs/>
        </w:rPr>
        <w:lastRenderedPageBreak/>
        <w:t>的城市精品项目，形成了一系列兼具功能性和艺术性的优秀设计作品，在行业内建立了较高的知名度和良好的声誉。</w:t>
      </w:r>
    </w:p>
    <w:p w:rsidR="00797AD6" w:rsidRPr="00566CF7" w:rsidRDefault="00797AD6" w:rsidP="00E449CC">
      <w:pPr>
        <w:pStyle w:val="a7"/>
        <w:spacing w:before="156" w:after="156"/>
        <w:ind w:firstLine="480"/>
        <w:rPr>
          <w:rFonts w:ascii="Times New Roman" w:eastAsia="宋体" w:hAnsi="Times New Roman"/>
          <w:b w:val="0"/>
          <w:bCs w:val="0"/>
          <w:iCs/>
        </w:rPr>
      </w:pPr>
      <w:r w:rsidRPr="00566CF7">
        <w:rPr>
          <w:rFonts w:ascii="Times New Roman" w:eastAsia="宋体" w:hAnsi="Times New Roman"/>
          <w:b w:val="0"/>
          <w:bCs w:val="0"/>
          <w:iCs/>
        </w:rPr>
        <w:t>公司先后获得</w:t>
      </w:r>
      <w:r w:rsidRPr="00566CF7">
        <w:rPr>
          <w:rFonts w:ascii="Times New Roman" w:eastAsia="宋体" w:hAnsi="Times New Roman"/>
          <w:b w:val="0"/>
          <w:bCs w:val="0"/>
          <w:iCs/>
        </w:rPr>
        <w:t>“2018-2019</w:t>
      </w:r>
      <w:r w:rsidRPr="00566CF7">
        <w:rPr>
          <w:rFonts w:ascii="Times New Roman" w:eastAsia="宋体" w:hAnsi="Times New Roman"/>
          <w:b w:val="0"/>
          <w:bCs w:val="0"/>
          <w:iCs/>
        </w:rPr>
        <w:t>年度地产行业卓越设计贡献奖</w:t>
      </w:r>
      <w:r w:rsidRPr="00566CF7">
        <w:rPr>
          <w:rFonts w:ascii="Times New Roman" w:eastAsia="宋体" w:hAnsi="Times New Roman"/>
          <w:b w:val="0"/>
          <w:bCs w:val="0"/>
          <w:iCs/>
        </w:rPr>
        <w:t>”</w:t>
      </w:r>
      <w:r w:rsidRPr="00566CF7">
        <w:rPr>
          <w:rFonts w:ascii="Times New Roman" w:eastAsia="宋体" w:hAnsi="Times New Roman"/>
          <w:b w:val="0"/>
          <w:bCs w:val="0"/>
          <w:iCs/>
        </w:rPr>
        <w:t>、</w:t>
      </w:r>
      <w:r w:rsidRPr="00566CF7">
        <w:rPr>
          <w:rFonts w:ascii="Times New Roman" w:eastAsia="宋体" w:hAnsi="Times New Roman"/>
          <w:b w:val="0"/>
          <w:bCs w:val="0"/>
          <w:iCs/>
        </w:rPr>
        <w:t>“</w:t>
      </w:r>
      <w:r w:rsidRPr="00566CF7">
        <w:rPr>
          <w:rFonts w:ascii="Times New Roman" w:eastAsia="宋体" w:hAnsi="Times New Roman"/>
          <w:b w:val="0"/>
          <w:bCs w:val="0"/>
          <w:iCs/>
        </w:rPr>
        <w:t>中国房地产优秀服务商</w:t>
      </w:r>
      <w:r w:rsidRPr="00566CF7">
        <w:rPr>
          <w:rFonts w:ascii="Times New Roman" w:eastAsia="宋体" w:hAnsi="Times New Roman"/>
          <w:b w:val="0"/>
          <w:bCs w:val="0"/>
          <w:iCs/>
        </w:rPr>
        <w:t>”</w:t>
      </w:r>
      <w:r w:rsidRPr="00566CF7">
        <w:rPr>
          <w:rFonts w:ascii="Times New Roman" w:eastAsia="宋体" w:hAnsi="Times New Roman"/>
          <w:b w:val="0"/>
          <w:bCs w:val="0"/>
          <w:iCs/>
        </w:rPr>
        <w:t>、</w:t>
      </w:r>
      <w:r w:rsidRPr="00566CF7">
        <w:rPr>
          <w:rFonts w:ascii="Times New Roman" w:eastAsia="宋体" w:hAnsi="Times New Roman"/>
          <w:b w:val="0"/>
          <w:bCs w:val="0"/>
          <w:iCs/>
        </w:rPr>
        <w:t>“CIHAF</w:t>
      </w:r>
      <w:r w:rsidRPr="00566CF7">
        <w:rPr>
          <w:rFonts w:ascii="Times New Roman" w:eastAsia="宋体" w:hAnsi="Times New Roman"/>
          <w:b w:val="0"/>
          <w:bCs w:val="0"/>
          <w:iCs/>
        </w:rPr>
        <w:t>设计中国</w:t>
      </w:r>
      <w:r w:rsidRPr="00566CF7">
        <w:rPr>
          <w:rFonts w:ascii="Times New Roman" w:eastAsia="宋体" w:hAnsi="Times New Roman"/>
          <w:b w:val="0"/>
          <w:bCs w:val="0"/>
          <w:iCs/>
        </w:rPr>
        <w:t>2013</w:t>
      </w:r>
      <w:r w:rsidRPr="00566CF7">
        <w:rPr>
          <w:rFonts w:ascii="Times New Roman" w:eastAsia="宋体" w:hAnsi="Times New Roman"/>
          <w:b w:val="0"/>
          <w:bCs w:val="0"/>
          <w:iCs/>
        </w:rPr>
        <w:t>年度优秀新锐建筑设计机构</w:t>
      </w:r>
      <w:r w:rsidRPr="00566CF7">
        <w:rPr>
          <w:rFonts w:ascii="Times New Roman" w:eastAsia="宋体" w:hAnsi="Times New Roman"/>
          <w:b w:val="0"/>
          <w:bCs w:val="0"/>
          <w:iCs/>
        </w:rPr>
        <w:t>”</w:t>
      </w:r>
      <w:r w:rsidRPr="00566CF7">
        <w:rPr>
          <w:rFonts w:ascii="Times New Roman" w:eastAsia="宋体" w:hAnsi="Times New Roman"/>
          <w:b w:val="0"/>
          <w:bCs w:val="0"/>
          <w:iCs/>
        </w:rPr>
        <w:t>等荣誉，主要设计作品先后获得中国土木工程学会住宅工程指导工作委员会颁发的中国土木工程詹天佑优秀住宅小区金奖，上海市勘察设计行业协会颁发的上海市优秀住宅小区设计一等奖，上海市建筑学会颁发的科技进步奖、建筑创作奖以及意大利</w:t>
      </w:r>
      <w:proofErr w:type="spellStart"/>
      <w:r w:rsidRPr="00566CF7">
        <w:rPr>
          <w:rFonts w:ascii="Times New Roman" w:eastAsia="宋体" w:hAnsi="Times New Roman"/>
          <w:b w:val="0"/>
          <w:bCs w:val="0"/>
          <w:iCs/>
        </w:rPr>
        <w:t>A'Design</w:t>
      </w:r>
      <w:proofErr w:type="spellEnd"/>
      <w:r w:rsidRPr="00566CF7">
        <w:rPr>
          <w:rFonts w:ascii="Times New Roman" w:eastAsia="宋体" w:hAnsi="Times New Roman"/>
          <w:b w:val="0"/>
          <w:bCs w:val="0"/>
          <w:iCs/>
        </w:rPr>
        <w:t xml:space="preserve"> Award</w:t>
      </w:r>
      <w:r w:rsidRPr="00566CF7">
        <w:rPr>
          <w:rFonts w:ascii="Times New Roman" w:eastAsia="宋体" w:hAnsi="Times New Roman"/>
          <w:b w:val="0"/>
          <w:bCs w:val="0"/>
          <w:iCs/>
        </w:rPr>
        <w:t>国际设计奖、德国</w:t>
      </w:r>
      <w:proofErr w:type="spellStart"/>
      <w:r w:rsidRPr="00566CF7">
        <w:rPr>
          <w:rFonts w:ascii="Times New Roman" w:eastAsia="宋体" w:hAnsi="Times New Roman"/>
          <w:b w:val="0"/>
          <w:bCs w:val="0"/>
          <w:iCs/>
        </w:rPr>
        <w:t>iF</w:t>
      </w:r>
      <w:proofErr w:type="spellEnd"/>
      <w:r w:rsidRPr="00566CF7">
        <w:rPr>
          <w:rFonts w:ascii="Times New Roman" w:eastAsia="宋体" w:hAnsi="Times New Roman"/>
          <w:b w:val="0"/>
          <w:bCs w:val="0"/>
          <w:iCs/>
        </w:rPr>
        <w:t>设计奖、</w:t>
      </w:r>
      <w:r w:rsidRPr="00566CF7">
        <w:rPr>
          <w:rFonts w:ascii="Times New Roman" w:eastAsia="宋体" w:hAnsi="Times New Roman"/>
          <w:b w:val="0"/>
          <w:bCs w:val="0"/>
          <w:iCs/>
        </w:rPr>
        <w:t>Architecture Master Prize</w:t>
      </w:r>
      <w:r w:rsidRPr="00566CF7">
        <w:rPr>
          <w:rFonts w:ascii="Times New Roman" w:eastAsia="宋体" w:hAnsi="Times New Roman"/>
          <w:b w:val="0"/>
          <w:bCs w:val="0"/>
          <w:iCs/>
        </w:rPr>
        <w:t>（美国建筑师大奖）、</w:t>
      </w:r>
      <w:r w:rsidRPr="00566CF7">
        <w:rPr>
          <w:rFonts w:ascii="Times New Roman" w:eastAsia="宋体" w:hAnsi="Times New Roman"/>
          <w:b w:val="0"/>
          <w:bCs w:val="0"/>
          <w:iCs/>
        </w:rPr>
        <w:t>ICONIC AWARDS</w:t>
      </w:r>
      <w:r w:rsidRPr="00566CF7">
        <w:rPr>
          <w:rFonts w:ascii="Times New Roman" w:eastAsia="宋体" w:hAnsi="Times New Roman"/>
          <w:b w:val="0"/>
          <w:bCs w:val="0"/>
          <w:iCs/>
        </w:rPr>
        <w:t>（德国标志性设计奖）、</w:t>
      </w:r>
      <w:r w:rsidRPr="00566CF7">
        <w:rPr>
          <w:rFonts w:ascii="Times New Roman" w:eastAsia="宋体" w:hAnsi="Times New Roman"/>
          <w:b w:val="0"/>
          <w:bCs w:val="0"/>
          <w:iCs/>
        </w:rPr>
        <w:t>LONDON DESIGN AWARDS</w:t>
      </w:r>
      <w:r w:rsidRPr="00566CF7">
        <w:rPr>
          <w:rFonts w:ascii="Times New Roman" w:eastAsia="宋体" w:hAnsi="Times New Roman"/>
          <w:b w:val="0"/>
          <w:bCs w:val="0"/>
          <w:iCs/>
        </w:rPr>
        <w:t>（伦敦设计奖）等国内外奖项。</w:t>
      </w:r>
    </w:p>
    <w:p w:rsidR="00797AD6" w:rsidRPr="00566CF7" w:rsidRDefault="008A758F" w:rsidP="00E449CC">
      <w:pPr>
        <w:pStyle w:val="a7"/>
        <w:spacing w:before="156" w:after="156"/>
        <w:ind w:firstLine="480"/>
        <w:rPr>
          <w:rFonts w:ascii="Times New Roman" w:eastAsia="宋体" w:hAnsi="Times New Roman"/>
          <w:b w:val="0"/>
          <w:bCs w:val="0"/>
          <w:iCs/>
        </w:rPr>
      </w:pPr>
      <w:r w:rsidRPr="00566CF7">
        <w:rPr>
          <w:rFonts w:ascii="Times New Roman" w:eastAsia="宋体" w:hAnsi="Times New Roman"/>
          <w:b w:val="0"/>
          <w:bCs w:val="0"/>
          <w:iCs/>
        </w:rPr>
        <w:t>公司</w:t>
      </w:r>
      <w:r w:rsidR="00034BBF" w:rsidRPr="00566CF7">
        <w:rPr>
          <w:rFonts w:ascii="Times New Roman" w:eastAsia="宋体" w:hAnsi="Times New Roman"/>
          <w:b w:val="0"/>
          <w:bCs w:val="0"/>
          <w:iCs/>
        </w:rPr>
        <w:t>将</w:t>
      </w:r>
      <w:r w:rsidRPr="00566CF7">
        <w:rPr>
          <w:rFonts w:ascii="Times New Roman" w:eastAsia="宋体" w:hAnsi="Times New Roman"/>
          <w:b w:val="0"/>
          <w:bCs w:val="0"/>
          <w:iCs/>
        </w:rPr>
        <w:t>凭借在人才、技术、品牌、客户资源等方面的综合优势，</w:t>
      </w:r>
      <w:r w:rsidR="00034BBF" w:rsidRPr="00566CF7">
        <w:rPr>
          <w:rFonts w:ascii="Times New Roman" w:eastAsia="宋体" w:hAnsi="Times New Roman"/>
          <w:b w:val="0"/>
          <w:bCs w:val="0"/>
          <w:iCs/>
        </w:rPr>
        <w:t>持续</w:t>
      </w:r>
      <w:r w:rsidR="00034BBF" w:rsidRPr="00566CF7">
        <w:rPr>
          <w:rFonts w:ascii="Times New Roman" w:eastAsia="宋体" w:hAnsi="Times New Roman"/>
          <w:b w:val="0"/>
          <w:bCs w:val="0"/>
        </w:rPr>
        <w:t>拓展市场客户、实现业务持续发展。</w:t>
      </w:r>
    </w:p>
    <w:p w:rsidR="003E3CC1" w:rsidRPr="00566CF7" w:rsidRDefault="00034BBF" w:rsidP="00E449CC">
      <w:pPr>
        <w:pStyle w:val="a7"/>
        <w:spacing w:before="156" w:after="156"/>
        <w:ind w:firstLine="480"/>
        <w:rPr>
          <w:rFonts w:ascii="Times New Roman" w:eastAsia="宋体" w:hAnsi="Times New Roman"/>
          <w:b w:val="0"/>
          <w:bCs w:val="0"/>
        </w:rPr>
      </w:pPr>
      <w:r w:rsidRPr="00566CF7">
        <w:rPr>
          <w:rFonts w:ascii="Times New Roman" w:eastAsia="宋体" w:hAnsi="Times New Roman"/>
          <w:b w:val="0"/>
          <w:bCs w:val="0"/>
        </w:rPr>
        <w:t>综上</w:t>
      </w:r>
      <w:r w:rsidR="00797AD6" w:rsidRPr="00566CF7">
        <w:rPr>
          <w:rFonts w:ascii="Times New Roman" w:eastAsia="宋体" w:hAnsi="Times New Roman"/>
          <w:b w:val="0"/>
          <w:bCs w:val="0"/>
        </w:rPr>
        <w:t>，</w:t>
      </w:r>
      <w:r w:rsidRPr="00566CF7">
        <w:rPr>
          <w:rFonts w:ascii="Times New Roman" w:eastAsia="宋体" w:hAnsi="Times New Roman"/>
          <w:b w:val="0"/>
          <w:bCs w:val="0"/>
        </w:rPr>
        <w:t>发行人业务发展具有可持续性</w:t>
      </w:r>
      <w:r w:rsidR="00797AD6" w:rsidRPr="00566CF7">
        <w:rPr>
          <w:rFonts w:ascii="Times New Roman" w:eastAsia="宋体" w:hAnsi="Times New Roman"/>
          <w:b w:val="0"/>
          <w:bCs w:val="0"/>
        </w:rPr>
        <w:t>。</w:t>
      </w:r>
    </w:p>
    <w:p w:rsidR="00510166" w:rsidRPr="00510166" w:rsidRDefault="00510166" w:rsidP="00E449CC">
      <w:pPr>
        <w:pStyle w:val="a7"/>
        <w:spacing w:before="156" w:after="156"/>
        <w:rPr>
          <w:rFonts w:ascii="Times New Roman" w:eastAsia="宋体" w:hAnsi="Times New Roman"/>
        </w:rPr>
      </w:pPr>
      <w:r w:rsidRPr="00510166">
        <w:rPr>
          <w:rFonts w:ascii="Times New Roman" w:eastAsia="宋体" w:hAnsi="Times New Roman"/>
        </w:rPr>
        <w:t>2</w:t>
      </w:r>
      <w:r w:rsidRPr="00510166">
        <w:rPr>
          <w:rFonts w:ascii="Times New Roman" w:eastAsia="宋体" w:hAnsi="Times New Roman"/>
        </w:rPr>
        <w:t>、补充披露房地产调控政策对发行人经营业绩的影响，并做重大风险提示</w:t>
      </w:r>
    </w:p>
    <w:p w:rsidR="00510166" w:rsidRDefault="00510166" w:rsidP="00510166">
      <w:pPr>
        <w:pStyle w:val="11"/>
        <w:spacing w:before="156" w:after="156"/>
        <w:rPr>
          <w:rFonts w:cs="Times New Roman"/>
          <w:bCs/>
          <w:iCs/>
          <w:lang w:bidi="en-US"/>
        </w:rPr>
      </w:pPr>
      <w:r w:rsidRPr="00FE23AE">
        <w:rPr>
          <w:rFonts w:cs="Times New Roman" w:hint="eastAsia"/>
          <w:bCs/>
          <w:iCs/>
          <w:lang w:bidi="en-US"/>
        </w:rPr>
        <w:t>发行人已在招股</w:t>
      </w:r>
      <w:r w:rsidRPr="00F43503">
        <w:rPr>
          <w:rFonts w:ascii="宋体" w:hAnsi="宋体" w:cs="Times New Roman" w:hint="eastAsia"/>
          <w:bCs/>
          <w:iCs/>
          <w:lang w:bidi="en-US"/>
        </w:rPr>
        <w:t>说明书“第四节</w:t>
      </w:r>
      <w:r w:rsidRPr="00F43503">
        <w:rPr>
          <w:rFonts w:ascii="宋体" w:hAnsi="宋体" w:cs="Times New Roman"/>
          <w:bCs/>
          <w:iCs/>
          <w:lang w:bidi="en-US"/>
        </w:rPr>
        <w:t xml:space="preserve"> 风险因素”之“</w:t>
      </w:r>
      <w:r w:rsidRPr="00F43503">
        <w:rPr>
          <w:rFonts w:ascii="宋体" w:hAnsi="宋体" w:cs="Times New Roman" w:hint="eastAsia"/>
          <w:bCs/>
          <w:iCs/>
          <w:lang w:bidi="en-US"/>
        </w:rPr>
        <w:t>三</w:t>
      </w:r>
      <w:r w:rsidRPr="00F43503">
        <w:rPr>
          <w:rFonts w:ascii="宋体" w:hAnsi="宋体" w:cs="Times New Roman"/>
          <w:bCs/>
          <w:iCs/>
          <w:lang w:bidi="en-US"/>
        </w:rPr>
        <w:t>、</w:t>
      </w:r>
      <w:r w:rsidRPr="00F43503">
        <w:rPr>
          <w:rFonts w:ascii="宋体" w:hAnsi="宋体" w:cs="Times New Roman" w:hint="eastAsia"/>
          <w:bCs/>
          <w:iCs/>
          <w:lang w:bidi="en-US"/>
        </w:rPr>
        <w:t>经营风险</w:t>
      </w:r>
      <w:r w:rsidRPr="00F43503">
        <w:rPr>
          <w:rFonts w:ascii="宋体" w:hAnsi="宋体" w:cs="Times New Roman"/>
          <w:bCs/>
          <w:iCs/>
          <w:lang w:bidi="en-US"/>
        </w:rPr>
        <w:t>”之“（</w:t>
      </w:r>
      <w:r w:rsidRPr="00F43503">
        <w:rPr>
          <w:rFonts w:ascii="宋体" w:hAnsi="宋体" w:cs="Times New Roman" w:hint="eastAsia"/>
          <w:bCs/>
          <w:iCs/>
          <w:lang w:bidi="en-US"/>
        </w:rPr>
        <w:t>三</w:t>
      </w:r>
      <w:r w:rsidRPr="00F43503">
        <w:rPr>
          <w:rFonts w:ascii="宋体" w:hAnsi="宋体" w:cs="Times New Roman"/>
          <w:bCs/>
          <w:iCs/>
          <w:lang w:bidi="en-US"/>
        </w:rPr>
        <w:t>）</w:t>
      </w:r>
      <w:r w:rsidRPr="00F43503">
        <w:rPr>
          <w:rFonts w:ascii="宋体" w:hAnsi="宋体" w:cs="Times New Roman" w:hint="eastAsia"/>
          <w:bCs/>
          <w:iCs/>
          <w:lang w:bidi="en-US"/>
        </w:rPr>
        <w:t>房地产行业调控的风险</w:t>
      </w:r>
      <w:r w:rsidRPr="00F43503">
        <w:rPr>
          <w:rFonts w:ascii="宋体" w:hAnsi="宋体" w:cs="Times New Roman"/>
          <w:bCs/>
          <w:iCs/>
          <w:lang w:bidi="en-US"/>
        </w:rPr>
        <w:t>”</w:t>
      </w:r>
      <w:r>
        <w:rPr>
          <w:rFonts w:ascii="宋体" w:hAnsi="宋体" w:cs="Times New Roman" w:hint="eastAsia"/>
          <w:bCs/>
          <w:iCs/>
          <w:lang w:bidi="en-US"/>
        </w:rPr>
        <w:t>以及</w:t>
      </w:r>
      <w:r w:rsidRPr="00F43503">
        <w:rPr>
          <w:rFonts w:ascii="宋体" w:hAnsi="宋体" w:cs="Times New Roman" w:hint="eastAsia"/>
          <w:bCs/>
          <w:iCs/>
          <w:lang w:bidi="en-US"/>
        </w:rPr>
        <w:t>“</w:t>
      </w:r>
      <w:r>
        <w:rPr>
          <w:rFonts w:ascii="宋体" w:hAnsi="宋体" w:cs="Times New Roman" w:hint="eastAsia"/>
          <w:bCs/>
          <w:iCs/>
          <w:lang w:bidi="en-US"/>
        </w:rPr>
        <w:t>重大事项提示</w:t>
      </w:r>
      <w:r w:rsidRPr="00F43503">
        <w:rPr>
          <w:rFonts w:ascii="宋体" w:hAnsi="宋体" w:cs="Times New Roman"/>
          <w:bCs/>
          <w:iCs/>
          <w:lang w:bidi="en-US"/>
        </w:rPr>
        <w:t>”之“</w:t>
      </w:r>
      <w:r w:rsidRPr="00510166">
        <w:rPr>
          <w:rFonts w:ascii="宋体" w:hAnsi="宋体" w:cs="Times New Roman" w:hint="eastAsia"/>
          <w:bCs/>
          <w:iCs/>
          <w:lang w:bidi="en-US"/>
        </w:rPr>
        <w:t>三、风险提示</w:t>
      </w:r>
      <w:r>
        <w:rPr>
          <w:rFonts w:ascii="宋体" w:hAnsi="宋体" w:cs="Times New Roman" w:hint="eastAsia"/>
          <w:bCs/>
          <w:iCs/>
          <w:lang w:bidi="en-US"/>
        </w:rPr>
        <w:t>”</w:t>
      </w:r>
      <w:r w:rsidRPr="00F43503">
        <w:rPr>
          <w:rFonts w:ascii="宋体" w:hAnsi="宋体" w:cs="Times New Roman"/>
          <w:bCs/>
          <w:iCs/>
          <w:lang w:bidi="en-US"/>
        </w:rPr>
        <w:t>补充披露</w:t>
      </w:r>
      <w:r w:rsidRPr="00FE23AE">
        <w:rPr>
          <w:rFonts w:cs="Times New Roman"/>
          <w:bCs/>
          <w:iCs/>
          <w:lang w:bidi="en-US"/>
        </w:rPr>
        <w:t>如下：</w:t>
      </w:r>
    </w:p>
    <w:p w:rsidR="00510166" w:rsidRPr="00566CF7" w:rsidRDefault="00510166" w:rsidP="00510166">
      <w:pPr>
        <w:pStyle w:val="11"/>
        <w:spacing w:before="156" w:after="156"/>
        <w:rPr>
          <w:rFonts w:cs="Times New Roman"/>
          <w:bCs/>
          <w:iCs/>
          <w:lang w:bidi="en-US"/>
        </w:rPr>
      </w:pPr>
      <w:r w:rsidRPr="00566CF7">
        <w:rPr>
          <w:rFonts w:cs="Times New Roman"/>
          <w:bCs/>
          <w:iCs/>
          <w:lang w:bidi="en-US"/>
        </w:rPr>
        <w:t>公司所属的建筑设计行业与房地产行业密切相关。房地产行业具有一定的周期性，受宏观经济形势、产业政策调控影响明显。近年来，我国政府针对房地产行业出台了一系列调控政策，如</w:t>
      </w:r>
      <w:r w:rsidRPr="00566CF7">
        <w:rPr>
          <w:rFonts w:cs="Times New Roman"/>
          <w:bCs/>
          <w:iCs/>
          <w:lang w:bidi="en-US"/>
        </w:rPr>
        <w:t>“</w:t>
      </w:r>
      <w:r w:rsidRPr="00566CF7">
        <w:rPr>
          <w:rFonts w:cs="Times New Roman"/>
          <w:bCs/>
          <w:iCs/>
          <w:lang w:bidi="en-US"/>
        </w:rPr>
        <w:t>新国五条</w:t>
      </w:r>
      <w:r w:rsidRPr="00566CF7">
        <w:rPr>
          <w:rFonts w:cs="Times New Roman"/>
          <w:bCs/>
          <w:iCs/>
          <w:lang w:bidi="en-US"/>
        </w:rPr>
        <w:t>”</w:t>
      </w:r>
      <w:r w:rsidRPr="00566CF7">
        <w:rPr>
          <w:rFonts w:cs="Times New Roman"/>
          <w:bCs/>
          <w:iCs/>
          <w:lang w:bidi="en-US"/>
        </w:rPr>
        <w:t>，</w:t>
      </w:r>
      <w:r w:rsidRPr="00566CF7">
        <w:rPr>
          <w:rFonts w:cs="Times New Roman"/>
          <w:bCs/>
          <w:iCs/>
          <w:lang w:bidi="en-US"/>
        </w:rPr>
        <w:t>2018</w:t>
      </w:r>
      <w:r w:rsidRPr="00566CF7">
        <w:rPr>
          <w:rFonts w:cs="Times New Roman"/>
          <w:bCs/>
          <w:iCs/>
          <w:lang w:bidi="en-US"/>
        </w:rPr>
        <w:t>年</w:t>
      </w:r>
      <w:r w:rsidRPr="00566CF7">
        <w:rPr>
          <w:rFonts w:cs="Times New Roman"/>
          <w:bCs/>
          <w:iCs/>
          <w:lang w:bidi="en-US"/>
        </w:rPr>
        <w:t>4</w:t>
      </w:r>
      <w:r w:rsidRPr="00566CF7">
        <w:rPr>
          <w:rFonts w:cs="Times New Roman"/>
          <w:bCs/>
          <w:iCs/>
          <w:lang w:bidi="en-US"/>
        </w:rPr>
        <w:t>月央行、银保监会、证监会、外汇局联合发布《关于规范金融机构资产管理业务的指导意见》（</w:t>
      </w:r>
      <w:r w:rsidRPr="00566CF7">
        <w:rPr>
          <w:rFonts w:cs="Times New Roman"/>
          <w:bCs/>
          <w:iCs/>
          <w:lang w:bidi="en-US"/>
        </w:rPr>
        <w:t>“</w:t>
      </w:r>
      <w:r w:rsidRPr="00566CF7">
        <w:rPr>
          <w:rFonts w:cs="Times New Roman"/>
          <w:bCs/>
          <w:iCs/>
          <w:lang w:bidi="en-US"/>
        </w:rPr>
        <w:t>资管新规</w:t>
      </w:r>
      <w:r w:rsidRPr="00566CF7">
        <w:rPr>
          <w:rFonts w:cs="Times New Roman"/>
          <w:bCs/>
          <w:iCs/>
          <w:lang w:bidi="en-US"/>
        </w:rPr>
        <w:t>”</w:t>
      </w:r>
      <w:r w:rsidRPr="00566CF7">
        <w:rPr>
          <w:rFonts w:cs="Times New Roman"/>
          <w:bCs/>
          <w:iCs/>
          <w:lang w:bidi="en-US"/>
        </w:rPr>
        <w:t>），</w:t>
      </w:r>
      <w:r w:rsidRPr="00566CF7">
        <w:rPr>
          <w:rFonts w:cs="Times New Roman"/>
          <w:bCs/>
          <w:iCs/>
          <w:lang w:bidi="en-US"/>
        </w:rPr>
        <w:t>2019</w:t>
      </w:r>
      <w:r w:rsidRPr="00566CF7">
        <w:rPr>
          <w:rFonts w:cs="Times New Roman"/>
          <w:bCs/>
          <w:iCs/>
          <w:lang w:bidi="en-US"/>
        </w:rPr>
        <w:t>年</w:t>
      </w:r>
      <w:r w:rsidRPr="00566CF7">
        <w:rPr>
          <w:rFonts w:cs="Times New Roman"/>
          <w:bCs/>
          <w:iCs/>
          <w:lang w:bidi="en-US"/>
        </w:rPr>
        <w:t>5</w:t>
      </w:r>
      <w:r w:rsidRPr="00566CF7">
        <w:rPr>
          <w:rFonts w:cs="Times New Roman"/>
          <w:bCs/>
          <w:iCs/>
          <w:lang w:bidi="en-US"/>
        </w:rPr>
        <w:t>月银保监会发布《关于开展</w:t>
      </w:r>
      <w:r w:rsidRPr="00566CF7">
        <w:rPr>
          <w:rFonts w:cs="Times New Roman"/>
          <w:bCs/>
          <w:iCs/>
          <w:lang w:bidi="en-US"/>
        </w:rPr>
        <w:t>“</w:t>
      </w:r>
      <w:r w:rsidRPr="00566CF7">
        <w:rPr>
          <w:rFonts w:cs="Times New Roman"/>
          <w:bCs/>
          <w:iCs/>
          <w:lang w:bidi="en-US"/>
        </w:rPr>
        <w:t>巩固治乱象成果</w:t>
      </w:r>
      <w:r w:rsidRPr="00566CF7">
        <w:rPr>
          <w:rFonts w:cs="Times New Roman"/>
          <w:bCs/>
          <w:iCs/>
          <w:lang w:bidi="en-US"/>
        </w:rPr>
        <w:t xml:space="preserve"> </w:t>
      </w:r>
      <w:r w:rsidRPr="00566CF7">
        <w:rPr>
          <w:rFonts w:cs="Times New Roman"/>
          <w:bCs/>
          <w:iCs/>
          <w:lang w:bidi="en-US"/>
        </w:rPr>
        <w:t>促进合规建设</w:t>
      </w:r>
      <w:r w:rsidRPr="00566CF7">
        <w:rPr>
          <w:rFonts w:cs="Times New Roman"/>
          <w:bCs/>
          <w:iCs/>
          <w:lang w:bidi="en-US"/>
        </w:rPr>
        <w:t>”</w:t>
      </w:r>
      <w:r w:rsidRPr="00566CF7">
        <w:rPr>
          <w:rFonts w:cs="Times New Roman"/>
          <w:bCs/>
          <w:iCs/>
          <w:lang w:bidi="en-US"/>
        </w:rPr>
        <w:t>工作的通知》（</w:t>
      </w:r>
      <w:r w:rsidRPr="00566CF7">
        <w:rPr>
          <w:rFonts w:cs="Times New Roman"/>
          <w:bCs/>
          <w:iCs/>
          <w:lang w:bidi="en-US"/>
        </w:rPr>
        <w:t>“23</w:t>
      </w:r>
      <w:r w:rsidRPr="00566CF7">
        <w:rPr>
          <w:rFonts w:cs="Times New Roman"/>
          <w:bCs/>
          <w:iCs/>
          <w:lang w:bidi="en-US"/>
        </w:rPr>
        <w:t>号文</w:t>
      </w:r>
      <w:r w:rsidRPr="00566CF7">
        <w:rPr>
          <w:rFonts w:cs="Times New Roman"/>
          <w:bCs/>
          <w:iCs/>
          <w:lang w:bidi="en-US"/>
        </w:rPr>
        <w:t>”</w:t>
      </w:r>
      <w:r w:rsidRPr="00566CF7">
        <w:rPr>
          <w:rFonts w:cs="Times New Roman"/>
          <w:bCs/>
          <w:iCs/>
          <w:lang w:bidi="en-US"/>
        </w:rPr>
        <w:t>）等，上述政策从限制房地产企业融资规模、增加保障性住房和普通商品住房有效供给、抑制投资投机性购房需求、促进供应土地的及时开发利用等多个方面进行调控。同时，政府推出的限购、提高交易税费等短期调控政策，也直接影响了商品住宅的短期需求，一定程度上造成了房地产市场成交量的下降。这些经济政策都会对公司业务发展构成一定影响。在上述政策背景下，</w:t>
      </w:r>
      <w:r w:rsidRPr="00566CF7">
        <w:rPr>
          <w:rFonts w:cs="Times New Roman"/>
          <w:bCs/>
          <w:iCs/>
          <w:lang w:bidi="en-US"/>
        </w:rPr>
        <w:lastRenderedPageBreak/>
        <w:t>2019</w:t>
      </w:r>
      <w:r w:rsidRPr="00566CF7">
        <w:rPr>
          <w:rFonts w:cs="Times New Roman"/>
          <w:bCs/>
          <w:iCs/>
          <w:lang w:bidi="en-US"/>
        </w:rPr>
        <w:t>年度公司实现营业收入</w:t>
      </w:r>
      <w:r w:rsidRPr="00566CF7">
        <w:rPr>
          <w:rFonts w:cs="Times New Roman"/>
          <w:bCs/>
          <w:iCs/>
          <w:lang w:bidi="en-US"/>
        </w:rPr>
        <w:t>26,664.14</w:t>
      </w:r>
      <w:r w:rsidRPr="00566CF7">
        <w:rPr>
          <w:rFonts w:cs="Times New Roman"/>
          <w:bCs/>
          <w:iCs/>
          <w:lang w:bidi="en-US"/>
        </w:rPr>
        <w:t>万元，净利润</w:t>
      </w:r>
      <w:r w:rsidRPr="00566CF7">
        <w:rPr>
          <w:rFonts w:cs="Times New Roman"/>
          <w:bCs/>
          <w:iCs/>
          <w:lang w:bidi="en-US"/>
        </w:rPr>
        <w:t>6,366.53</w:t>
      </w:r>
      <w:r w:rsidRPr="00566CF7">
        <w:rPr>
          <w:rFonts w:cs="Times New Roman"/>
          <w:bCs/>
          <w:iCs/>
          <w:lang w:bidi="en-US"/>
        </w:rPr>
        <w:t>万元，增速有所放缓，同时当年经营回款情况有所下降，当年应收账款及应收票据占营业收入比例</w:t>
      </w:r>
      <w:r w:rsidRPr="00566CF7">
        <w:rPr>
          <w:rFonts w:cs="Times New Roman"/>
          <w:bCs/>
          <w:iCs/>
          <w:lang w:bidi="en-US"/>
        </w:rPr>
        <w:t>80.71%</w:t>
      </w:r>
      <w:r w:rsidRPr="00566CF7">
        <w:rPr>
          <w:rFonts w:cs="Times New Roman"/>
          <w:bCs/>
          <w:iCs/>
          <w:lang w:bidi="en-US"/>
        </w:rPr>
        <w:t>，较以前年度有所上升。</w:t>
      </w:r>
    </w:p>
    <w:p w:rsidR="00510166" w:rsidRPr="00566CF7" w:rsidRDefault="00510166" w:rsidP="00510166">
      <w:pPr>
        <w:pStyle w:val="11"/>
        <w:spacing w:before="156" w:after="156"/>
        <w:rPr>
          <w:rFonts w:cs="Times New Roman"/>
          <w:bCs/>
          <w:iCs/>
          <w:lang w:bidi="en-US"/>
        </w:rPr>
      </w:pPr>
      <w:r w:rsidRPr="00566CF7">
        <w:rPr>
          <w:rFonts w:cs="Times New Roman"/>
          <w:bCs/>
        </w:rPr>
        <w:t xml:space="preserve">2020 </w:t>
      </w:r>
      <w:r w:rsidRPr="00566CF7">
        <w:rPr>
          <w:rFonts w:cs="Times New Roman"/>
          <w:bCs/>
        </w:rPr>
        <w:t>年前三季度，我国住宅新开工面积共计</w:t>
      </w:r>
      <w:r w:rsidRPr="00566CF7">
        <w:rPr>
          <w:rFonts w:cs="Times New Roman"/>
          <w:bCs/>
        </w:rPr>
        <w:t xml:space="preserve"> 117,193 </w:t>
      </w:r>
      <w:proofErr w:type="gramStart"/>
      <w:r w:rsidRPr="00566CF7">
        <w:rPr>
          <w:rFonts w:cs="Times New Roman"/>
          <w:bCs/>
        </w:rPr>
        <w:t>万平方米</w:t>
      </w:r>
      <w:proofErr w:type="gramEnd"/>
      <w:r w:rsidRPr="00566CF7">
        <w:rPr>
          <w:rFonts w:cs="Times New Roman"/>
          <w:bCs/>
        </w:rPr>
        <w:t>，较</w:t>
      </w:r>
      <w:r w:rsidRPr="00566CF7">
        <w:rPr>
          <w:rFonts w:cs="Times New Roman"/>
          <w:bCs/>
        </w:rPr>
        <w:t xml:space="preserve"> 2019 </w:t>
      </w:r>
      <w:r w:rsidRPr="00566CF7">
        <w:rPr>
          <w:rFonts w:cs="Times New Roman"/>
          <w:bCs/>
        </w:rPr>
        <w:t>年前三季度下降</w:t>
      </w:r>
      <w:r w:rsidRPr="00566CF7">
        <w:rPr>
          <w:rFonts w:cs="Times New Roman"/>
          <w:bCs/>
        </w:rPr>
        <w:t xml:space="preserve"> 4.18%</w:t>
      </w:r>
      <w:r w:rsidRPr="00566CF7">
        <w:rPr>
          <w:rFonts w:cs="Times New Roman"/>
          <w:bCs/>
        </w:rPr>
        <w:t>。其中，受新冠疫情影响，</w:t>
      </w:r>
      <w:r w:rsidRPr="00566CF7">
        <w:rPr>
          <w:rFonts w:cs="Times New Roman"/>
          <w:bCs/>
        </w:rPr>
        <w:t xml:space="preserve">2020 </w:t>
      </w:r>
      <w:r w:rsidRPr="00566CF7">
        <w:rPr>
          <w:rFonts w:cs="Times New Roman"/>
          <w:bCs/>
        </w:rPr>
        <w:t>年第一季度住宅新开工面积</w:t>
      </w:r>
      <w:r w:rsidRPr="00566CF7">
        <w:rPr>
          <w:rFonts w:cs="Times New Roman"/>
          <w:bCs/>
        </w:rPr>
        <w:t xml:space="preserve"> 20,799 </w:t>
      </w:r>
      <w:proofErr w:type="gramStart"/>
      <w:r w:rsidRPr="00566CF7">
        <w:rPr>
          <w:rFonts w:cs="Times New Roman"/>
          <w:bCs/>
        </w:rPr>
        <w:t>万平方米</w:t>
      </w:r>
      <w:proofErr w:type="gramEnd"/>
      <w:r w:rsidRPr="00566CF7">
        <w:rPr>
          <w:rFonts w:cs="Times New Roman"/>
          <w:bCs/>
        </w:rPr>
        <w:t>，较</w:t>
      </w:r>
      <w:r w:rsidRPr="00566CF7">
        <w:rPr>
          <w:rFonts w:cs="Times New Roman"/>
          <w:bCs/>
        </w:rPr>
        <w:t xml:space="preserve"> 2019 </w:t>
      </w:r>
      <w:r w:rsidRPr="00566CF7">
        <w:rPr>
          <w:rFonts w:cs="Times New Roman"/>
          <w:bCs/>
        </w:rPr>
        <w:t>年同期下降</w:t>
      </w:r>
      <w:r w:rsidRPr="00566CF7">
        <w:rPr>
          <w:rFonts w:cs="Times New Roman"/>
          <w:bCs/>
        </w:rPr>
        <w:t xml:space="preserve"> 26.94%</w:t>
      </w:r>
      <w:r w:rsidRPr="00566CF7">
        <w:rPr>
          <w:rFonts w:cs="Times New Roman"/>
          <w:bCs/>
        </w:rPr>
        <w:t>。随着国内普遍复产复工，第二季度及第三季度住宅新开工面积分别为</w:t>
      </w:r>
      <w:r w:rsidRPr="00566CF7">
        <w:rPr>
          <w:rFonts w:cs="Times New Roman"/>
          <w:bCs/>
        </w:rPr>
        <w:t xml:space="preserve"> 50,784 </w:t>
      </w:r>
      <w:proofErr w:type="gramStart"/>
      <w:r w:rsidRPr="00566CF7">
        <w:rPr>
          <w:rFonts w:cs="Times New Roman"/>
          <w:bCs/>
        </w:rPr>
        <w:t>万平方米</w:t>
      </w:r>
      <w:proofErr w:type="gramEnd"/>
      <w:r w:rsidRPr="00566CF7">
        <w:rPr>
          <w:rFonts w:cs="Times New Roman"/>
          <w:bCs/>
        </w:rPr>
        <w:t>及</w:t>
      </w:r>
      <w:r w:rsidRPr="00566CF7">
        <w:rPr>
          <w:rFonts w:cs="Times New Roman"/>
          <w:bCs/>
        </w:rPr>
        <w:t xml:space="preserve"> 45,610 </w:t>
      </w:r>
      <w:proofErr w:type="gramStart"/>
      <w:r w:rsidRPr="00566CF7">
        <w:rPr>
          <w:rFonts w:cs="Times New Roman"/>
          <w:bCs/>
        </w:rPr>
        <w:t>万平方米</w:t>
      </w:r>
      <w:proofErr w:type="gramEnd"/>
      <w:r w:rsidRPr="00566CF7">
        <w:rPr>
          <w:rFonts w:cs="Times New Roman"/>
          <w:bCs/>
        </w:rPr>
        <w:t>，较</w:t>
      </w:r>
      <w:r w:rsidRPr="00566CF7">
        <w:rPr>
          <w:rFonts w:cs="Times New Roman"/>
          <w:bCs/>
        </w:rPr>
        <w:t xml:space="preserve"> 2019 </w:t>
      </w:r>
      <w:r w:rsidRPr="00566CF7">
        <w:rPr>
          <w:rFonts w:cs="Times New Roman"/>
          <w:bCs/>
        </w:rPr>
        <w:t>年同期分别增长</w:t>
      </w:r>
      <w:r w:rsidRPr="00566CF7">
        <w:rPr>
          <w:rFonts w:cs="Times New Roman"/>
          <w:bCs/>
        </w:rPr>
        <w:t xml:space="preserve"> 2.53%</w:t>
      </w:r>
      <w:r w:rsidRPr="00566CF7">
        <w:rPr>
          <w:rFonts w:cs="Times New Roman"/>
          <w:bCs/>
        </w:rPr>
        <w:t>及</w:t>
      </w:r>
      <w:r w:rsidRPr="00566CF7">
        <w:rPr>
          <w:rFonts w:cs="Times New Roman"/>
          <w:bCs/>
        </w:rPr>
        <w:t xml:space="preserve"> 2.93%</w:t>
      </w:r>
      <w:r w:rsidRPr="00566CF7">
        <w:rPr>
          <w:rFonts w:cs="Times New Roman"/>
          <w:bCs/>
        </w:rPr>
        <w:t>，基本恢复正常增长水平。住宅新开工面积可能发生的不利变化会对公司经营业绩造成影响。</w:t>
      </w:r>
    </w:p>
    <w:p w:rsidR="00510166" w:rsidRPr="00566CF7" w:rsidRDefault="00510166" w:rsidP="00510166">
      <w:pPr>
        <w:pStyle w:val="11"/>
        <w:spacing w:before="156" w:after="156"/>
        <w:rPr>
          <w:rFonts w:cs="Times New Roman"/>
          <w:bCs/>
          <w:iCs/>
          <w:lang w:bidi="en-US"/>
        </w:rPr>
      </w:pPr>
      <w:r w:rsidRPr="00566CF7">
        <w:rPr>
          <w:rFonts w:cs="Times New Roman"/>
          <w:bCs/>
        </w:rPr>
        <w:t>同时，</w:t>
      </w:r>
      <w:r w:rsidRPr="00566CF7">
        <w:rPr>
          <w:rFonts w:cs="Times New Roman"/>
          <w:bCs/>
        </w:rPr>
        <w:t>2020</w:t>
      </w:r>
      <w:r w:rsidRPr="00566CF7">
        <w:rPr>
          <w:rFonts w:cs="Times New Roman"/>
          <w:bCs/>
        </w:rPr>
        <w:t>年</w:t>
      </w:r>
      <w:r w:rsidRPr="00566CF7">
        <w:rPr>
          <w:rFonts w:cs="Times New Roman"/>
          <w:bCs/>
        </w:rPr>
        <w:t>8</w:t>
      </w:r>
      <w:r w:rsidRPr="00566CF7">
        <w:rPr>
          <w:rFonts w:cs="Times New Roman"/>
          <w:bCs/>
        </w:rPr>
        <w:t>月，监管部门出台房地产融资新</w:t>
      </w:r>
      <w:proofErr w:type="gramStart"/>
      <w:r w:rsidRPr="00566CF7">
        <w:rPr>
          <w:rFonts w:cs="Times New Roman"/>
          <w:bCs/>
        </w:rPr>
        <w:t>规</w:t>
      </w:r>
      <w:proofErr w:type="gramEnd"/>
      <w:r w:rsidRPr="00566CF7">
        <w:rPr>
          <w:rFonts w:cs="Times New Roman"/>
          <w:bCs/>
        </w:rPr>
        <w:t>，设置</w:t>
      </w:r>
      <w:r w:rsidRPr="00566CF7">
        <w:rPr>
          <w:rFonts w:cs="Times New Roman"/>
          <w:bCs/>
        </w:rPr>
        <w:t>“</w:t>
      </w:r>
      <w:r w:rsidRPr="00566CF7">
        <w:rPr>
          <w:rFonts w:cs="Times New Roman"/>
          <w:bCs/>
        </w:rPr>
        <w:t>三道红线</w:t>
      </w:r>
      <w:r w:rsidRPr="00566CF7">
        <w:rPr>
          <w:rFonts w:cs="Times New Roman"/>
          <w:bCs/>
        </w:rPr>
        <w:t>”</w:t>
      </w:r>
      <w:r w:rsidRPr="00566CF7">
        <w:rPr>
          <w:rFonts w:cs="Times New Roman"/>
          <w:bCs/>
        </w:rPr>
        <w:t>控制房地产企业有息债务的增长，旨在保障地产行业的持续健康发展，通过</w:t>
      </w:r>
      <w:proofErr w:type="gramStart"/>
      <w:r w:rsidRPr="00566CF7">
        <w:rPr>
          <w:rFonts w:cs="Times New Roman"/>
          <w:bCs/>
        </w:rPr>
        <w:t>控制房企有息</w:t>
      </w:r>
      <w:proofErr w:type="gramEnd"/>
      <w:r w:rsidRPr="00566CF7">
        <w:rPr>
          <w:rFonts w:cs="Times New Roman"/>
          <w:bCs/>
        </w:rPr>
        <w:t>负债规模增长速度，对地产行业融资供给进行结构性调控。其中，公司报告期内的主要客户，保利、</w:t>
      </w:r>
      <w:proofErr w:type="gramStart"/>
      <w:r w:rsidRPr="00566CF7">
        <w:rPr>
          <w:rFonts w:cs="Times New Roman"/>
          <w:bCs/>
        </w:rPr>
        <w:t>世</w:t>
      </w:r>
      <w:proofErr w:type="gramEnd"/>
      <w:r w:rsidRPr="00566CF7">
        <w:rPr>
          <w:rFonts w:cs="Times New Roman"/>
          <w:bCs/>
        </w:rPr>
        <w:t>茂归入绿色档，未触及红线，其他客户例如绿地、阳光城、北辰等，根据触及红线数量的不同，相应被归入黄、橙、红三档。在上述融资政策调整预期下，可能会导致该等客户的融资难度有所增加，从而给公司带来应收账款回款周期延长、发生坏账损失的可能性增加等经营风险。若公司上述主要客户未能较好地应对包括</w:t>
      </w:r>
      <w:r w:rsidRPr="00566CF7">
        <w:rPr>
          <w:rFonts w:cs="Times New Roman"/>
          <w:bCs/>
        </w:rPr>
        <w:t>“</w:t>
      </w:r>
      <w:r w:rsidRPr="00566CF7">
        <w:rPr>
          <w:rFonts w:cs="Times New Roman"/>
          <w:bCs/>
        </w:rPr>
        <w:t>三道红线</w:t>
      </w:r>
      <w:r w:rsidRPr="00566CF7">
        <w:rPr>
          <w:rFonts w:cs="Times New Roman"/>
          <w:bCs/>
        </w:rPr>
        <w:t>”</w:t>
      </w:r>
      <w:r w:rsidRPr="00566CF7">
        <w:rPr>
          <w:rFonts w:cs="Times New Roman"/>
          <w:bCs/>
        </w:rPr>
        <w:t>在内的房地产宏观调控政策，将会对公司的经营业绩构成冲击。</w:t>
      </w:r>
    </w:p>
    <w:p w:rsidR="00510166" w:rsidRPr="00566CF7" w:rsidRDefault="00510166" w:rsidP="00510166">
      <w:pPr>
        <w:pStyle w:val="11"/>
        <w:spacing w:before="156" w:after="156"/>
        <w:rPr>
          <w:rFonts w:cs="Times New Roman"/>
          <w:bCs/>
          <w:iCs/>
          <w:lang w:bidi="en-US"/>
        </w:rPr>
      </w:pPr>
      <w:r w:rsidRPr="00566CF7">
        <w:rPr>
          <w:rFonts w:cs="Times New Roman"/>
          <w:bCs/>
          <w:iCs/>
          <w:lang w:bidi="en-US"/>
        </w:rPr>
        <w:t>目前，房地产行业调控政策已趋于稳定，但若政府进一步加大对房地产市场调控，可能导致房地产开发企业调整长期经营部署、减少土地投资、推迟项目开发、延长付款周期，对公司现有业务的推进、未来市场的开拓以及资金的及时回收造成不利影响，进而使得公司业绩增速有所放缓、经营活动现金流量有所下降。</w:t>
      </w:r>
    </w:p>
    <w:p w:rsidR="009526D1" w:rsidRPr="00510166" w:rsidRDefault="009526D1" w:rsidP="00E449CC">
      <w:pPr>
        <w:pStyle w:val="a7"/>
        <w:spacing w:before="156" w:after="156"/>
      </w:pPr>
    </w:p>
    <w:p w:rsidR="00776F91" w:rsidRPr="009C0832" w:rsidRDefault="00776F91" w:rsidP="00E449CC">
      <w:pPr>
        <w:pStyle w:val="a4"/>
        <w:spacing w:before="156" w:after="156"/>
      </w:pPr>
      <w:r w:rsidRPr="009C0832">
        <w:rPr>
          <w:rFonts w:hint="eastAsia"/>
        </w:rPr>
        <w:t>【中介机构核查意见】</w:t>
      </w:r>
    </w:p>
    <w:p w:rsidR="00776F91" w:rsidRPr="009C0832" w:rsidRDefault="00776F91" w:rsidP="00903E66">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proofErr w:type="spellStart"/>
      <w:r w:rsidRPr="009C0832">
        <w:rPr>
          <w:rFonts w:ascii="宋体" w:eastAsia="Times New Roman" w:hAnsi="宋体" w:cs="Times New Roman"/>
          <w:b/>
          <w:color w:val="000000"/>
          <w:kern w:val="0"/>
          <w:sz w:val="24"/>
          <w:szCs w:val="24"/>
          <w:lang w:bidi="en-US"/>
        </w:rPr>
        <w:t>一）核查过程</w:t>
      </w:r>
      <w:proofErr w:type="spellEnd"/>
    </w:p>
    <w:p w:rsidR="00776F91" w:rsidRPr="009C0832" w:rsidRDefault="00776F91" w:rsidP="00903E66">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w:t>
      </w:r>
      <w:r w:rsidR="00D63A86" w:rsidRPr="00D63A86">
        <w:rPr>
          <w:rFonts w:ascii="Times New Roman" w:eastAsia="宋体" w:hAnsi="Times New Roman" w:cs="Times New Roman"/>
          <w:kern w:val="0"/>
          <w:sz w:val="24"/>
          <w:szCs w:val="24"/>
          <w:lang w:val="zh-TW"/>
        </w:rPr>
        <w:t>申报会计师</w:t>
      </w:r>
      <w:r w:rsidRPr="009C0832">
        <w:rPr>
          <w:rFonts w:ascii="Times New Roman" w:eastAsia="宋体" w:hAnsi="Times New Roman" w:cs="Times New Roman" w:hint="eastAsia"/>
          <w:kern w:val="0"/>
          <w:sz w:val="24"/>
          <w:szCs w:val="24"/>
          <w:lang w:val="zh-TW"/>
        </w:rPr>
        <w:t>执行了如下核查程序：</w:t>
      </w:r>
    </w:p>
    <w:p w:rsidR="00D235EB" w:rsidRDefault="00776F91" w:rsidP="00903E66">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9C0832">
        <w:rPr>
          <w:rFonts w:ascii="Times New Roman" w:eastAsia="Times New Roman" w:hAnsi="Times New Roman" w:cs="Times New Roman"/>
          <w:color w:val="000000"/>
          <w:kern w:val="0"/>
          <w:sz w:val="24"/>
          <w:szCs w:val="24"/>
          <w:u w:color="000000"/>
          <w:lang w:bidi="en-US"/>
        </w:rPr>
        <w:t>1</w:t>
      </w:r>
      <w:r w:rsidRPr="009C0832">
        <w:rPr>
          <w:rFonts w:ascii="宋体" w:eastAsia="宋体" w:hAnsi="宋体" w:cs="宋体" w:hint="eastAsia"/>
          <w:color w:val="000000"/>
          <w:kern w:val="0"/>
          <w:sz w:val="24"/>
          <w:szCs w:val="24"/>
          <w:u w:color="000000"/>
          <w:lang w:bidi="en-US"/>
        </w:rPr>
        <w:t>、</w:t>
      </w:r>
      <w:r w:rsidR="00D235EB">
        <w:rPr>
          <w:rFonts w:ascii="宋体" w:eastAsia="宋体" w:hAnsi="宋体" w:cs="宋体" w:hint="eastAsia"/>
          <w:color w:val="000000"/>
          <w:kern w:val="0"/>
          <w:sz w:val="24"/>
          <w:szCs w:val="24"/>
          <w:u w:color="000000"/>
          <w:lang w:bidi="en-US"/>
        </w:rPr>
        <w:t>查阅了发行人</w:t>
      </w:r>
      <w:r w:rsidR="00D235EB" w:rsidRPr="00D235EB">
        <w:rPr>
          <w:rFonts w:ascii="宋体" w:eastAsia="宋体" w:hAnsi="宋体" w:cs="宋体"/>
          <w:color w:val="000000"/>
          <w:kern w:val="0"/>
          <w:sz w:val="24"/>
          <w:szCs w:val="24"/>
          <w:u w:color="000000"/>
          <w:lang w:bidi="en-US"/>
        </w:rPr>
        <w:t>报告期内与保利合作项目涉及的区域分布情况，</w:t>
      </w:r>
      <w:r w:rsidR="00D235EB">
        <w:rPr>
          <w:rFonts w:ascii="宋体" w:eastAsia="宋体" w:hAnsi="宋体" w:cs="宋体" w:hint="eastAsia"/>
          <w:color w:val="000000"/>
          <w:kern w:val="0"/>
          <w:sz w:val="24"/>
          <w:szCs w:val="24"/>
          <w:u w:color="000000"/>
          <w:lang w:bidi="en-US"/>
        </w:rPr>
        <w:t>以及</w:t>
      </w:r>
      <w:r w:rsidR="00D235EB" w:rsidRPr="00D235EB">
        <w:rPr>
          <w:rFonts w:ascii="宋体" w:eastAsia="宋体" w:hAnsi="宋体" w:cs="宋体"/>
          <w:color w:val="000000"/>
          <w:kern w:val="0"/>
          <w:sz w:val="24"/>
          <w:szCs w:val="24"/>
          <w:u w:color="000000"/>
          <w:lang w:bidi="en-US"/>
        </w:rPr>
        <w:t>截至</w:t>
      </w:r>
      <w:r w:rsidR="00D235EB" w:rsidRPr="00D235EB">
        <w:rPr>
          <w:rFonts w:ascii="宋体" w:eastAsia="宋体" w:hAnsi="宋体" w:cs="宋体"/>
          <w:color w:val="000000"/>
          <w:kern w:val="0"/>
          <w:sz w:val="24"/>
          <w:szCs w:val="24"/>
          <w:u w:color="000000"/>
          <w:lang w:bidi="en-US"/>
        </w:rPr>
        <w:lastRenderedPageBreak/>
        <w:t>2020年末在手合同金额涉及的主要区域及城市；</w:t>
      </w:r>
    </w:p>
    <w:p w:rsidR="00D235EB" w:rsidRDefault="00D235EB" w:rsidP="00903E66">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宋体" w:eastAsia="宋体" w:hAnsi="宋体" w:cs="宋体" w:hint="eastAsia"/>
          <w:color w:val="000000"/>
          <w:kern w:val="0"/>
          <w:sz w:val="24"/>
          <w:szCs w:val="24"/>
          <w:u w:color="000000"/>
          <w:lang w:bidi="en-US"/>
        </w:rPr>
        <w:t>2、</w:t>
      </w:r>
      <w:r w:rsidRPr="00D235EB">
        <w:rPr>
          <w:rFonts w:ascii="宋体" w:eastAsia="宋体" w:hAnsi="宋体" w:cs="宋体"/>
          <w:color w:val="000000"/>
          <w:kern w:val="0"/>
          <w:sz w:val="24"/>
          <w:szCs w:val="24"/>
          <w:u w:color="000000"/>
          <w:lang w:bidi="en-US"/>
        </w:rPr>
        <w:t>结合在手订单、业务拓展计划等因素，</w:t>
      </w:r>
      <w:r>
        <w:rPr>
          <w:rFonts w:ascii="宋体" w:eastAsia="宋体" w:hAnsi="宋体" w:cs="宋体" w:hint="eastAsia"/>
          <w:color w:val="000000"/>
          <w:kern w:val="0"/>
          <w:sz w:val="24"/>
          <w:szCs w:val="24"/>
          <w:u w:color="000000"/>
          <w:lang w:bidi="en-US"/>
        </w:rPr>
        <w:t>针对发行人</w:t>
      </w:r>
      <w:r w:rsidRPr="00D235EB">
        <w:rPr>
          <w:rFonts w:ascii="宋体" w:eastAsia="宋体" w:hAnsi="宋体" w:cs="宋体"/>
          <w:color w:val="000000"/>
          <w:kern w:val="0"/>
          <w:sz w:val="24"/>
          <w:szCs w:val="24"/>
          <w:u w:color="000000"/>
          <w:lang w:bidi="en-US"/>
        </w:rPr>
        <w:t>未来对保利和其他客户的收入预计实现及占比情况</w:t>
      </w:r>
      <w:r>
        <w:rPr>
          <w:rFonts w:ascii="宋体" w:eastAsia="宋体" w:hAnsi="宋体" w:cs="宋体" w:hint="eastAsia"/>
          <w:color w:val="000000"/>
          <w:kern w:val="0"/>
          <w:sz w:val="24"/>
          <w:szCs w:val="24"/>
          <w:u w:color="000000"/>
          <w:lang w:bidi="en-US"/>
        </w:rPr>
        <w:t>进行了分析</w:t>
      </w:r>
      <w:r w:rsidRPr="00D235EB">
        <w:rPr>
          <w:rFonts w:ascii="宋体" w:eastAsia="宋体" w:hAnsi="宋体" w:cs="宋体"/>
          <w:color w:val="000000"/>
          <w:kern w:val="0"/>
          <w:sz w:val="24"/>
          <w:szCs w:val="24"/>
          <w:u w:color="000000"/>
          <w:lang w:bidi="en-US"/>
        </w:rPr>
        <w:t>，</w:t>
      </w:r>
      <w:r>
        <w:rPr>
          <w:rFonts w:ascii="宋体" w:eastAsia="宋体" w:hAnsi="宋体" w:cs="宋体" w:hint="eastAsia"/>
          <w:color w:val="000000"/>
          <w:kern w:val="0"/>
          <w:sz w:val="24"/>
          <w:szCs w:val="24"/>
          <w:u w:color="000000"/>
          <w:lang w:bidi="en-US"/>
        </w:rPr>
        <w:t>并</w:t>
      </w:r>
      <w:r w:rsidRPr="00D235EB">
        <w:rPr>
          <w:rFonts w:ascii="宋体" w:eastAsia="宋体" w:hAnsi="宋体" w:cs="宋体"/>
          <w:color w:val="000000"/>
          <w:kern w:val="0"/>
          <w:sz w:val="24"/>
          <w:szCs w:val="24"/>
          <w:u w:color="000000"/>
          <w:lang w:bidi="en-US"/>
        </w:rPr>
        <w:t>客观、充分</w:t>
      </w:r>
      <w:r>
        <w:rPr>
          <w:rFonts w:ascii="宋体" w:eastAsia="宋体" w:hAnsi="宋体" w:cs="宋体" w:hint="eastAsia"/>
          <w:color w:val="000000"/>
          <w:kern w:val="0"/>
          <w:sz w:val="24"/>
          <w:szCs w:val="24"/>
          <w:u w:color="000000"/>
          <w:lang w:bidi="en-US"/>
        </w:rPr>
        <w:t>分析了</w:t>
      </w:r>
      <w:r w:rsidRPr="00D235EB">
        <w:rPr>
          <w:rFonts w:ascii="宋体" w:eastAsia="宋体" w:hAnsi="宋体" w:cs="宋体"/>
          <w:color w:val="000000"/>
          <w:kern w:val="0"/>
          <w:sz w:val="24"/>
          <w:szCs w:val="24"/>
          <w:u w:color="000000"/>
          <w:lang w:bidi="en-US"/>
        </w:rPr>
        <w:t>发行人客户集中度较高特别是第一大客户占比高的风险</w:t>
      </w:r>
      <w:r>
        <w:rPr>
          <w:rFonts w:ascii="宋体" w:eastAsia="宋体" w:hAnsi="宋体" w:cs="宋体" w:hint="eastAsia"/>
          <w:color w:val="000000"/>
          <w:kern w:val="0"/>
          <w:sz w:val="24"/>
          <w:szCs w:val="24"/>
          <w:u w:color="000000"/>
          <w:lang w:bidi="en-US"/>
        </w:rPr>
        <w:t>；</w:t>
      </w:r>
    </w:p>
    <w:p w:rsidR="00776F91" w:rsidRDefault="00D235EB" w:rsidP="00903E66">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sidRPr="00D235EB">
        <w:rPr>
          <w:rFonts w:ascii="宋体" w:eastAsia="宋体" w:hAnsi="宋体" w:cs="宋体"/>
          <w:color w:val="000000"/>
          <w:kern w:val="0"/>
          <w:sz w:val="24"/>
          <w:szCs w:val="24"/>
          <w:u w:color="000000"/>
          <w:lang w:bidi="en-US"/>
        </w:rPr>
        <w:t>3</w:t>
      </w:r>
      <w:r>
        <w:rPr>
          <w:rFonts w:ascii="宋体" w:eastAsia="宋体" w:hAnsi="宋体" w:cs="宋体" w:hint="eastAsia"/>
          <w:color w:val="000000"/>
          <w:kern w:val="0"/>
          <w:sz w:val="24"/>
          <w:szCs w:val="24"/>
          <w:u w:color="000000"/>
          <w:lang w:bidi="en-US"/>
        </w:rPr>
        <w:t>、对发行人高管人员进行了访谈，</w:t>
      </w:r>
      <w:r w:rsidRPr="00D235EB">
        <w:rPr>
          <w:rFonts w:ascii="宋体" w:eastAsia="宋体" w:hAnsi="宋体" w:cs="宋体"/>
          <w:color w:val="000000"/>
          <w:kern w:val="0"/>
          <w:sz w:val="24"/>
          <w:szCs w:val="24"/>
          <w:u w:color="000000"/>
          <w:lang w:bidi="en-US"/>
        </w:rPr>
        <w:t>结合主要客户变动</w:t>
      </w:r>
      <w:r>
        <w:rPr>
          <w:rFonts w:ascii="宋体" w:eastAsia="宋体" w:hAnsi="宋体" w:cs="宋体" w:hint="eastAsia"/>
          <w:color w:val="000000"/>
          <w:kern w:val="0"/>
          <w:sz w:val="24"/>
          <w:szCs w:val="24"/>
          <w:u w:color="000000"/>
          <w:lang w:bidi="en-US"/>
        </w:rPr>
        <w:t>情况</w:t>
      </w:r>
      <w:r w:rsidRPr="00D235EB">
        <w:rPr>
          <w:rFonts w:ascii="宋体" w:eastAsia="宋体" w:hAnsi="宋体" w:cs="宋体"/>
          <w:color w:val="000000"/>
          <w:kern w:val="0"/>
          <w:sz w:val="24"/>
          <w:szCs w:val="24"/>
          <w:u w:color="000000"/>
          <w:lang w:bidi="en-US"/>
        </w:rPr>
        <w:t>、客户经营情况及面临的地域限制等因素，</w:t>
      </w:r>
      <w:r>
        <w:rPr>
          <w:rFonts w:ascii="宋体" w:eastAsia="宋体" w:hAnsi="宋体" w:cs="宋体" w:hint="eastAsia"/>
          <w:color w:val="000000"/>
          <w:kern w:val="0"/>
          <w:sz w:val="24"/>
          <w:szCs w:val="24"/>
          <w:u w:color="000000"/>
          <w:lang w:bidi="en-US"/>
        </w:rPr>
        <w:t>对</w:t>
      </w:r>
      <w:r w:rsidRPr="00D235EB">
        <w:rPr>
          <w:rFonts w:ascii="宋体" w:eastAsia="宋体" w:hAnsi="宋体" w:cs="宋体"/>
          <w:color w:val="000000"/>
          <w:kern w:val="0"/>
          <w:sz w:val="24"/>
          <w:szCs w:val="24"/>
          <w:u w:color="000000"/>
          <w:lang w:bidi="en-US"/>
        </w:rPr>
        <w:t>发行人业务发展的可持续性</w:t>
      </w:r>
      <w:r>
        <w:rPr>
          <w:rFonts w:ascii="宋体" w:eastAsia="宋体" w:hAnsi="宋体" w:cs="宋体" w:hint="eastAsia"/>
          <w:color w:val="000000"/>
          <w:kern w:val="0"/>
          <w:sz w:val="24"/>
          <w:szCs w:val="24"/>
          <w:u w:color="000000"/>
          <w:lang w:bidi="en-US"/>
        </w:rPr>
        <w:t>、</w:t>
      </w:r>
      <w:r w:rsidRPr="00D235EB">
        <w:rPr>
          <w:rFonts w:ascii="宋体" w:eastAsia="宋体" w:hAnsi="宋体" w:cs="宋体"/>
          <w:color w:val="000000"/>
          <w:kern w:val="0"/>
          <w:sz w:val="24"/>
          <w:szCs w:val="24"/>
          <w:u w:color="000000"/>
          <w:lang w:bidi="en-US"/>
        </w:rPr>
        <w:t>房地产调控政策对发行人经营业绩的影响</w:t>
      </w:r>
      <w:r>
        <w:rPr>
          <w:rFonts w:ascii="宋体" w:eastAsia="宋体" w:hAnsi="宋体" w:cs="宋体" w:hint="eastAsia"/>
          <w:color w:val="000000"/>
          <w:kern w:val="0"/>
          <w:sz w:val="24"/>
          <w:szCs w:val="24"/>
          <w:u w:color="000000"/>
          <w:lang w:bidi="en-US"/>
        </w:rPr>
        <w:t>进行了分析。</w:t>
      </w:r>
    </w:p>
    <w:p w:rsidR="00776F91" w:rsidRPr="009C0832" w:rsidRDefault="00776F91" w:rsidP="00903E66">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proofErr w:type="spellStart"/>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roofErr w:type="spellEnd"/>
    </w:p>
    <w:p w:rsidR="00776F91" w:rsidRPr="009C0832" w:rsidRDefault="00776F91" w:rsidP="00903E66">
      <w:pPr>
        <w:spacing w:beforeLines="50" w:before="156" w:afterLines="50" w:after="156" w:line="360" w:lineRule="auto"/>
        <w:ind w:firstLineChars="200" w:firstLine="480"/>
        <w:rPr>
          <w:rFonts w:ascii="宋体" w:eastAsia="宋体" w:hAnsi="宋体" w:cs="Times New Roman"/>
          <w:sz w:val="24"/>
          <w:szCs w:val="24"/>
        </w:rPr>
      </w:pPr>
      <w:r w:rsidRPr="009C0832">
        <w:rPr>
          <w:rFonts w:ascii="Times New Roman" w:eastAsia="宋体" w:hAnsi="Times New Roman" w:cs="Times New Roman"/>
          <w:kern w:val="0"/>
          <w:sz w:val="24"/>
          <w:szCs w:val="24"/>
          <w:lang w:val="zh-TW"/>
        </w:rPr>
        <w:t>保荐机构、</w:t>
      </w:r>
      <w:r w:rsidR="00D63A86" w:rsidRPr="00D63A86">
        <w:rPr>
          <w:rFonts w:ascii="Times New Roman" w:eastAsia="宋体" w:hAnsi="Times New Roman" w:cs="Times New Roman"/>
          <w:kern w:val="0"/>
          <w:sz w:val="24"/>
          <w:szCs w:val="24"/>
          <w:lang w:val="zh-TW"/>
        </w:rPr>
        <w:t>申报会计师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D235EB" w:rsidRDefault="00776F91" w:rsidP="00903E66">
      <w:pPr>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w:t>
      </w:r>
      <w:r w:rsidR="00D235EB">
        <w:rPr>
          <w:rFonts w:ascii="Times New Roman" w:eastAsia="宋体" w:hAnsi="Times New Roman" w:cs="Times New Roman" w:hint="eastAsia"/>
          <w:sz w:val="24"/>
          <w:szCs w:val="24"/>
        </w:rPr>
        <w:t>发行人已在招股说明书中披露了</w:t>
      </w:r>
      <w:r w:rsidR="00D235EB" w:rsidRPr="00D235EB">
        <w:rPr>
          <w:rFonts w:ascii="Times New Roman" w:eastAsia="宋体" w:hAnsi="Times New Roman" w:cs="Times New Roman"/>
          <w:sz w:val="24"/>
          <w:szCs w:val="24"/>
        </w:rPr>
        <w:t>报告期内与保利合作项目涉及的区域分布情况</w:t>
      </w:r>
      <w:r w:rsidR="00D235EB">
        <w:rPr>
          <w:rFonts w:ascii="Times New Roman" w:eastAsia="宋体" w:hAnsi="Times New Roman" w:cs="Times New Roman" w:hint="eastAsia"/>
          <w:sz w:val="24"/>
          <w:szCs w:val="24"/>
        </w:rPr>
        <w:t>以及</w:t>
      </w:r>
      <w:r w:rsidR="00D235EB" w:rsidRPr="00D235EB">
        <w:rPr>
          <w:rFonts w:ascii="Times New Roman" w:eastAsia="宋体" w:hAnsi="Times New Roman" w:cs="Times New Roman"/>
          <w:sz w:val="24"/>
          <w:szCs w:val="24"/>
        </w:rPr>
        <w:t>截至</w:t>
      </w:r>
      <w:r w:rsidR="00D235EB" w:rsidRPr="00D235EB">
        <w:rPr>
          <w:rFonts w:ascii="Times New Roman" w:eastAsia="宋体" w:hAnsi="Times New Roman" w:cs="Times New Roman"/>
          <w:sz w:val="24"/>
          <w:szCs w:val="24"/>
        </w:rPr>
        <w:t>2020</w:t>
      </w:r>
      <w:r w:rsidR="00D235EB" w:rsidRPr="00D235EB">
        <w:rPr>
          <w:rFonts w:ascii="Times New Roman" w:eastAsia="宋体" w:hAnsi="Times New Roman" w:cs="Times New Roman"/>
          <w:sz w:val="24"/>
          <w:szCs w:val="24"/>
        </w:rPr>
        <w:t>年末在手合同金额涉及的主要区域及城市</w:t>
      </w:r>
      <w:r w:rsidR="00D235EB">
        <w:rPr>
          <w:rFonts w:ascii="Times New Roman" w:eastAsia="宋体" w:hAnsi="Times New Roman" w:cs="Times New Roman" w:hint="eastAsia"/>
          <w:sz w:val="24"/>
          <w:szCs w:val="24"/>
        </w:rPr>
        <w:t>，有关数据真实、准确</w:t>
      </w:r>
      <w:r w:rsidR="00D235EB" w:rsidRPr="00D235EB">
        <w:rPr>
          <w:rFonts w:ascii="Times New Roman" w:eastAsia="宋体" w:hAnsi="Times New Roman" w:cs="Times New Roman"/>
          <w:sz w:val="24"/>
          <w:szCs w:val="24"/>
        </w:rPr>
        <w:t>；</w:t>
      </w:r>
    </w:p>
    <w:p w:rsidR="00D235EB" w:rsidRDefault="00D235EB" w:rsidP="00903E66">
      <w:pPr>
        <w:spacing w:beforeLines="50" w:before="156" w:afterLines="50" w:after="156" w:line="360" w:lineRule="auto"/>
        <w:ind w:firstLineChars="200" w:firstLine="480"/>
        <w:rPr>
          <w:rFonts w:ascii="Times New Roman" w:eastAsia="宋体" w:hAnsi="Times New Roman" w:cs="Times New Roman"/>
          <w:sz w:val="24"/>
          <w:szCs w:val="24"/>
        </w:rPr>
      </w:pPr>
      <w:r w:rsidRPr="00D235EB">
        <w:rPr>
          <w:rFonts w:ascii="Times New Roman" w:eastAsia="宋体" w:hAnsi="Times New Roman" w:cs="Times New Roman"/>
          <w:sz w:val="24"/>
          <w:szCs w:val="24"/>
        </w:rPr>
        <w:t>2</w:t>
      </w:r>
      <w:r>
        <w:rPr>
          <w:rFonts w:ascii="Times New Roman" w:eastAsia="宋体" w:hAnsi="Times New Roman" w:cs="Times New Roman" w:hint="eastAsia"/>
          <w:sz w:val="24"/>
          <w:szCs w:val="24"/>
        </w:rPr>
        <w:t>、发行人已在招股说明书中披露了</w:t>
      </w:r>
      <w:r w:rsidRPr="00D235EB">
        <w:rPr>
          <w:rFonts w:ascii="Times New Roman" w:eastAsia="宋体" w:hAnsi="Times New Roman" w:cs="Times New Roman"/>
          <w:sz w:val="24"/>
          <w:szCs w:val="24"/>
        </w:rPr>
        <w:t>未来对保利和其他客户的收入预计实现及占比情况，客观、充分披露发行人客户集中度较高特别是第一大客户占比高的风险，并做重大风险提示</w:t>
      </w:r>
      <w:r>
        <w:rPr>
          <w:rFonts w:ascii="Times New Roman" w:eastAsia="宋体" w:hAnsi="Times New Roman" w:cs="Times New Roman" w:hint="eastAsia"/>
          <w:sz w:val="24"/>
          <w:szCs w:val="24"/>
        </w:rPr>
        <w:t>，相关表述准确、客观</w:t>
      </w:r>
      <w:r w:rsidRPr="00D235EB">
        <w:rPr>
          <w:rFonts w:ascii="Times New Roman" w:eastAsia="宋体" w:hAnsi="Times New Roman" w:cs="Times New Roman"/>
          <w:sz w:val="24"/>
          <w:szCs w:val="24"/>
        </w:rPr>
        <w:t>；</w:t>
      </w:r>
    </w:p>
    <w:p w:rsidR="00776F91" w:rsidRPr="009C0832" w:rsidRDefault="00D235EB" w:rsidP="00903E66">
      <w:pPr>
        <w:spacing w:beforeLines="50" w:before="156" w:afterLines="50" w:after="156" w:line="360" w:lineRule="auto"/>
        <w:ind w:firstLineChars="200" w:firstLine="480"/>
        <w:rPr>
          <w:rFonts w:ascii="宋体" w:eastAsia="宋体" w:hAnsi="宋体" w:cs="宋体"/>
          <w:color w:val="000000"/>
          <w:kern w:val="0"/>
          <w:sz w:val="24"/>
          <w:szCs w:val="24"/>
          <w:u w:color="000000"/>
          <w:lang w:bidi="en-US"/>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、发行人已在招股说明书中披露了</w:t>
      </w:r>
      <w:r w:rsidRPr="00D235EB">
        <w:rPr>
          <w:rFonts w:ascii="Times New Roman" w:eastAsia="宋体" w:hAnsi="Times New Roman" w:cs="Times New Roman"/>
          <w:sz w:val="24"/>
          <w:szCs w:val="24"/>
        </w:rPr>
        <w:t>业务发展的可持续性</w:t>
      </w:r>
      <w:r>
        <w:rPr>
          <w:rFonts w:ascii="Times New Roman" w:eastAsia="宋体" w:hAnsi="Times New Roman" w:cs="Times New Roman" w:hint="eastAsia"/>
          <w:sz w:val="24"/>
          <w:szCs w:val="24"/>
        </w:rPr>
        <w:t>、</w:t>
      </w:r>
      <w:r w:rsidRPr="00D235EB">
        <w:rPr>
          <w:rFonts w:ascii="Times New Roman" w:eastAsia="宋体" w:hAnsi="Times New Roman" w:cs="Times New Roman"/>
          <w:sz w:val="24"/>
          <w:szCs w:val="24"/>
        </w:rPr>
        <w:t>房地产调控政策对发行人经营业绩的影响，并做重大风险提示</w:t>
      </w:r>
      <w:r>
        <w:rPr>
          <w:rFonts w:ascii="Times New Roman" w:eastAsia="宋体" w:hAnsi="Times New Roman" w:cs="Times New Roman" w:hint="eastAsia"/>
          <w:sz w:val="24"/>
          <w:szCs w:val="24"/>
        </w:rPr>
        <w:t>，相关表述准确、客观。</w:t>
      </w:r>
      <w:r w:rsidRPr="00D235EB">
        <w:rPr>
          <w:rFonts w:ascii="Times New Roman" w:eastAsia="宋体" w:hAnsi="Times New Roman" w:cs="Times New Roman"/>
          <w:sz w:val="24"/>
          <w:szCs w:val="24"/>
        </w:rPr>
        <w:t>发行人业务发展</w:t>
      </w:r>
      <w:r>
        <w:rPr>
          <w:rFonts w:ascii="Times New Roman" w:eastAsia="宋体" w:hAnsi="Times New Roman" w:cs="Times New Roman" w:hint="eastAsia"/>
          <w:sz w:val="24"/>
          <w:szCs w:val="24"/>
        </w:rPr>
        <w:t>具有</w:t>
      </w:r>
      <w:r w:rsidRPr="00D235EB">
        <w:rPr>
          <w:rFonts w:ascii="Times New Roman" w:eastAsia="宋体" w:hAnsi="Times New Roman" w:cs="Times New Roman"/>
          <w:sz w:val="24"/>
          <w:szCs w:val="24"/>
        </w:rPr>
        <w:t>可持续性</w:t>
      </w:r>
      <w:r>
        <w:rPr>
          <w:rFonts w:ascii="Times New Roman" w:eastAsia="宋体" w:hAnsi="Times New Roman" w:cs="Times New Roman" w:hint="eastAsia"/>
          <w:sz w:val="24"/>
          <w:szCs w:val="24"/>
        </w:rPr>
        <w:t>。</w:t>
      </w:r>
    </w:p>
    <w:p w:rsidR="002C4D3B" w:rsidRDefault="002C4D3B" w:rsidP="00E449CC">
      <w:pPr>
        <w:pStyle w:val="a7"/>
        <w:spacing w:before="156" w:after="156"/>
      </w:pPr>
    </w:p>
    <w:p w:rsidR="002C4D3B" w:rsidRPr="009C0832" w:rsidRDefault="002C4D3B" w:rsidP="00903E66">
      <w:pPr>
        <w:snapToGrid w:val="0"/>
        <w:spacing w:beforeLines="50" w:before="156" w:afterLines="50" w:after="156" w:line="360" w:lineRule="auto"/>
        <w:ind w:firstLineChars="200" w:firstLine="482"/>
        <w:outlineLvl w:val="0"/>
        <w:rPr>
          <w:rFonts w:ascii="Times New Roman" w:eastAsia="宋体" w:hAnsi="Times New Roman" w:cs="Times New Roman"/>
          <w:b/>
          <w:bCs/>
          <w:sz w:val="24"/>
          <w:szCs w:val="24"/>
        </w:rPr>
      </w:pPr>
      <w:bookmarkStart w:id="5" w:name="_Toc58669586"/>
      <w:r w:rsidRPr="009C0832">
        <w:rPr>
          <w:rFonts w:ascii="Times New Roman" w:eastAsia="宋体" w:hAnsi="Times New Roman" w:cs="Times New Roman" w:hint="eastAsia"/>
          <w:b/>
          <w:bCs/>
          <w:sz w:val="24"/>
          <w:szCs w:val="24"/>
        </w:rPr>
        <w:t>问题</w:t>
      </w:r>
      <w:r w:rsidRPr="009C0832">
        <w:rPr>
          <w:rFonts w:ascii="Times New Roman" w:eastAsia="宋体" w:hAnsi="Times New Roman" w:cs="Times New Roman"/>
          <w:b/>
          <w:bCs/>
          <w:sz w:val="24"/>
          <w:szCs w:val="24"/>
        </w:rPr>
        <w:t>4</w:t>
      </w:r>
      <w:bookmarkEnd w:id="5"/>
      <w:r w:rsidRPr="009C0832">
        <w:rPr>
          <w:rFonts w:ascii="Times New Roman" w:eastAsia="宋体" w:hAnsi="Times New Roman" w:cs="Times New Roman"/>
          <w:b/>
          <w:bCs/>
          <w:sz w:val="24"/>
          <w:szCs w:val="24"/>
        </w:rPr>
        <w:t xml:space="preserve"> </w:t>
      </w:r>
    </w:p>
    <w:p w:rsidR="00D63A86" w:rsidRPr="00D63A86" w:rsidRDefault="002C4D3B" w:rsidP="00E449CC">
      <w:pPr>
        <w:pStyle w:val="a7"/>
        <w:spacing w:before="156" w:after="156"/>
        <w:rPr>
          <w:rFonts w:ascii="Times New Roman" w:eastAsia="宋体" w:hAnsi="Times New Roman"/>
        </w:rPr>
      </w:pPr>
      <w:r w:rsidRPr="009C0832">
        <w:rPr>
          <w:rFonts w:ascii="Times New Roman" w:eastAsia="宋体" w:hAnsi="Times New Roman" w:hint="eastAsia"/>
        </w:rPr>
        <w:t>4.</w:t>
      </w:r>
      <w:r w:rsidR="001438EB" w:rsidRPr="001438EB">
        <w:t xml:space="preserve"> </w:t>
      </w:r>
      <w:r w:rsidR="00D63A86" w:rsidRPr="00D63A86">
        <w:rPr>
          <w:rFonts w:ascii="Times New Roman" w:eastAsia="宋体" w:hAnsi="Times New Roman"/>
        </w:rPr>
        <w:t>根据申报材料和审核问询回复，发行人主要客户均为房地产开发企业，报告期各期应收账款余额分别为</w:t>
      </w:r>
      <w:r w:rsidR="00D63A86" w:rsidRPr="00D63A86">
        <w:rPr>
          <w:rFonts w:ascii="Times New Roman" w:eastAsia="宋体" w:hAnsi="Times New Roman"/>
        </w:rPr>
        <w:t>3,831.46</w:t>
      </w:r>
      <w:r w:rsidR="00D63A86" w:rsidRPr="00D63A86">
        <w:rPr>
          <w:rFonts w:ascii="Times New Roman" w:eastAsia="宋体" w:hAnsi="Times New Roman"/>
        </w:rPr>
        <w:t>万元、</w:t>
      </w:r>
      <w:r w:rsidR="00D63A86" w:rsidRPr="00D63A86">
        <w:rPr>
          <w:rFonts w:ascii="Times New Roman" w:eastAsia="宋体" w:hAnsi="Times New Roman"/>
        </w:rPr>
        <w:t>9,752.41</w:t>
      </w:r>
      <w:r w:rsidR="00D63A86" w:rsidRPr="00D63A86">
        <w:rPr>
          <w:rFonts w:ascii="Times New Roman" w:eastAsia="宋体" w:hAnsi="Times New Roman"/>
        </w:rPr>
        <w:t>万元、</w:t>
      </w:r>
      <w:r w:rsidR="00D63A86" w:rsidRPr="00D63A86">
        <w:rPr>
          <w:rFonts w:ascii="Times New Roman" w:eastAsia="宋体" w:hAnsi="Times New Roman"/>
        </w:rPr>
        <w:t>21,235.39</w:t>
      </w:r>
      <w:r w:rsidR="00D63A86" w:rsidRPr="00D63A86">
        <w:rPr>
          <w:rFonts w:ascii="Times New Roman" w:eastAsia="宋体" w:hAnsi="Times New Roman"/>
        </w:rPr>
        <w:t>万元和</w:t>
      </w:r>
      <w:r w:rsidR="00D63A86" w:rsidRPr="00D63A86">
        <w:rPr>
          <w:rFonts w:ascii="Times New Roman" w:eastAsia="宋体" w:hAnsi="Times New Roman"/>
        </w:rPr>
        <w:t>24,626.67</w:t>
      </w:r>
      <w:r w:rsidR="00D63A86" w:rsidRPr="00D63A86">
        <w:rPr>
          <w:rFonts w:ascii="Times New Roman" w:eastAsia="宋体" w:hAnsi="Times New Roman"/>
        </w:rPr>
        <w:t>万元，增幅较大；公司对保利的应收账款占当期应收账款余额的比例分别为</w:t>
      </w:r>
      <w:r w:rsidR="00D63A86" w:rsidRPr="00D63A86">
        <w:rPr>
          <w:rFonts w:ascii="Times New Roman" w:eastAsia="宋体" w:hAnsi="Times New Roman"/>
        </w:rPr>
        <w:t>39.02%</w:t>
      </w:r>
      <w:r w:rsidR="00D63A86" w:rsidRPr="00D63A86">
        <w:rPr>
          <w:rFonts w:ascii="Times New Roman" w:eastAsia="宋体" w:hAnsi="Times New Roman"/>
        </w:rPr>
        <w:t>、</w:t>
      </w:r>
      <w:r w:rsidR="00D63A86" w:rsidRPr="00D63A86">
        <w:rPr>
          <w:rFonts w:ascii="Times New Roman" w:eastAsia="宋体" w:hAnsi="Times New Roman"/>
        </w:rPr>
        <w:t>37.02%</w:t>
      </w:r>
      <w:r w:rsidR="00D63A86" w:rsidRPr="00D63A86">
        <w:rPr>
          <w:rFonts w:ascii="Times New Roman" w:eastAsia="宋体" w:hAnsi="Times New Roman"/>
        </w:rPr>
        <w:t>、</w:t>
      </w:r>
      <w:r w:rsidR="00D63A86" w:rsidRPr="00D63A86">
        <w:rPr>
          <w:rFonts w:ascii="Times New Roman" w:eastAsia="宋体" w:hAnsi="Times New Roman"/>
        </w:rPr>
        <w:t>44.18%</w:t>
      </w:r>
      <w:r w:rsidR="00D63A86" w:rsidRPr="00D63A86">
        <w:rPr>
          <w:rFonts w:ascii="Times New Roman" w:eastAsia="宋体" w:hAnsi="Times New Roman"/>
        </w:rPr>
        <w:t>和</w:t>
      </w:r>
      <w:r w:rsidR="00D63A86" w:rsidRPr="00D63A86">
        <w:rPr>
          <w:rFonts w:ascii="Times New Roman" w:eastAsia="宋体" w:hAnsi="Times New Roman"/>
        </w:rPr>
        <w:t>50.42%</w:t>
      </w:r>
      <w:r w:rsidR="00D63A86" w:rsidRPr="00D63A86">
        <w:rPr>
          <w:rFonts w:ascii="Times New Roman" w:eastAsia="宋体" w:hAnsi="Times New Roman"/>
        </w:rPr>
        <w:t>。截至</w:t>
      </w:r>
      <w:r w:rsidR="00D63A86" w:rsidRPr="00D63A86">
        <w:rPr>
          <w:rFonts w:ascii="Times New Roman" w:eastAsia="宋体" w:hAnsi="Times New Roman"/>
        </w:rPr>
        <w:t>2020</w:t>
      </w:r>
      <w:r w:rsidR="00D63A86" w:rsidRPr="00D63A86">
        <w:rPr>
          <w:rFonts w:ascii="Times New Roman" w:eastAsia="宋体" w:hAnsi="Times New Roman"/>
        </w:rPr>
        <w:t>年</w:t>
      </w:r>
      <w:r w:rsidR="00D63A86" w:rsidRPr="00D63A86">
        <w:rPr>
          <w:rFonts w:ascii="Times New Roman" w:eastAsia="宋体" w:hAnsi="Times New Roman"/>
        </w:rPr>
        <w:t>9</w:t>
      </w:r>
      <w:r w:rsidR="00D63A86" w:rsidRPr="00D63A86">
        <w:rPr>
          <w:rFonts w:ascii="Times New Roman" w:eastAsia="宋体" w:hAnsi="Times New Roman"/>
        </w:rPr>
        <w:t>月</w:t>
      </w:r>
      <w:r w:rsidR="00D63A86" w:rsidRPr="00D63A86">
        <w:rPr>
          <w:rFonts w:ascii="Times New Roman" w:eastAsia="宋体" w:hAnsi="Times New Roman"/>
        </w:rPr>
        <w:t>30</w:t>
      </w:r>
      <w:r w:rsidR="00D63A86" w:rsidRPr="00D63A86">
        <w:rPr>
          <w:rFonts w:ascii="Times New Roman" w:eastAsia="宋体" w:hAnsi="Times New Roman"/>
        </w:rPr>
        <w:t>日，报告期各期末公司应收账款期后回款金额占应收账款余额的比例分别为</w:t>
      </w:r>
      <w:r w:rsidR="00D63A86" w:rsidRPr="00D63A86">
        <w:rPr>
          <w:rFonts w:ascii="Times New Roman" w:eastAsia="宋体" w:hAnsi="Times New Roman"/>
        </w:rPr>
        <w:t>83.47%</w:t>
      </w:r>
      <w:r w:rsidR="00D63A86" w:rsidRPr="00D63A86">
        <w:rPr>
          <w:rFonts w:ascii="Times New Roman" w:eastAsia="宋体" w:hAnsi="Times New Roman"/>
        </w:rPr>
        <w:t>、</w:t>
      </w:r>
      <w:r w:rsidR="00D63A86" w:rsidRPr="00D63A86">
        <w:rPr>
          <w:rFonts w:ascii="Times New Roman" w:eastAsia="宋体" w:hAnsi="Times New Roman"/>
        </w:rPr>
        <w:t>74.92%</w:t>
      </w:r>
      <w:r w:rsidR="00D63A86" w:rsidRPr="00D63A86">
        <w:rPr>
          <w:rFonts w:ascii="Times New Roman" w:eastAsia="宋体" w:hAnsi="Times New Roman"/>
        </w:rPr>
        <w:t>、</w:t>
      </w:r>
      <w:r w:rsidR="00D63A86" w:rsidRPr="00D63A86">
        <w:rPr>
          <w:rFonts w:ascii="Times New Roman" w:eastAsia="宋体" w:hAnsi="Times New Roman"/>
        </w:rPr>
        <w:t>56.41%</w:t>
      </w:r>
      <w:r w:rsidR="00D63A86" w:rsidRPr="00D63A86">
        <w:rPr>
          <w:rFonts w:ascii="Times New Roman" w:eastAsia="宋体" w:hAnsi="Times New Roman"/>
        </w:rPr>
        <w:t>和</w:t>
      </w:r>
      <w:r w:rsidR="00D63A86" w:rsidRPr="00D63A86">
        <w:rPr>
          <w:rFonts w:ascii="Times New Roman" w:eastAsia="宋体" w:hAnsi="Times New Roman"/>
        </w:rPr>
        <w:t>22.10%</w:t>
      </w:r>
      <w:r w:rsidR="00D63A86" w:rsidRPr="00D63A86">
        <w:rPr>
          <w:rFonts w:ascii="Times New Roman" w:eastAsia="宋体" w:hAnsi="Times New Roman"/>
        </w:rPr>
        <w:t>。请发行人：（</w:t>
      </w:r>
      <w:r w:rsidR="00D63A86" w:rsidRPr="00D63A86">
        <w:rPr>
          <w:rFonts w:ascii="Times New Roman" w:eastAsia="宋体" w:hAnsi="Times New Roman"/>
        </w:rPr>
        <w:t>1</w:t>
      </w:r>
      <w:r w:rsidR="00D63A86" w:rsidRPr="00D63A86">
        <w:rPr>
          <w:rFonts w:ascii="Times New Roman" w:eastAsia="宋体" w:hAnsi="Times New Roman"/>
        </w:rPr>
        <w:t>）结合主要客户信用状况、资金状</w:t>
      </w:r>
      <w:r w:rsidR="00D63A86" w:rsidRPr="00D63A86">
        <w:rPr>
          <w:rFonts w:ascii="Times New Roman" w:eastAsia="宋体" w:hAnsi="Times New Roman"/>
        </w:rPr>
        <w:lastRenderedPageBreak/>
        <w:t>况、偿债能力变化情况等，补充披露是否存在回款风险较大、资金链紧张的客户，相关坏账准备计提是否充分；（</w:t>
      </w:r>
      <w:r w:rsidR="00D63A86" w:rsidRPr="00D63A86">
        <w:rPr>
          <w:rFonts w:ascii="Times New Roman" w:eastAsia="宋体" w:hAnsi="Times New Roman"/>
        </w:rPr>
        <w:t>2</w:t>
      </w:r>
      <w:r w:rsidR="00D63A86" w:rsidRPr="00D63A86">
        <w:rPr>
          <w:rFonts w:ascii="Times New Roman" w:eastAsia="宋体" w:hAnsi="Times New Roman"/>
        </w:rPr>
        <w:t>）补充披露截至目前的期后回款情况，回款比例与同行业可比公司比较情况，如存在较大差异，请分析原因及合理性，发行人是否面临较大的回款风险及对经营业绩的影响；（</w:t>
      </w:r>
      <w:r w:rsidR="00D63A86" w:rsidRPr="00D63A86">
        <w:rPr>
          <w:rFonts w:ascii="Times New Roman" w:eastAsia="宋体" w:hAnsi="Times New Roman"/>
        </w:rPr>
        <w:t>3</w:t>
      </w:r>
      <w:r w:rsidR="00D63A86" w:rsidRPr="00D63A86">
        <w:rPr>
          <w:rFonts w:ascii="Times New Roman" w:eastAsia="宋体" w:hAnsi="Times New Roman"/>
        </w:rPr>
        <w:t>）补充披露截至目前的应收账款逾期情况，包括但不限于涉及的客户、金额、预期原因等；（</w:t>
      </w:r>
      <w:r w:rsidR="00D63A86" w:rsidRPr="00D63A86">
        <w:rPr>
          <w:rFonts w:ascii="Times New Roman" w:eastAsia="宋体" w:hAnsi="Times New Roman"/>
        </w:rPr>
        <w:t>4</w:t>
      </w:r>
      <w:r w:rsidR="00D63A86" w:rsidRPr="00D63A86">
        <w:rPr>
          <w:rFonts w:ascii="Times New Roman" w:eastAsia="宋体" w:hAnsi="Times New Roman"/>
        </w:rPr>
        <w:t>）结合上述事项，以及房地产调控政策、新增住宅开发面积等，对发行人面临的应收账款风险、主营业务风险进行有针对性的充分披露和揭示。</w:t>
      </w:r>
    </w:p>
    <w:p w:rsidR="001438EB" w:rsidRDefault="00D63A86" w:rsidP="00E449CC">
      <w:pPr>
        <w:pStyle w:val="a7"/>
        <w:spacing w:before="156" w:after="156"/>
        <w:rPr>
          <w:rFonts w:ascii="Times New Roman" w:eastAsia="宋体" w:hAnsi="Times New Roman"/>
        </w:rPr>
      </w:pPr>
      <w:r w:rsidRPr="00D63A86">
        <w:rPr>
          <w:rFonts w:ascii="Times New Roman" w:eastAsia="宋体" w:hAnsi="Times New Roman"/>
        </w:rPr>
        <w:t>请保荐人、申报会计师发表明确意见。</w:t>
      </w:r>
    </w:p>
    <w:p w:rsidR="00776F91" w:rsidRDefault="00776F91" w:rsidP="00903E66">
      <w:pPr>
        <w:spacing w:beforeLines="50" w:before="156" w:afterLines="50" w:after="156" w:line="360" w:lineRule="auto"/>
        <w:ind w:firstLineChars="200" w:firstLine="482"/>
        <w:rPr>
          <w:rFonts w:ascii="Times New Roman" w:eastAsia="宋体" w:hAnsi="Times New Roman"/>
          <w:b/>
          <w:bCs/>
          <w:sz w:val="24"/>
          <w:szCs w:val="28"/>
          <w:u w:val="double"/>
        </w:rPr>
      </w:pPr>
      <w:r w:rsidRPr="00336E7C">
        <w:rPr>
          <w:rFonts w:ascii="Times New Roman" w:eastAsia="宋体" w:hAnsi="Times New Roman" w:hint="eastAsia"/>
          <w:b/>
          <w:bCs/>
          <w:sz w:val="24"/>
          <w:szCs w:val="28"/>
          <w:u w:val="double"/>
        </w:rPr>
        <w:t>答复：</w:t>
      </w:r>
    </w:p>
    <w:p w:rsidR="00776F91" w:rsidRPr="0076370A" w:rsidRDefault="00776F91" w:rsidP="00903E66">
      <w:pPr>
        <w:spacing w:beforeLines="50" w:before="156" w:afterLines="50" w:after="156" w:line="360" w:lineRule="auto"/>
        <w:ind w:firstLineChars="200" w:firstLine="482"/>
        <w:outlineLvl w:val="1"/>
        <w:rPr>
          <w:rFonts w:ascii="宋体" w:eastAsia="宋体" w:hAnsi="宋体" w:cs="Times New Roman"/>
          <w:b/>
          <w:bCs/>
          <w:sz w:val="24"/>
          <w:szCs w:val="24"/>
        </w:rPr>
      </w:pPr>
      <w:r w:rsidRPr="009D0CAD">
        <w:rPr>
          <w:rFonts w:ascii="宋体" w:eastAsia="宋体" w:hAnsi="宋体" w:cs="Times New Roman" w:hint="eastAsia"/>
          <w:b/>
          <w:bCs/>
          <w:sz w:val="24"/>
          <w:szCs w:val="24"/>
        </w:rPr>
        <w:t>【补充信息披露情况】</w:t>
      </w:r>
    </w:p>
    <w:p w:rsidR="00776F91" w:rsidRDefault="00776F91" w:rsidP="00E449CC">
      <w:pPr>
        <w:pStyle w:val="a6"/>
        <w:spacing w:before="156" w:after="156"/>
      </w:pPr>
      <w:r>
        <w:rPr>
          <w:rFonts w:hint="eastAsia"/>
        </w:rPr>
        <w:t>（一）</w:t>
      </w:r>
      <w:r w:rsidR="00D63A86" w:rsidRPr="00D63A86">
        <w:t>结合主要客户信用状况、资金状况、偿债能力变化情况等，补充披露是否存在回款风险较大、资金链紧张的客户，相关坏账准备计提是否充分</w:t>
      </w:r>
    </w:p>
    <w:p w:rsidR="0093476D" w:rsidRDefault="0093476D" w:rsidP="0093476D">
      <w:pPr>
        <w:pStyle w:val="11"/>
        <w:spacing w:before="156" w:afterLines="0"/>
      </w:pPr>
      <w:r w:rsidRPr="005F3552">
        <w:rPr>
          <w:rFonts w:cs="Times New Roman"/>
        </w:rPr>
        <w:t>报告期内，发行人</w:t>
      </w:r>
      <w:r w:rsidR="00011E34">
        <w:rPr>
          <w:rFonts w:cs="Times New Roman" w:hint="eastAsia"/>
        </w:rPr>
        <w:t>主要</w:t>
      </w:r>
      <w:r w:rsidRPr="005F3552">
        <w:rPr>
          <w:rFonts w:cs="Times New Roman"/>
        </w:rPr>
        <w:t>客户</w:t>
      </w:r>
      <w:r>
        <w:rPr>
          <w:rFonts w:cs="Times New Roman" w:hint="eastAsia"/>
        </w:rPr>
        <w:t>为保利、绿地、世茂、</w:t>
      </w:r>
      <w:r w:rsidRPr="00461C4E">
        <w:rPr>
          <w:rFonts w:hint="eastAsia"/>
        </w:rPr>
        <w:t>山湖海（广东）投资控股集团有限公司</w:t>
      </w:r>
      <w:r>
        <w:rPr>
          <w:rFonts w:hint="eastAsia"/>
        </w:rPr>
        <w:t>、</w:t>
      </w:r>
      <w:r w:rsidRPr="00461C4E">
        <w:rPr>
          <w:rFonts w:hint="eastAsia"/>
        </w:rPr>
        <w:t>融侨集团股份有限公司</w:t>
      </w:r>
      <w:r>
        <w:rPr>
          <w:rFonts w:hint="eastAsia"/>
        </w:rPr>
        <w:t>、</w:t>
      </w:r>
      <w:r w:rsidR="00011E34" w:rsidRPr="00011E34">
        <w:rPr>
          <w:rFonts w:hint="eastAsia"/>
        </w:rPr>
        <w:t>金科地产集团股份有限公司（</w:t>
      </w:r>
      <w:r w:rsidR="00011E34" w:rsidRPr="00011E34">
        <w:t>SZ.000656</w:t>
      </w:r>
      <w:r w:rsidR="00011E34" w:rsidRPr="00011E34">
        <w:t>）</w:t>
      </w:r>
      <w:r>
        <w:rPr>
          <w:rFonts w:hint="eastAsia"/>
        </w:rPr>
        <w:t>、</w:t>
      </w:r>
      <w:r w:rsidRPr="00116663">
        <w:rPr>
          <w:rFonts w:hint="eastAsia"/>
        </w:rPr>
        <w:t>阳光城集团股份有限公司（</w:t>
      </w:r>
      <w:r w:rsidRPr="00116663">
        <w:rPr>
          <w:rFonts w:hint="eastAsia"/>
        </w:rPr>
        <w:t>SZ.000671</w:t>
      </w:r>
      <w:r w:rsidRPr="00116663">
        <w:rPr>
          <w:rFonts w:hint="eastAsia"/>
        </w:rPr>
        <w:t>）</w:t>
      </w:r>
      <w:r>
        <w:rPr>
          <w:rFonts w:hint="eastAsia"/>
        </w:rPr>
        <w:t>、</w:t>
      </w:r>
      <w:r w:rsidRPr="00FC4456">
        <w:rPr>
          <w:rFonts w:hint="eastAsia"/>
        </w:rPr>
        <w:t>湖州远辉房地产开发有限公司</w:t>
      </w:r>
      <w:r w:rsidR="00011E34">
        <w:rPr>
          <w:rFonts w:hint="eastAsia"/>
        </w:rPr>
        <w:t>等</w:t>
      </w:r>
      <w:r>
        <w:rPr>
          <w:rFonts w:hint="eastAsia"/>
        </w:rPr>
        <w:t>。</w:t>
      </w:r>
    </w:p>
    <w:p w:rsidR="0093476D" w:rsidRPr="00C6611A" w:rsidRDefault="0093476D" w:rsidP="00776F91">
      <w:pPr>
        <w:pStyle w:val="11"/>
        <w:spacing w:before="156" w:after="156"/>
        <w:ind w:firstLine="482"/>
        <w:rPr>
          <w:rFonts w:cs="Times New Roman"/>
          <w:b/>
          <w:bCs/>
        </w:rPr>
      </w:pPr>
      <w:r w:rsidRPr="00C6611A">
        <w:rPr>
          <w:rFonts w:cs="Times New Roman"/>
          <w:b/>
          <w:bCs/>
        </w:rPr>
        <w:t>1</w:t>
      </w:r>
      <w:r w:rsidRPr="00C6611A">
        <w:rPr>
          <w:rFonts w:cs="Times New Roman"/>
          <w:b/>
          <w:bCs/>
        </w:rPr>
        <w:t>、主要客户信用状况</w:t>
      </w:r>
    </w:p>
    <w:p w:rsidR="0093476D" w:rsidRPr="00C6611A" w:rsidRDefault="0093476D" w:rsidP="00776F91">
      <w:pPr>
        <w:pStyle w:val="11"/>
        <w:spacing w:before="156" w:after="156"/>
        <w:rPr>
          <w:rFonts w:cs="Times New Roman"/>
        </w:rPr>
      </w:pPr>
      <w:r w:rsidRPr="00C6611A">
        <w:rPr>
          <w:rFonts w:cs="Times New Roman"/>
        </w:rPr>
        <w:t>上述主要客户信用情况如下：</w:t>
      </w:r>
    </w:p>
    <w:tbl>
      <w:tblPr>
        <w:tblW w:w="5554"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3129"/>
        <w:gridCol w:w="6331"/>
      </w:tblGrid>
      <w:tr w:rsidR="0093476D" w:rsidRPr="00CB4215" w:rsidTr="00C6611A">
        <w:trPr>
          <w:trHeight w:val="397"/>
          <w:jc w:val="center"/>
        </w:trPr>
        <w:tc>
          <w:tcPr>
            <w:tcW w:w="1654" w:type="pct"/>
            <w:vAlign w:val="center"/>
          </w:tcPr>
          <w:p w:rsidR="0093476D" w:rsidRPr="00CB4215" w:rsidRDefault="0093476D" w:rsidP="0093476D">
            <w:pPr>
              <w:widowControl/>
              <w:jc w:val="center"/>
              <w:rPr>
                <w:rFonts w:ascii="Times New Roman" w:eastAsia="宋体" w:hAnsi="Times New Roman" w:cs="Times New Roman"/>
                <w:b/>
                <w:bCs/>
                <w:color w:val="000000"/>
                <w:kern w:val="0"/>
                <w:szCs w:val="21"/>
              </w:rPr>
            </w:pPr>
            <w:r w:rsidRPr="00CB4215">
              <w:rPr>
                <w:rFonts w:ascii="Times New Roman" w:eastAsia="宋体" w:hAnsi="Times New Roman" w:cs="Times New Roman"/>
                <w:b/>
                <w:bCs/>
                <w:color w:val="000000"/>
                <w:kern w:val="0"/>
                <w:szCs w:val="21"/>
              </w:rPr>
              <w:t>客户名称</w:t>
            </w:r>
          </w:p>
        </w:tc>
        <w:tc>
          <w:tcPr>
            <w:tcW w:w="3346" w:type="pct"/>
            <w:vAlign w:val="center"/>
          </w:tcPr>
          <w:p w:rsidR="0093476D" w:rsidRPr="00CB4215" w:rsidRDefault="0093476D" w:rsidP="0093476D">
            <w:pPr>
              <w:widowControl/>
              <w:jc w:val="center"/>
              <w:rPr>
                <w:rFonts w:ascii="Times New Roman" w:eastAsia="宋体" w:hAnsi="Times New Roman" w:cs="Times New Roman"/>
                <w:b/>
                <w:bCs/>
                <w:color w:val="000000"/>
                <w:kern w:val="0"/>
                <w:szCs w:val="21"/>
              </w:rPr>
            </w:pPr>
            <w:r w:rsidRPr="00CB4215">
              <w:rPr>
                <w:rFonts w:ascii="Times New Roman" w:eastAsia="宋体" w:hAnsi="Times New Roman" w:cs="Times New Roman"/>
                <w:b/>
                <w:bCs/>
                <w:color w:val="000000"/>
                <w:kern w:val="0"/>
                <w:szCs w:val="21"/>
              </w:rPr>
              <w:t>信用情况</w:t>
            </w:r>
          </w:p>
        </w:tc>
      </w:tr>
      <w:tr w:rsidR="00356538" w:rsidRPr="00CB4215" w:rsidTr="00C6611A">
        <w:trPr>
          <w:trHeight w:val="397"/>
          <w:jc w:val="center"/>
        </w:trPr>
        <w:tc>
          <w:tcPr>
            <w:tcW w:w="1654" w:type="pct"/>
            <w:vAlign w:val="center"/>
          </w:tcPr>
          <w:p w:rsidR="00356538" w:rsidRPr="00CB4215" w:rsidRDefault="00356538" w:rsidP="00356538">
            <w:pPr>
              <w:widowControl/>
              <w:jc w:val="center"/>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保利地产</w:t>
            </w:r>
          </w:p>
        </w:tc>
        <w:tc>
          <w:tcPr>
            <w:tcW w:w="3346" w:type="pct"/>
            <w:vAlign w:val="center"/>
          </w:tcPr>
          <w:p w:rsidR="00356538" w:rsidRPr="00CB4215" w:rsidRDefault="00356538" w:rsidP="00356538">
            <w:pPr>
              <w:widowControl/>
              <w:jc w:val="left"/>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保利地产</w:t>
            </w:r>
            <w:r w:rsidRPr="00CB4215">
              <w:rPr>
                <w:rFonts w:ascii="Times New Roman" w:eastAsia="宋体" w:hAnsi="Times New Roman" w:cs="Times New Roman"/>
                <w:color w:val="000000"/>
                <w:kern w:val="0"/>
                <w:szCs w:val="21"/>
              </w:rPr>
              <w:t>2019</w:t>
            </w:r>
            <w:r w:rsidRPr="00CB4215">
              <w:rPr>
                <w:rFonts w:ascii="Times New Roman" w:eastAsia="宋体" w:hAnsi="Times New Roman" w:cs="Times New Roman"/>
                <w:color w:val="000000"/>
                <w:kern w:val="0"/>
                <w:szCs w:val="21"/>
              </w:rPr>
              <w:t>年由大公国际资信评估有限公司评定的信用评级为</w:t>
            </w:r>
            <w:r w:rsidRPr="00CB4215">
              <w:rPr>
                <w:rFonts w:ascii="Times New Roman" w:eastAsia="宋体" w:hAnsi="Times New Roman" w:cs="Times New Roman"/>
                <w:color w:val="000000"/>
                <w:kern w:val="0"/>
                <w:szCs w:val="21"/>
              </w:rPr>
              <w:t>AAA</w:t>
            </w:r>
            <w:r w:rsidRPr="00CB4215">
              <w:rPr>
                <w:rFonts w:ascii="Times New Roman" w:eastAsia="宋体" w:hAnsi="Times New Roman" w:cs="Times New Roman"/>
                <w:color w:val="000000"/>
                <w:kern w:val="0"/>
                <w:szCs w:val="21"/>
              </w:rPr>
              <w:t>。</w:t>
            </w:r>
          </w:p>
        </w:tc>
      </w:tr>
      <w:tr w:rsidR="00356538" w:rsidRPr="00CB4215" w:rsidTr="00C6611A">
        <w:trPr>
          <w:trHeight w:val="397"/>
          <w:jc w:val="center"/>
        </w:trPr>
        <w:tc>
          <w:tcPr>
            <w:tcW w:w="1654" w:type="pct"/>
            <w:vAlign w:val="center"/>
          </w:tcPr>
          <w:p w:rsidR="00356538" w:rsidRPr="00CB4215" w:rsidRDefault="00356538" w:rsidP="00356538">
            <w:pPr>
              <w:widowControl/>
              <w:jc w:val="center"/>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绿地控股</w:t>
            </w:r>
          </w:p>
        </w:tc>
        <w:tc>
          <w:tcPr>
            <w:tcW w:w="3346" w:type="pct"/>
            <w:vAlign w:val="center"/>
          </w:tcPr>
          <w:p w:rsidR="00356538" w:rsidRPr="00CB4215" w:rsidRDefault="00356538" w:rsidP="00356538">
            <w:pPr>
              <w:widowControl/>
              <w:jc w:val="left"/>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绿地控股</w:t>
            </w:r>
            <w:r w:rsidRPr="00CB4215">
              <w:rPr>
                <w:rFonts w:ascii="Times New Roman" w:eastAsia="宋体" w:hAnsi="Times New Roman" w:cs="Times New Roman"/>
                <w:color w:val="000000"/>
                <w:kern w:val="0"/>
                <w:szCs w:val="21"/>
              </w:rPr>
              <w:t>2020</w:t>
            </w:r>
            <w:r w:rsidRPr="00CB4215">
              <w:rPr>
                <w:rFonts w:ascii="Times New Roman" w:eastAsia="宋体" w:hAnsi="Times New Roman" w:cs="Times New Roman"/>
                <w:color w:val="000000"/>
                <w:kern w:val="0"/>
                <w:szCs w:val="21"/>
              </w:rPr>
              <w:t>年由联合资信评估有限公司评定的信用评级为</w:t>
            </w:r>
            <w:r w:rsidRPr="00CB4215">
              <w:rPr>
                <w:rFonts w:ascii="Times New Roman" w:eastAsia="宋体" w:hAnsi="Times New Roman" w:cs="Times New Roman"/>
                <w:color w:val="000000"/>
                <w:kern w:val="0"/>
                <w:szCs w:val="21"/>
              </w:rPr>
              <w:t>AA+</w:t>
            </w:r>
            <w:r w:rsidRPr="00CB4215">
              <w:rPr>
                <w:rFonts w:ascii="Times New Roman" w:eastAsia="宋体" w:hAnsi="Times New Roman" w:cs="Times New Roman"/>
                <w:color w:val="000000"/>
                <w:kern w:val="0"/>
                <w:szCs w:val="21"/>
              </w:rPr>
              <w:t>。</w:t>
            </w:r>
          </w:p>
        </w:tc>
      </w:tr>
      <w:tr w:rsidR="00356538" w:rsidRPr="00CB4215" w:rsidTr="00C6611A">
        <w:trPr>
          <w:trHeight w:val="397"/>
          <w:jc w:val="center"/>
        </w:trPr>
        <w:tc>
          <w:tcPr>
            <w:tcW w:w="1654" w:type="pct"/>
            <w:vAlign w:val="center"/>
          </w:tcPr>
          <w:p w:rsidR="00356538" w:rsidRPr="00CB4215" w:rsidRDefault="00356538" w:rsidP="00356538">
            <w:pPr>
              <w:widowControl/>
              <w:jc w:val="center"/>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世茂股份</w:t>
            </w:r>
          </w:p>
        </w:tc>
        <w:tc>
          <w:tcPr>
            <w:tcW w:w="3346" w:type="pct"/>
            <w:vAlign w:val="center"/>
          </w:tcPr>
          <w:p w:rsidR="00356538" w:rsidRPr="00CB4215" w:rsidRDefault="00356538" w:rsidP="00356538">
            <w:pPr>
              <w:widowControl/>
              <w:jc w:val="left"/>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世茂股份</w:t>
            </w:r>
            <w:r w:rsidRPr="00CB4215">
              <w:rPr>
                <w:rFonts w:ascii="Times New Roman" w:eastAsia="宋体" w:hAnsi="Times New Roman" w:cs="Times New Roman"/>
                <w:color w:val="000000"/>
                <w:kern w:val="0"/>
                <w:szCs w:val="21"/>
              </w:rPr>
              <w:t>2020</w:t>
            </w:r>
            <w:r w:rsidRPr="00CB4215">
              <w:rPr>
                <w:rFonts w:ascii="Times New Roman" w:eastAsia="宋体" w:hAnsi="Times New Roman" w:cs="Times New Roman"/>
                <w:color w:val="000000"/>
                <w:kern w:val="0"/>
                <w:szCs w:val="21"/>
              </w:rPr>
              <w:t>年由联合信用评级有限公司评定的信用评级为</w:t>
            </w:r>
            <w:r w:rsidRPr="00CB4215">
              <w:rPr>
                <w:rFonts w:ascii="Times New Roman" w:eastAsia="宋体" w:hAnsi="Times New Roman" w:cs="Times New Roman"/>
                <w:color w:val="000000"/>
                <w:kern w:val="0"/>
                <w:szCs w:val="21"/>
              </w:rPr>
              <w:t>AAA</w:t>
            </w:r>
            <w:r w:rsidRPr="00CB4215">
              <w:rPr>
                <w:rFonts w:ascii="Times New Roman" w:eastAsia="宋体" w:hAnsi="Times New Roman" w:cs="Times New Roman"/>
                <w:color w:val="000000"/>
                <w:kern w:val="0"/>
                <w:szCs w:val="21"/>
              </w:rPr>
              <w:t>。</w:t>
            </w:r>
          </w:p>
        </w:tc>
      </w:tr>
      <w:tr w:rsidR="00011E34" w:rsidRPr="00CB4215" w:rsidTr="00C6611A">
        <w:trPr>
          <w:trHeight w:val="397"/>
          <w:jc w:val="center"/>
        </w:trPr>
        <w:tc>
          <w:tcPr>
            <w:tcW w:w="1654" w:type="pct"/>
            <w:vAlign w:val="center"/>
          </w:tcPr>
          <w:p w:rsidR="00011E34" w:rsidRPr="00CB4215" w:rsidRDefault="00011E34" w:rsidP="00011E34">
            <w:pPr>
              <w:widowControl/>
              <w:jc w:val="center"/>
              <w:rPr>
                <w:rFonts w:ascii="Times New Roman" w:eastAsia="宋体" w:hAnsi="Times New Roman" w:cs="Times New Roman"/>
                <w:b/>
                <w:bCs/>
                <w:color w:val="000000"/>
                <w:kern w:val="0"/>
                <w:szCs w:val="21"/>
              </w:rPr>
            </w:pPr>
            <w:r w:rsidRPr="00CB4215">
              <w:rPr>
                <w:rFonts w:ascii="Times New Roman" w:eastAsia="宋体" w:hAnsi="Times New Roman" w:cs="Times New Roman"/>
                <w:szCs w:val="21"/>
              </w:rPr>
              <w:t>山湖海（广东）投资控股集团有限公司</w:t>
            </w:r>
          </w:p>
        </w:tc>
        <w:tc>
          <w:tcPr>
            <w:tcW w:w="3346" w:type="pct"/>
            <w:vAlign w:val="center"/>
          </w:tcPr>
          <w:p w:rsidR="00011E34" w:rsidRPr="00CB4215" w:rsidRDefault="00011E34" w:rsidP="00D87C5E">
            <w:pPr>
              <w:widowControl/>
              <w:jc w:val="left"/>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广东省企业诚信建设促进会、广东省企业信用评审委员会于</w:t>
            </w:r>
            <w:r w:rsidRPr="00CB4215">
              <w:rPr>
                <w:rFonts w:ascii="Times New Roman" w:eastAsia="宋体" w:hAnsi="Times New Roman" w:cs="Times New Roman"/>
                <w:color w:val="000000"/>
                <w:kern w:val="0"/>
                <w:szCs w:val="21"/>
              </w:rPr>
              <w:t>2019</w:t>
            </w:r>
            <w:r w:rsidRPr="00CB4215">
              <w:rPr>
                <w:rFonts w:ascii="Times New Roman" w:eastAsia="宋体" w:hAnsi="Times New Roman" w:cs="Times New Roman"/>
                <w:color w:val="000000"/>
                <w:kern w:val="0"/>
                <w:szCs w:val="21"/>
              </w:rPr>
              <w:t>年</w:t>
            </w:r>
            <w:r w:rsidRPr="00CB4215">
              <w:rPr>
                <w:rFonts w:ascii="Times New Roman" w:eastAsia="宋体" w:hAnsi="Times New Roman" w:cs="Times New Roman"/>
                <w:color w:val="000000"/>
                <w:kern w:val="0"/>
                <w:szCs w:val="21"/>
              </w:rPr>
              <w:t>12</w:t>
            </w:r>
            <w:r w:rsidRPr="00CB4215">
              <w:rPr>
                <w:rFonts w:ascii="Times New Roman" w:eastAsia="宋体" w:hAnsi="Times New Roman" w:cs="Times New Roman"/>
                <w:color w:val="000000"/>
                <w:kern w:val="0"/>
                <w:szCs w:val="21"/>
              </w:rPr>
              <w:t>月出具《企业信用等级证书》，该公司评定结果为</w:t>
            </w:r>
            <w:r w:rsidRPr="00CB4215">
              <w:rPr>
                <w:rFonts w:ascii="Times New Roman" w:eastAsia="宋体" w:hAnsi="Times New Roman" w:cs="Times New Roman"/>
                <w:color w:val="000000"/>
                <w:kern w:val="0"/>
                <w:szCs w:val="21"/>
              </w:rPr>
              <w:t>AAA</w:t>
            </w:r>
            <w:r w:rsidRPr="00CB4215">
              <w:rPr>
                <w:rFonts w:ascii="Times New Roman" w:eastAsia="宋体" w:hAnsi="Times New Roman" w:cs="Times New Roman"/>
                <w:color w:val="000000"/>
                <w:kern w:val="0"/>
                <w:szCs w:val="21"/>
              </w:rPr>
              <w:t>级。</w:t>
            </w:r>
          </w:p>
        </w:tc>
      </w:tr>
      <w:tr w:rsidR="00011E34" w:rsidRPr="00CB4215" w:rsidTr="00C6611A">
        <w:trPr>
          <w:trHeight w:val="397"/>
          <w:jc w:val="center"/>
        </w:trPr>
        <w:tc>
          <w:tcPr>
            <w:tcW w:w="1654" w:type="pct"/>
            <w:vAlign w:val="center"/>
          </w:tcPr>
          <w:p w:rsidR="00011E34" w:rsidRPr="00CB4215" w:rsidRDefault="00011E34" w:rsidP="00011E34">
            <w:pPr>
              <w:widowControl/>
              <w:jc w:val="center"/>
              <w:rPr>
                <w:rFonts w:ascii="Times New Roman" w:eastAsia="宋体" w:hAnsi="Times New Roman" w:cs="Times New Roman"/>
                <w:b/>
                <w:bCs/>
                <w:color w:val="000000"/>
                <w:kern w:val="0"/>
                <w:szCs w:val="21"/>
              </w:rPr>
            </w:pPr>
            <w:r w:rsidRPr="00CB4215">
              <w:rPr>
                <w:rFonts w:ascii="Times New Roman" w:eastAsia="宋体" w:hAnsi="Times New Roman" w:cs="Times New Roman"/>
                <w:szCs w:val="21"/>
              </w:rPr>
              <w:t>融侨集团股份有限公司</w:t>
            </w:r>
          </w:p>
        </w:tc>
        <w:tc>
          <w:tcPr>
            <w:tcW w:w="3346" w:type="pct"/>
            <w:vAlign w:val="center"/>
          </w:tcPr>
          <w:p w:rsidR="00011E34" w:rsidRPr="00CB4215" w:rsidRDefault="00011E34" w:rsidP="00D87C5E">
            <w:pPr>
              <w:widowControl/>
              <w:jc w:val="left"/>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2020</w:t>
            </w:r>
            <w:r w:rsidRPr="00CB4215">
              <w:rPr>
                <w:rFonts w:ascii="Times New Roman" w:eastAsia="宋体" w:hAnsi="Times New Roman" w:cs="Times New Roman"/>
                <w:color w:val="000000"/>
                <w:kern w:val="0"/>
                <w:szCs w:val="21"/>
              </w:rPr>
              <w:t>年由联合信用评级有限公司评定的信用评级为</w:t>
            </w:r>
            <w:r w:rsidRPr="00CB4215">
              <w:rPr>
                <w:rFonts w:ascii="Times New Roman" w:eastAsia="宋体" w:hAnsi="Times New Roman" w:cs="Times New Roman"/>
                <w:color w:val="000000"/>
                <w:kern w:val="0"/>
                <w:szCs w:val="21"/>
              </w:rPr>
              <w:t>AA+</w:t>
            </w:r>
            <w:r w:rsidRPr="00CB4215">
              <w:rPr>
                <w:rFonts w:ascii="Times New Roman" w:eastAsia="宋体" w:hAnsi="Times New Roman" w:cs="Times New Roman"/>
                <w:color w:val="000000"/>
                <w:kern w:val="0"/>
                <w:szCs w:val="21"/>
              </w:rPr>
              <w:t>。</w:t>
            </w:r>
          </w:p>
        </w:tc>
      </w:tr>
      <w:tr w:rsidR="00011E34" w:rsidRPr="00CB4215" w:rsidTr="00C6611A">
        <w:trPr>
          <w:trHeight w:val="397"/>
          <w:jc w:val="center"/>
        </w:trPr>
        <w:tc>
          <w:tcPr>
            <w:tcW w:w="1654" w:type="pct"/>
            <w:vAlign w:val="center"/>
          </w:tcPr>
          <w:p w:rsidR="00011E34" w:rsidRPr="00CB4215" w:rsidRDefault="00D87C5E" w:rsidP="00011E34">
            <w:pPr>
              <w:widowControl/>
              <w:jc w:val="center"/>
              <w:rPr>
                <w:rFonts w:ascii="Times New Roman" w:eastAsia="宋体" w:hAnsi="Times New Roman" w:cs="Times New Roman"/>
                <w:b/>
                <w:bCs/>
                <w:color w:val="000000"/>
                <w:kern w:val="0"/>
                <w:szCs w:val="21"/>
              </w:rPr>
            </w:pPr>
            <w:r w:rsidRPr="00CB4215">
              <w:rPr>
                <w:rFonts w:ascii="Times New Roman" w:eastAsia="宋体" w:hAnsi="Times New Roman" w:cs="Times New Roman"/>
                <w:szCs w:val="21"/>
              </w:rPr>
              <w:t>金科地产集团股份有限公司</w:t>
            </w:r>
          </w:p>
        </w:tc>
        <w:tc>
          <w:tcPr>
            <w:tcW w:w="3346" w:type="pct"/>
            <w:vAlign w:val="center"/>
          </w:tcPr>
          <w:p w:rsidR="00011E34" w:rsidRPr="00CB4215" w:rsidRDefault="00011E34" w:rsidP="00D87C5E">
            <w:pPr>
              <w:widowControl/>
              <w:jc w:val="left"/>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2020</w:t>
            </w:r>
            <w:r w:rsidRPr="00CB4215">
              <w:rPr>
                <w:rFonts w:ascii="Times New Roman" w:eastAsia="宋体" w:hAnsi="Times New Roman" w:cs="Times New Roman"/>
                <w:color w:val="000000"/>
                <w:kern w:val="0"/>
                <w:szCs w:val="21"/>
              </w:rPr>
              <w:t>年由联合信用评级有限公司评定的信用评级为</w:t>
            </w:r>
            <w:r w:rsidRPr="00CB4215">
              <w:rPr>
                <w:rFonts w:ascii="Times New Roman" w:eastAsia="宋体" w:hAnsi="Times New Roman" w:cs="Times New Roman"/>
                <w:color w:val="000000"/>
                <w:kern w:val="0"/>
                <w:szCs w:val="21"/>
              </w:rPr>
              <w:t>AAA</w:t>
            </w:r>
            <w:r w:rsidRPr="00CB4215">
              <w:rPr>
                <w:rFonts w:ascii="Times New Roman" w:eastAsia="宋体" w:hAnsi="Times New Roman" w:cs="Times New Roman"/>
                <w:color w:val="000000"/>
                <w:kern w:val="0"/>
                <w:szCs w:val="21"/>
              </w:rPr>
              <w:t>。</w:t>
            </w:r>
          </w:p>
        </w:tc>
      </w:tr>
      <w:tr w:rsidR="00011E34" w:rsidRPr="00CB4215" w:rsidTr="00C6611A">
        <w:trPr>
          <w:trHeight w:val="397"/>
          <w:jc w:val="center"/>
        </w:trPr>
        <w:tc>
          <w:tcPr>
            <w:tcW w:w="1654" w:type="pct"/>
            <w:vAlign w:val="center"/>
          </w:tcPr>
          <w:p w:rsidR="00011E34" w:rsidRPr="00CB4215" w:rsidRDefault="00011E34" w:rsidP="00011E34">
            <w:pPr>
              <w:widowControl/>
              <w:jc w:val="center"/>
              <w:rPr>
                <w:rFonts w:ascii="Times New Roman" w:eastAsia="宋体" w:hAnsi="Times New Roman" w:cs="Times New Roman"/>
                <w:b/>
                <w:bCs/>
                <w:color w:val="000000"/>
                <w:kern w:val="0"/>
                <w:szCs w:val="21"/>
              </w:rPr>
            </w:pPr>
            <w:r w:rsidRPr="00CB4215">
              <w:rPr>
                <w:rFonts w:ascii="Times New Roman" w:eastAsia="宋体" w:hAnsi="Times New Roman" w:cs="Times New Roman"/>
                <w:szCs w:val="21"/>
              </w:rPr>
              <w:t>阳光城集团股份有限公司</w:t>
            </w:r>
          </w:p>
        </w:tc>
        <w:tc>
          <w:tcPr>
            <w:tcW w:w="3346" w:type="pct"/>
            <w:vAlign w:val="center"/>
          </w:tcPr>
          <w:p w:rsidR="00011E34" w:rsidRPr="00CB4215" w:rsidRDefault="00011E34" w:rsidP="00D87C5E">
            <w:pPr>
              <w:widowControl/>
              <w:jc w:val="left"/>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2020</w:t>
            </w:r>
            <w:r w:rsidRPr="00CB4215">
              <w:rPr>
                <w:rFonts w:ascii="Times New Roman" w:eastAsia="宋体" w:hAnsi="Times New Roman" w:cs="Times New Roman"/>
                <w:color w:val="000000"/>
                <w:kern w:val="0"/>
                <w:szCs w:val="21"/>
              </w:rPr>
              <w:t>年由中诚信国际信用评级有限公司评定的信用评级为</w:t>
            </w:r>
            <w:r w:rsidRPr="00CB4215">
              <w:rPr>
                <w:rFonts w:ascii="Times New Roman" w:eastAsia="宋体" w:hAnsi="Times New Roman" w:cs="Times New Roman"/>
                <w:color w:val="000000"/>
                <w:kern w:val="0"/>
                <w:szCs w:val="21"/>
              </w:rPr>
              <w:t>AA+</w:t>
            </w:r>
            <w:r w:rsidRPr="00CB4215">
              <w:rPr>
                <w:rFonts w:ascii="Times New Roman" w:eastAsia="宋体" w:hAnsi="Times New Roman" w:cs="Times New Roman"/>
                <w:color w:val="000000"/>
                <w:kern w:val="0"/>
                <w:szCs w:val="21"/>
              </w:rPr>
              <w:t>。</w:t>
            </w:r>
          </w:p>
        </w:tc>
      </w:tr>
      <w:tr w:rsidR="00011E34" w:rsidRPr="00CB4215" w:rsidTr="00C6611A">
        <w:trPr>
          <w:trHeight w:val="397"/>
          <w:jc w:val="center"/>
        </w:trPr>
        <w:tc>
          <w:tcPr>
            <w:tcW w:w="1654" w:type="pct"/>
            <w:vAlign w:val="center"/>
          </w:tcPr>
          <w:p w:rsidR="00011E34" w:rsidRPr="00CB4215" w:rsidRDefault="00011E34" w:rsidP="00011E34">
            <w:pPr>
              <w:widowControl/>
              <w:rPr>
                <w:rFonts w:ascii="Times New Roman" w:eastAsia="宋体" w:hAnsi="Times New Roman" w:cs="Times New Roman"/>
                <w:b/>
                <w:bCs/>
                <w:color w:val="000000"/>
                <w:kern w:val="0"/>
                <w:szCs w:val="21"/>
              </w:rPr>
            </w:pPr>
            <w:r w:rsidRPr="00CB4215">
              <w:rPr>
                <w:rFonts w:ascii="Times New Roman" w:eastAsia="宋体" w:hAnsi="Times New Roman" w:cs="Times New Roman"/>
                <w:szCs w:val="21"/>
              </w:rPr>
              <w:t>湖州远辉房地产开发有限公司</w:t>
            </w:r>
          </w:p>
        </w:tc>
        <w:tc>
          <w:tcPr>
            <w:tcW w:w="3346" w:type="pct"/>
            <w:vAlign w:val="center"/>
          </w:tcPr>
          <w:p w:rsidR="00011E34" w:rsidRPr="00CB4215" w:rsidRDefault="00D87C5E" w:rsidP="00D87C5E">
            <w:pPr>
              <w:widowControl/>
              <w:jc w:val="left"/>
              <w:rPr>
                <w:rFonts w:ascii="Times New Roman" w:eastAsia="宋体" w:hAnsi="Times New Roman" w:cs="Times New Roman"/>
                <w:color w:val="000000"/>
                <w:kern w:val="0"/>
                <w:szCs w:val="21"/>
              </w:rPr>
            </w:pPr>
            <w:r w:rsidRPr="00CB4215">
              <w:rPr>
                <w:rFonts w:ascii="Times New Roman" w:eastAsia="宋体" w:hAnsi="Times New Roman" w:cs="Times New Roman"/>
                <w:color w:val="000000"/>
                <w:kern w:val="0"/>
                <w:szCs w:val="21"/>
              </w:rPr>
              <w:t>该公司是广东海伦堡地产集团有限公司的控股子公司，广东海伦堡地产集团有限公司</w:t>
            </w:r>
            <w:r w:rsidRPr="00CB4215">
              <w:rPr>
                <w:rFonts w:ascii="Times New Roman" w:eastAsia="宋体" w:hAnsi="Times New Roman" w:cs="Times New Roman"/>
                <w:color w:val="000000"/>
                <w:kern w:val="0"/>
                <w:szCs w:val="21"/>
              </w:rPr>
              <w:t>2017</w:t>
            </w:r>
            <w:r w:rsidRPr="00CB4215">
              <w:rPr>
                <w:rFonts w:ascii="Times New Roman" w:eastAsia="宋体" w:hAnsi="Times New Roman" w:cs="Times New Roman"/>
                <w:color w:val="000000"/>
                <w:kern w:val="0"/>
                <w:szCs w:val="21"/>
              </w:rPr>
              <w:t>年由联合信用评级有限公司评定的信用评级为</w:t>
            </w:r>
            <w:r w:rsidRPr="00CB4215">
              <w:rPr>
                <w:rFonts w:ascii="Times New Roman" w:eastAsia="宋体" w:hAnsi="Times New Roman" w:cs="Times New Roman"/>
                <w:color w:val="000000"/>
                <w:kern w:val="0"/>
                <w:szCs w:val="21"/>
              </w:rPr>
              <w:t>AA+</w:t>
            </w:r>
            <w:r w:rsidRPr="00CB4215">
              <w:rPr>
                <w:rFonts w:ascii="Times New Roman" w:eastAsia="宋体" w:hAnsi="Times New Roman" w:cs="Times New Roman"/>
                <w:color w:val="000000"/>
                <w:kern w:val="0"/>
                <w:szCs w:val="21"/>
              </w:rPr>
              <w:t>。</w:t>
            </w:r>
          </w:p>
        </w:tc>
      </w:tr>
    </w:tbl>
    <w:p w:rsidR="0093476D" w:rsidRPr="00C6611A" w:rsidRDefault="0093476D" w:rsidP="00776F91">
      <w:pPr>
        <w:pStyle w:val="11"/>
        <w:spacing w:before="156" w:after="156"/>
        <w:ind w:firstLine="482"/>
        <w:rPr>
          <w:rFonts w:cs="Times New Roman"/>
          <w:b/>
          <w:bCs/>
        </w:rPr>
      </w:pPr>
      <w:r w:rsidRPr="00C6611A">
        <w:rPr>
          <w:rFonts w:cs="Times New Roman"/>
          <w:b/>
          <w:bCs/>
        </w:rPr>
        <w:lastRenderedPageBreak/>
        <w:t>2</w:t>
      </w:r>
      <w:r w:rsidRPr="00C6611A">
        <w:rPr>
          <w:rFonts w:cs="Times New Roman"/>
          <w:b/>
          <w:bCs/>
        </w:rPr>
        <w:t>、主要客户资金状况、偿债能力变化情况</w:t>
      </w:r>
    </w:p>
    <w:p w:rsidR="00D87C5E" w:rsidRDefault="00D87C5E" w:rsidP="00D87C5E">
      <w:pPr>
        <w:pStyle w:val="11"/>
        <w:spacing w:before="156" w:after="156"/>
        <w:rPr>
          <w:rFonts w:cs="Times New Roman"/>
        </w:rPr>
      </w:pPr>
      <w:r w:rsidRPr="00C6611A">
        <w:rPr>
          <w:rFonts w:cs="Times New Roman"/>
        </w:rPr>
        <w:t>上述主要客户资金状况、偿债能力变化情况如下：</w:t>
      </w:r>
    </w:p>
    <w:tbl>
      <w:tblPr>
        <w:tblW w:w="6584" w:type="pct"/>
        <w:jc w:val="center"/>
        <w:tblBorders>
          <w:top w:val="single" w:sz="12" w:space="0" w:color="333399"/>
          <w:left w:val="single" w:sz="4" w:space="0" w:color="333399"/>
          <w:bottom w:val="single" w:sz="12" w:space="0" w:color="333399"/>
          <w:right w:val="single" w:sz="4" w:space="0" w:color="333399"/>
          <w:insideH w:val="single" w:sz="4" w:space="0" w:color="333399"/>
          <w:insideV w:val="single" w:sz="4" w:space="0" w:color="333399"/>
        </w:tblBorders>
        <w:tblLook w:val="04A0" w:firstRow="1" w:lastRow="0" w:firstColumn="1" w:lastColumn="0" w:noHBand="0" w:noVBand="1"/>
      </w:tblPr>
      <w:tblGrid>
        <w:gridCol w:w="1640"/>
        <w:gridCol w:w="839"/>
        <w:gridCol w:w="875"/>
        <w:gridCol w:w="873"/>
        <w:gridCol w:w="874"/>
        <w:gridCol w:w="873"/>
        <w:gridCol w:w="728"/>
        <w:gridCol w:w="728"/>
        <w:gridCol w:w="728"/>
        <w:gridCol w:w="873"/>
        <w:gridCol w:w="728"/>
        <w:gridCol w:w="728"/>
        <w:gridCol w:w="727"/>
      </w:tblGrid>
      <w:tr w:rsidR="00687202" w:rsidRPr="00CB4215" w:rsidTr="00CB4215">
        <w:trPr>
          <w:trHeight w:val="397"/>
          <w:jc w:val="center"/>
        </w:trPr>
        <w:tc>
          <w:tcPr>
            <w:tcW w:w="1595" w:type="dxa"/>
            <w:vMerge w:val="restart"/>
            <w:vAlign w:val="center"/>
          </w:tcPr>
          <w:p w:rsidR="00687202" w:rsidRPr="00CB4215" w:rsidRDefault="00687202" w:rsidP="00CB4215">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客户名称</w:t>
            </w:r>
          </w:p>
        </w:tc>
        <w:tc>
          <w:tcPr>
            <w:tcW w:w="3368" w:type="dxa"/>
            <w:gridSpan w:val="4"/>
            <w:vAlign w:val="center"/>
          </w:tcPr>
          <w:p w:rsidR="00687202" w:rsidRPr="00CB4215" w:rsidRDefault="00687202" w:rsidP="00370F7A">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资产负债率</w:t>
            </w:r>
          </w:p>
        </w:tc>
        <w:tc>
          <w:tcPr>
            <w:tcW w:w="2977" w:type="dxa"/>
            <w:gridSpan w:val="4"/>
            <w:vAlign w:val="center"/>
          </w:tcPr>
          <w:p w:rsidR="00687202" w:rsidRPr="00CB4215" w:rsidRDefault="00687202" w:rsidP="00370F7A">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货币资金</w:t>
            </w:r>
            <w:r w:rsidRPr="00CB4215">
              <w:rPr>
                <w:rFonts w:ascii="Times New Roman" w:eastAsia="宋体" w:hAnsi="Times New Roman" w:cs="Times New Roman"/>
                <w:b/>
                <w:bCs/>
                <w:color w:val="000000"/>
                <w:kern w:val="0"/>
                <w:sz w:val="18"/>
                <w:szCs w:val="18"/>
              </w:rPr>
              <w:t>/</w:t>
            </w:r>
            <w:r w:rsidRPr="00CB4215">
              <w:rPr>
                <w:rFonts w:ascii="Times New Roman" w:eastAsia="宋体" w:hAnsi="Times New Roman" w:cs="Times New Roman"/>
                <w:b/>
                <w:bCs/>
                <w:color w:val="000000"/>
                <w:kern w:val="0"/>
                <w:sz w:val="18"/>
                <w:szCs w:val="18"/>
              </w:rPr>
              <w:t>短期债务</w:t>
            </w:r>
          </w:p>
        </w:tc>
        <w:tc>
          <w:tcPr>
            <w:tcW w:w="2976" w:type="dxa"/>
            <w:gridSpan w:val="4"/>
            <w:vAlign w:val="center"/>
          </w:tcPr>
          <w:p w:rsidR="00687202" w:rsidRPr="00CB4215" w:rsidRDefault="00687202" w:rsidP="00370F7A">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经营活动产生的现金流量净额</w:t>
            </w:r>
          </w:p>
          <w:p w:rsidR="00687202" w:rsidRPr="00CB4215" w:rsidRDefault="00687202" w:rsidP="00370F7A">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w:t>
            </w:r>
            <w:r w:rsidRPr="00CB4215">
              <w:rPr>
                <w:rFonts w:ascii="Times New Roman" w:eastAsia="宋体" w:hAnsi="Times New Roman" w:cs="Times New Roman"/>
                <w:b/>
                <w:bCs/>
                <w:color w:val="000000"/>
                <w:kern w:val="0"/>
                <w:sz w:val="18"/>
                <w:szCs w:val="18"/>
              </w:rPr>
              <w:t>短期债务</w:t>
            </w:r>
          </w:p>
        </w:tc>
      </w:tr>
      <w:tr w:rsidR="00687202" w:rsidRPr="00CB4215" w:rsidTr="00CB4215">
        <w:trPr>
          <w:trHeight w:val="397"/>
          <w:jc w:val="center"/>
        </w:trPr>
        <w:tc>
          <w:tcPr>
            <w:tcW w:w="1595" w:type="dxa"/>
            <w:vMerge/>
            <w:vAlign w:val="center"/>
          </w:tcPr>
          <w:p w:rsidR="00687202" w:rsidRPr="00CB4215" w:rsidRDefault="00687202" w:rsidP="00CB4215">
            <w:pPr>
              <w:widowControl/>
              <w:jc w:val="center"/>
              <w:rPr>
                <w:rFonts w:ascii="Times New Roman" w:eastAsia="宋体" w:hAnsi="Times New Roman" w:cs="Times New Roman"/>
                <w:b/>
                <w:bCs/>
                <w:color w:val="000000"/>
                <w:kern w:val="0"/>
                <w:sz w:val="18"/>
                <w:szCs w:val="18"/>
              </w:rPr>
            </w:pPr>
          </w:p>
        </w:tc>
        <w:tc>
          <w:tcPr>
            <w:tcW w:w="816"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2020</w:t>
            </w:r>
            <w:r w:rsidRPr="00CB4215">
              <w:rPr>
                <w:rFonts w:ascii="Times New Roman" w:eastAsia="宋体" w:hAnsi="Times New Roman" w:cs="Times New Roman"/>
                <w:b/>
                <w:bCs/>
                <w:color w:val="000000"/>
                <w:kern w:val="0"/>
                <w:sz w:val="18"/>
                <w:szCs w:val="18"/>
              </w:rPr>
              <w:t>年</w:t>
            </w:r>
            <w:r w:rsidRPr="00CB4215">
              <w:rPr>
                <w:rFonts w:ascii="Times New Roman" w:eastAsia="宋体" w:hAnsi="Times New Roman" w:cs="Times New Roman"/>
                <w:b/>
                <w:bCs/>
                <w:color w:val="000000"/>
                <w:kern w:val="0"/>
                <w:sz w:val="18"/>
                <w:szCs w:val="18"/>
              </w:rPr>
              <w:t>6</w:t>
            </w:r>
            <w:r w:rsidRPr="00CB4215">
              <w:rPr>
                <w:rFonts w:ascii="Times New Roman" w:eastAsia="宋体" w:hAnsi="Times New Roman" w:cs="Times New Roman"/>
                <w:b/>
                <w:bCs/>
                <w:color w:val="000000"/>
                <w:kern w:val="0"/>
                <w:sz w:val="18"/>
                <w:szCs w:val="18"/>
              </w:rPr>
              <w:t>月末</w:t>
            </w:r>
          </w:p>
        </w:tc>
        <w:tc>
          <w:tcPr>
            <w:tcW w:w="851"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2019</w:t>
            </w:r>
            <w:r w:rsidRPr="00CB4215">
              <w:rPr>
                <w:rFonts w:ascii="Times New Roman" w:eastAsia="宋体" w:hAnsi="Times New Roman" w:cs="Times New Roman"/>
                <w:b/>
                <w:bCs/>
                <w:color w:val="000000"/>
                <w:kern w:val="0"/>
                <w:sz w:val="18"/>
                <w:szCs w:val="18"/>
              </w:rPr>
              <w:t>年末</w:t>
            </w:r>
          </w:p>
        </w:tc>
        <w:tc>
          <w:tcPr>
            <w:tcW w:w="850"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2018</w:t>
            </w:r>
            <w:r w:rsidRPr="00CB4215">
              <w:rPr>
                <w:rFonts w:ascii="Times New Roman" w:eastAsia="宋体" w:hAnsi="Times New Roman" w:cs="Times New Roman"/>
                <w:b/>
                <w:bCs/>
                <w:color w:val="000000"/>
                <w:kern w:val="0"/>
                <w:sz w:val="18"/>
                <w:szCs w:val="18"/>
              </w:rPr>
              <w:t>年末</w:t>
            </w:r>
          </w:p>
        </w:tc>
        <w:tc>
          <w:tcPr>
            <w:tcW w:w="851"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2017</w:t>
            </w:r>
            <w:r w:rsidRPr="00CB4215">
              <w:rPr>
                <w:rFonts w:ascii="Times New Roman" w:eastAsia="宋体" w:hAnsi="Times New Roman" w:cs="Times New Roman"/>
                <w:b/>
                <w:bCs/>
                <w:color w:val="000000"/>
                <w:kern w:val="0"/>
                <w:sz w:val="18"/>
                <w:szCs w:val="18"/>
              </w:rPr>
              <w:t>年末</w:t>
            </w:r>
          </w:p>
        </w:tc>
        <w:tc>
          <w:tcPr>
            <w:tcW w:w="850"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2020</w:t>
            </w:r>
            <w:r w:rsidRPr="00CB4215">
              <w:rPr>
                <w:rFonts w:ascii="Times New Roman" w:eastAsia="宋体" w:hAnsi="Times New Roman" w:cs="Times New Roman"/>
                <w:b/>
                <w:bCs/>
                <w:color w:val="000000"/>
                <w:kern w:val="0"/>
                <w:sz w:val="18"/>
                <w:szCs w:val="18"/>
              </w:rPr>
              <w:t>年</w:t>
            </w:r>
            <w:r w:rsidRPr="00CB4215">
              <w:rPr>
                <w:rFonts w:ascii="Times New Roman" w:eastAsia="宋体" w:hAnsi="Times New Roman" w:cs="Times New Roman"/>
                <w:b/>
                <w:bCs/>
                <w:color w:val="000000"/>
                <w:kern w:val="0"/>
                <w:sz w:val="18"/>
                <w:szCs w:val="18"/>
              </w:rPr>
              <w:t>6</w:t>
            </w:r>
            <w:r w:rsidRPr="00CB4215">
              <w:rPr>
                <w:rFonts w:ascii="Times New Roman" w:eastAsia="宋体" w:hAnsi="Times New Roman" w:cs="Times New Roman"/>
                <w:b/>
                <w:bCs/>
                <w:color w:val="000000"/>
                <w:kern w:val="0"/>
                <w:sz w:val="18"/>
                <w:szCs w:val="18"/>
              </w:rPr>
              <w:t>月末</w:t>
            </w:r>
          </w:p>
        </w:tc>
        <w:tc>
          <w:tcPr>
            <w:tcW w:w="709"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2019</w:t>
            </w:r>
            <w:r w:rsidRPr="00CB4215">
              <w:rPr>
                <w:rFonts w:ascii="Times New Roman" w:eastAsia="宋体" w:hAnsi="Times New Roman" w:cs="Times New Roman"/>
                <w:b/>
                <w:bCs/>
                <w:color w:val="000000"/>
                <w:kern w:val="0"/>
                <w:sz w:val="18"/>
                <w:szCs w:val="18"/>
              </w:rPr>
              <w:t>年末</w:t>
            </w:r>
          </w:p>
        </w:tc>
        <w:tc>
          <w:tcPr>
            <w:tcW w:w="709"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2018</w:t>
            </w:r>
            <w:r w:rsidRPr="00CB4215">
              <w:rPr>
                <w:rFonts w:ascii="Times New Roman" w:eastAsia="宋体" w:hAnsi="Times New Roman" w:cs="Times New Roman"/>
                <w:b/>
                <w:bCs/>
                <w:color w:val="000000"/>
                <w:kern w:val="0"/>
                <w:sz w:val="18"/>
                <w:szCs w:val="18"/>
              </w:rPr>
              <w:t>年末</w:t>
            </w:r>
          </w:p>
        </w:tc>
        <w:tc>
          <w:tcPr>
            <w:tcW w:w="709"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2017</w:t>
            </w:r>
            <w:r w:rsidRPr="00CB4215">
              <w:rPr>
                <w:rFonts w:ascii="Times New Roman" w:eastAsia="宋体" w:hAnsi="Times New Roman" w:cs="Times New Roman"/>
                <w:b/>
                <w:bCs/>
                <w:color w:val="000000"/>
                <w:kern w:val="0"/>
                <w:sz w:val="18"/>
                <w:szCs w:val="18"/>
              </w:rPr>
              <w:t>年末</w:t>
            </w:r>
          </w:p>
        </w:tc>
        <w:tc>
          <w:tcPr>
            <w:tcW w:w="850"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2020</w:t>
            </w:r>
            <w:r w:rsidRPr="00CB4215">
              <w:rPr>
                <w:rFonts w:ascii="Times New Roman" w:eastAsia="宋体" w:hAnsi="Times New Roman" w:cs="Times New Roman"/>
                <w:b/>
                <w:bCs/>
                <w:color w:val="000000"/>
                <w:kern w:val="0"/>
                <w:sz w:val="18"/>
                <w:szCs w:val="18"/>
              </w:rPr>
              <w:t>年</w:t>
            </w:r>
            <w:r w:rsidRPr="00CB4215">
              <w:rPr>
                <w:rFonts w:ascii="Times New Roman" w:eastAsia="宋体" w:hAnsi="Times New Roman" w:cs="Times New Roman"/>
                <w:b/>
                <w:bCs/>
                <w:color w:val="000000"/>
                <w:kern w:val="0"/>
                <w:sz w:val="18"/>
                <w:szCs w:val="18"/>
              </w:rPr>
              <w:t>6</w:t>
            </w:r>
            <w:r w:rsidRPr="00CB4215">
              <w:rPr>
                <w:rFonts w:ascii="Times New Roman" w:eastAsia="宋体" w:hAnsi="Times New Roman" w:cs="Times New Roman"/>
                <w:b/>
                <w:bCs/>
                <w:color w:val="000000"/>
                <w:kern w:val="0"/>
                <w:sz w:val="18"/>
                <w:szCs w:val="18"/>
              </w:rPr>
              <w:t>月末</w:t>
            </w:r>
          </w:p>
        </w:tc>
        <w:tc>
          <w:tcPr>
            <w:tcW w:w="709"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2019</w:t>
            </w:r>
            <w:r w:rsidRPr="00CB4215">
              <w:rPr>
                <w:rFonts w:ascii="Times New Roman" w:eastAsia="宋体" w:hAnsi="Times New Roman" w:cs="Times New Roman"/>
                <w:b/>
                <w:bCs/>
                <w:color w:val="000000"/>
                <w:kern w:val="0"/>
                <w:sz w:val="18"/>
                <w:szCs w:val="18"/>
              </w:rPr>
              <w:t>年末</w:t>
            </w:r>
          </w:p>
        </w:tc>
        <w:tc>
          <w:tcPr>
            <w:tcW w:w="709"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2018</w:t>
            </w:r>
            <w:r w:rsidRPr="00CB4215">
              <w:rPr>
                <w:rFonts w:ascii="Times New Roman" w:eastAsia="宋体" w:hAnsi="Times New Roman" w:cs="Times New Roman"/>
                <w:b/>
                <w:bCs/>
                <w:color w:val="000000"/>
                <w:kern w:val="0"/>
                <w:sz w:val="18"/>
                <w:szCs w:val="18"/>
              </w:rPr>
              <w:t>年末</w:t>
            </w:r>
          </w:p>
        </w:tc>
        <w:tc>
          <w:tcPr>
            <w:tcW w:w="708" w:type="dxa"/>
            <w:vAlign w:val="center"/>
          </w:tcPr>
          <w:p w:rsidR="00687202" w:rsidRPr="00CB4215" w:rsidRDefault="00687202" w:rsidP="00370F7A">
            <w:pPr>
              <w:widowControl/>
              <w:jc w:val="left"/>
              <w:rPr>
                <w:rFonts w:ascii="Times New Roman" w:eastAsia="宋体" w:hAnsi="Times New Roman" w:cs="Times New Roman"/>
                <w:b/>
                <w:bCs/>
                <w:color w:val="000000"/>
                <w:kern w:val="0"/>
                <w:sz w:val="18"/>
                <w:szCs w:val="18"/>
              </w:rPr>
            </w:pPr>
            <w:r w:rsidRPr="00CB4215">
              <w:rPr>
                <w:rFonts w:ascii="Times New Roman" w:eastAsia="宋体" w:hAnsi="Times New Roman" w:cs="Times New Roman"/>
                <w:b/>
                <w:bCs/>
                <w:color w:val="000000"/>
                <w:kern w:val="0"/>
                <w:sz w:val="18"/>
                <w:szCs w:val="18"/>
              </w:rPr>
              <w:t>2017</w:t>
            </w:r>
            <w:r w:rsidRPr="00CB4215">
              <w:rPr>
                <w:rFonts w:ascii="Times New Roman" w:eastAsia="宋体" w:hAnsi="Times New Roman" w:cs="Times New Roman"/>
                <w:b/>
                <w:bCs/>
                <w:color w:val="000000"/>
                <w:kern w:val="0"/>
                <w:sz w:val="18"/>
                <w:szCs w:val="18"/>
              </w:rPr>
              <w:t>年末</w:t>
            </w:r>
          </w:p>
        </w:tc>
      </w:tr>
      <w:tr w:rsidR="00687202" w:rsidRPr="00CB4215" w:rsidTr="00CB4215">
        <w:trPr>
          <w:trHeight w:val="397"/>
          <w:jc w:val="center"/>
        </w:trPr>
        <w:tc>
          <w:tcPr>
            <w:tcW w:w="1595" w:type="dxa"/>
            <w:vAlign w:val="center"/>
          </w:tcPr>
          <w:p w:rsidR="00687202" w:rsidRPr="00CB4215" w:rsidRDefault="00687202" w:rsidP="00CB4215">
            <w:pPr>
              <w:widowControl/>
              <w:jc w:val="center"/>
              <w:rPr>
                <w:rFonts w:ascii="Times New Roman" w:eastAsia="宋体" w:hAnsi="Times New Roman" w:cs="Times New Roman"/>
                <w:color w:val="000000"/>
                <w:kern w:val="0"/>
                <w:sz w:val="18"/>
                <w:szCs w:val="18"/>
              </w:rPr>
            </w:pPr>
            <w:r w:rsidRPr="00CB4215">
              <w:rPr>
                <w:rFonts w:ascii="Times New Roman" w:eastAsia="宋体" w:hAnsi="Times New Roman" w:cs="Times New Roman"/>
                <w:color w:val="000000"/>
                <w:kern w:val="0"/>
                <w:sz w:val="18"/>
                <w:szCs w:val="18"/>
              </w:rPr>
              <w:t>保利地产</w:t>
            </w:r>
          </w:p>
        </w:tc>
        <w:tc>
          <w:tcPr>
            <w:tcW w:w="816"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77.66%</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77.79%</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77.97%</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77.28%</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1.96</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2.1</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2.33</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2.3</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-0.39</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0.59</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0.24</w:t>
            </w:r>
          </w:p>
        </w:tc>
        <w:tc>
          <w:tcPr>
            <w:tcW w:w="708"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-0.99</w:t>
            </w:r>
          </w:p>
        </w:tc>
      </w:tr>
      <w:tr w:rsidR="00687202" w:rsidRPr="00CB4215" w:rsidTr="00CB4215">
        <w:trPr>
          <w:trHeight w:val="397"/>
          <w:jc w:val="center"/>
        </w:trPr>
        <w:tc>
          <w:tcPr>
            <w:tcW w:w="1595" w:type="dxa"/>
            <w:vAlign w:val="center"/>
          </w:tcPr>
          <w:p w:rsidR="00687202" w:rsidRPr="00CB4215" w:rsidRDefault="00687202" w:rsidP="00CB4215">
            <w:pPr>
              <w:widowControl/>
              <w:jc w:val="center"/>
              <w:rPr>
                <w:rFonts w:ascii="Times New Roman" w:eastAsia="宋体" w:hAnsi="Times New Roman" w:cs="Times New Roman"/>
                <w:color w:val="000000"/>
                <w:kern w:val="0"/>
                <w:sz w:val="18"/>
                <w:szCs w:val="18"/>
              </w:rPr>
            </w:pPr>
            <w:r w:rsidRPr="00CB4215">
              <w:rPr>
                <w:rFonts w:ascii="Times New Roman" w:eastAsia="宋体" w:hAnsi="Times New Roman" w:cs="Times New Roman"/>
                <w:color w:val="000000"/>
                <w:kern w:val="0"/>
                <w:sz w:val="18"/>
                <w:szCs w:val="18"/>
              </w:rPr>
              <w:t>绿地控股</w:t>
            </w:r>
          </w:p>
        </w:tc>
        <w:tc>
          <w:tcPr>
            <w:tcW w:w="816"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88.51%</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88.53%</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89.49%</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79.74%</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0.72</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0.76</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0.86</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0.81</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0.03</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0.17</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0.45</w:t>
            </w:r>
          </w:p>
        </w:tc>
        <w:tc>
          <w:tcPr>
            <w:tcW w:w="708"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0.63</w:t>
            </w:r>
          </w:p>
        </w:tc>
      </w:tr>
      <w:tr w:rsidR="00687202" w:rsidRPr="00CB4215" w:rsidTr="00CB4215">
        <w:trPr>
          <w:trHeight w:val="397"/>
          <w:jc w:val="center"/>
        </w:trPr>
        <w:tc>
          <w:tcPr>
            <w:tcW w:w="1595" w:type="dxa"/>
            <w:vAlign w:val="center"/>
          </w:tcPr>
          <w:p w:rsidR="00687202" w:rsidRPr="00CB4215" w:rsidRDefault="00687202" w:rsidP="00CB4215">
            <w:pPr>
              <w:widowControl/>
              <w:jc w:val="center"/>
              <w:rPr>
                <w:rFonts w:ascii="Times New Roman" w:eastAsia="宋体" w:hAnsi="Times New Roman" w:cs="Times New Roman"/>
                <w:color w:val="000000"/>
                <w:kern w:val="0"/>
                <w:sz w:val="18"/>
                <w:szCs w:val="18"/>
              </w:rPr>
            </w:pPr>
            <w:r w:rsidRPr="00CB4215">
              <w:rPr>
                <w:rFonts w:ascii="Times New Roman" w:eastAsia="宋体" w:hAnsi="Times New Roman" w:cs="Times New Roman"/>
                <w:color w:val="000000"/>
                <w:kern w:val="0"/>
                <w:sz w:val="18"/>
                <w:szCs w:val="18"/>
              </w:rPr>
              <w:t>世茂股份</w:t>
            </w:r>
          </w:p>
        </w:tc>
        <w:tc>
          <w:tcPr>
            <w:tcW w:w="816"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63.56%</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62.21%</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58.65%</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62.33%</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1.63</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1.33</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2.45</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2.66</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0.24</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0.49</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0.94</w:t>
            </w:r>
          </w:p>
        </w:tc>
        <w:tc>
          <w:tcPr>
            <w:tcW w:w="708"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1.25</w:t>
            </w:r>
          </w:p>
        </w:tc>
      </w:tr>
      <w:tr w:rsidR="00687202" w:rsidRPr="00CB4215" w:rsidTr="00CB4215">
        <w:trPr>
          <w:trHeight w:val="397"/>
          <w:jc w:val="center"/>
        </w:trPr>
        <w:tc>
          <w:tcPr>
            <w:tcW w:w="1595" w:type="dxa"/>
            <w:vAlign w:val="center"/>
          </w:tcPr>
          <w:p w:rsidR="00687202" w:rsidRPr="00CB4215" w:rsidRDefault="00687202" w:rsidP="00CB4215">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sz w:val="18"/>
                <w:szCs w:val="18"/>
              </w:rPr>
              <w:t>山湖海（广东）投资控股集团有限公司</w:t>
            </w:r>
          </w:p>
        </w:tc>
        <w:tc>
          <w:tcPr>
            <w:tcW w:w="816"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8"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r>
      <w:tr w:rsidR="00687202" w:rsidRPr="00CB4215" w:rsidTr="00CB4215">
        <w:trPr>
          <w:trHeight w:val="397"/>
          <w:jc w:val="center"/>
        </w:trPr>
        <w:tc>
          <w:tcPr>
            <w:tcW w:w="1595" w:type="dxa"/>
            <w:vAlign w:val="center"/>
          </w:tcPr>
          <w:p w:rsidR="00687202" w:rsidRPr="00CB4215" w:rsidRDefault="00687202" w:rsidP="00CB4215">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sz w:val="18"/>
                <w:szCs w:val="18"/>
              </w:rPr>
              <w:t>融侨集团股份有限公司</w:t>
            </w:r>
          </w:p>
        </w:tc>
        <w:tc>
          <w:tcPr>
            <w:tcW w:w="816"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79.04%</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79.75%</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81.97%</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79.74%</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1.41</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1.04</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0.56</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0.45</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0.14</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0.59</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-0.07</w:t>
            </w:r>
          </w:p>
        </w:tc>
        <w:tc>
          <w:tcPr>
            <w:tcW w:w="708"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-0.56</w:t>
            </w:r>
          </w:p>
        </w:tc>
      </w:tr>
      <w:tr w:rsidR="00687202" w:rsidRPr="00CB4215" w:rsidTr="00CB4215">
        <w:trPr>
          <w:trHeight w:val="397"/>
          <w:jc w:val="center"/>
        </w:trPr>
        <w:tc>
          <w:tcPr>
            <w:tcW w:w="1595" w:type="dxa"/>
            <w:vAlign w:val="center"/>
          </w:tcPr>
          <w:p w:rsidR="00687202" w:rsidRPr="00CB4215" w:rsidRDefault="00687202" w:rsidP="00CB4215">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sz w:val="18"/>
                <w:szCs w:val="18"/>
              </w:rPr>
              <w:t>金科地产集团股份有限公司</w:t>
            </w:r>
          </w:p>
        </w:tc>
        <w:tc>
          <w:tcPr>
            <w:tcW w:w="816"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83.92%</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83.78%</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83.63%</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85.79%</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1.01</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1.1</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1.08</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1.04</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-0.07</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0.07</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0.05</w:t>
            </w:r>
          </w:p>
        </w:tc>
        <w:tc>
          <w:tcPr>
            <w:tcW w:w="708"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-0.47</w:t>
            </w:r>
          </w:p>
        </w:tc>
      </w:tr>
      <w:tr w:rsidR="00687202" w:rsidRPr="00CB4215" w:rsidTr="00CB4215">
        <w:trPr>
          <w:trHeight w:val="397"/>
          <w:jc w:val="center"/>
        </w:trPr>
        <w:tc>
          <w:tcPr>
            <w:tcW w:w="1595" w:type="dxa"/>
            <w:vAlign w:val="center"/>
          </w:tcPr>
          <w:p w:rsidR="00687202" w:rsidRPr="00CB4215" w:rsidRDefault="00687202" w:rsidP="00CB4215">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sz w:val="18"/>
                <w:szCs w:val="18"/>
              </w:rPr>
              <w:t>阳光城集团股份有限公司</w:t>
            </w:r>
          </w:p>
        </w:tc>
        <w:tc>
          <w:tcPr>
            <w:tcW w:w="816"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83.64%</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83.45%</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84.42%</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85.66%</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1.39</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1.32</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0.79</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0.75</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0.44</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0.48</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0.46</w:t>
            </w:r>
          </w:p>
        </w:tc>
        <w:tc>
          <w:tcPr>
            <w:tcW w:w="708"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0.18</w:t>
            </w:r>
          </w:p>
        </w:tc>
      </w:tr>
      <w:tr w:rsidR="00687202" w:rsidRPr="00CB4215" w:rsidTr="00CB4215">
        <w:trPr>
          <w:trHeight w:val="397"/>
          <w:jc w:val="center"/>
        </w:trPr>
        <w:tc>
          <w:tcPr>
            <w:tcW w:w="1595" w:type="dxa"/>
            <w:vAlign w:val="center"/>
          </w:tcPr>
          <w:p w:rsidR="00687202" w:rsidRPr="00CB4215" w:rsidRDefault="00687202" w:rsidP="00CB4215">
            <w:pPr>
              <w:widowControl/>
              <w:jc w:val="center"/>
              <w:rPr>
                <w:rFonts w:ascii="Times New Roman" w:eastAsia="宋体" w:hAnsi="Times New Roman" w:cs="Times New Roman"/>
                <w:b/>
                <w:bCs/>
                <w:color w:val="000000"/>
                <w:kern w:val="0"/>
                <w:sz w:val="18"/>
                <w:szCs w:val="18"/>
              </w:rPr>
            </w:pPr>
            <w:r w:rsidRPr="00CB4215">
              <w:rPr>
                <w:rFonts w:ascii="Times New Roman" w:eastAsia="宋体" w:hAnsi="Times New Roman" w:cs="Times New Roman"/>
                <w:sz w:val="18"/>
                <w:szCs w:val="18"/>
              </w:rPr>
              <w:t>湖州远辉房地产开发有限公司</w:t>
            </w:r>
          </w:p>
        </w:tc>
        <w:tc>
          <w:tcPr>
            <w:tcW w:w="816"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1"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850"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9"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c>
          <w:tcPr>
            <w:tcW w:w="708" w:type="dxa"/>
            <w:vAlign w:val="center"/>
          </w:tcPr>
          <w:p w:rsidR="00687202" w:rsidRPr="00CB4215" w:rsidRDefault="00687202" w:rsidP="00370F7A">
            <w:pPr>
              <w:widowControl/>
              <w:jc w:val="right"/>
              <w:rPr>
                <w:rFonts w:ascii="Times New Roman" w:eastAsia="宋体" w:hAnsi="Times New Roman" w:cs="Times New Roman"/>
                <w:color w:val="000000"/>
                <w:kern w:val="0"/>
                <w:sz w:val="18"/>
                <w:szCs w:val="18"/>
              </w:rPr>
            </w:pPr>
            <w:r w:rsidRPr="00CB4215">
              <w:rPr>
                <w:rFonts w:ascii="Times New Roman" w:eastAsia="等线" w:hAnsi="Times New Roman" w:cs="Times New Roman"/>
                <w:color w:val="000000"/>
                <w:sz w:val="18"/>
                <w:szCs w:val="18"/>
              </w:rPr>
              <w:t>-</w:t>
            </w:r>
          </w:p>
        </w:tc>
      </w:tr>
    </w:tbl>
    <w:p w:rsidR="00D87C5E" w:rsidRPr="00356538" w:rsidRDefault="00D87C5E" w:rsidP="00356538">
      <w:pPr>
        <w:pStyle w:val="11"/>
        <w:spacing w:beforeLines="0" w:afterLines="0" w:line="240" w:lineRule="auto"/>
        <w:ind w:firstLine="360"/>
        <w:rPr>
          <w:sz w:val="18"/>
          <w:szCs w:val="18"/>
        </w:rPr>
      </w:pPr>
      <w:r w:rsidRPr="00356538">
        <w:rPr>
          <w:rFonts w:hint="eastAsia"/>
          <w:sz w:val="18"/>
          <w:szCs w:val="18"/>
        </w:rPr>
        <w:t>注：</w:t>
      </w:r>
      <w:r w:rsidRPr="00356538">
        <w:rPr>
          <w:rFonts w:hint="eastAsia"/>
          <w:sz w:val="18"/>
          <w:szCs w:val="18"/>
        </w:rPr>
        <w:t>1</w:t>
      </w:r>
      <w:r w:rsidRPr="00356538">
        <w:rPr>
          <w:rFonts w:hint="eastAsia"/>
          <w:sz w:val="18"/>
          <w:szCs w:val="18"/>
        </w:rPr>
        <w:t>、</w:t>
      </w:r>
      <w:r w:rsidRPr="00356538">
        <w:rPr>
          <w:sz w:val="18"/>
          <w:szCs w:val="18"/>
        </w:rPr>
        <w:t>数据来源为各公司定期报告</w:t>
      </w:r>
      <w:r w:rsidR="00356538" w:rsidRPr="00356538">
        <w:rPr>
          <w:rFonts w:hint="eastAsia"/>
          <w:sz w:val="18"/>
          <w:szCs w:val="18"/>
        </w:rPr>
        <w:t>；</w:t>
      </w:r>
    </w:p>
    <w:p w:rsidR="00776F91" w:rsidRPr="00356538" w:rsidRDefault="00356538" w:rsidP="00356538">
      <w:pPr>
        <w:pStyle w:val="11"/>
        <w:spacing w:beforeLines="0" w:afterLines="0" w:line="240" w:lineRule="auto"/>
        <w:ind w:firstLine="360"/>
        <w:rPr>
          <w:sz w:val="18"/>
          <w:szCs w:val="18"/>
        </w:rPr>
      </w:pPr>
      <w:r w:rsidRPr="00356538">
        <w:rPr>
          <w:rFonts w:hint="eastAsia"/>
          <w:sz w:val="18"/>
          <w:szCs w:val="18"/>
        </w:rPr>
        <w:t>注：</w:t>
      </w:r>
      <w:r w:rsidRPr="00356538">
        <w:rPr>
          <w:rFonts w:hint="eastAsia"/>
          <w:sz w:val="18"/>
          <w:szCs w:val="18"/>
        </w:rPr>
        <w:t>2</w:t>
      </w:r>
      <w:r w:rsidRPr="00356538">
        <w:rPr>
          <w:rFonts w:hint="eastAsia"/>
          <w:sz w:val="18"/>
          <w:szCs w:val="18"/>
        </w:rPr>
        <w:t>、山湖海（广东）投资控股集团有限公司</w:t>
      </w:r>
      <w:r w:rsidRPr="00356538">
        <w:rPr>
          <w:sz w:val="18"/>
          <w:szCs w:val="18"/>
        </w:rPr>
        <w:t>、</w:t>
      </w:r>
      <w:r w:rsidRPr="00356538">
        <w:rPr>
          <w:rFonts w:hint="eastAsia"/>
          <w:sz w:val="18"/>
          <w:szCs w:val="18"/>
        </w:rPr>
        <w:t>湖州远辉房地产开发有限公司</w:t>
      </w:r>
      <w:r w:rsidRPr="00356538">
        <w:rPr>
          <w:sz w:val="18"/>
          <w:szCs w:val="18"/>
        </w:rPr>
        <w:t>为非公众公司，无法从公开渠道获取相关财务信息。</w:t>
      </w:r>
    </w:p>
    <w:p w:rsidR="00AD1C0C" w:rsidRPr="00C6611A" w:rsidRDefault="00AD1C0C" w:rsidP="00C6611A">
      <w:pPr>
        <w:pStyle w:val="11"/>
        <w:spacing w:before="156" w:after="156"/>
        <w:ind w:firstLine="482"/>
        <w:rPr>
          <w:rFonts w:cs="Times New Roman"/>
          <w:b/>
          <w:bCs/>
        </w:rPr>
      </w:pPr>
      <w:r w:rsidRPr="00C6611A">
        <w:rPr>
          <w:rFonts w:cs="Times New Roman" w:hint="eastAsia"/>
          <w:b/>
          <w:bCs/>
        </w:rPr>
        <w:t>3</w:t>
      </w:r>
      <w:r w:rsidRPr="00C6611A">
        <w:rPr>
          <w:rFonts w:cs="Times New Roman" w:hint="eastAsia"/>
          <w:b/>
          <w:bCs/>
        </w:rPr>
        <w:t>、结合上述情况，</w:t>
      </w:r>
      <w:r w:rsidRPr="00C6611A">
        <w:rPr>
          <w:rFonts w:cs="Times New Roman"/>
          <w:b/>
          <w:bCs/>
        </w:rPr>
        <w:t>补充披露是否存在回款风险较大、资金链紧张的客户</w:t>
      </w:r>
    </w:p>
    <w:p w:rsidR="00C6611A" w:rsidRPr="008F5447" w:rsidRDefault="00C6611A" w:rsidP="00903E66">
      <w:pPr>
        <w:spacing w:beforeLines="50" w:before="156" w:afterLines="50" w:after="156" w:line="360" w:lineRule="auto"/>
        <w:ind w:firstLineChars="200" w:firstLine="480"/>
        <w:rPr>
          <w:rFonts w:ascii="Times New Roman" w:eastAsia="宋体" w:hAnsi="Times New Roman"/>
          <w:sz w:val="24"/>
          <w:szCs w:val="28"/>
        </w:rPr>
      </w:pPr>
      <w:r w:rsidRPr="007A6FD3">
        <w:rPr>
          <w:rFonts w:ascii="宋体" w:eastAsia="宋体" w:hAnsi="宋体" w:hint="eastAsia"/>
          <w:sz w:val="24"/>
          <w:szCs w:val="28"/>
        </w:rPr>
        <w:t>发行人已在招股说明书“第八节</w:t>
      </w:r>
      <w:r w:rsidRPr="007A6FD3">
        <w:rPr>
          <w:rFonts w:ascii="宋体" w:eastAsia="宋体" w:hAnsi="宋体"/>
          <w:sz w:val="24"/>
          <w:szCs w:val="28"/>
        </w:rPr>
        <w:t xml:space="preserve"> 财务会计信息与管理层分析”之“十、资产质量分析”之“（二）各项主要资产分析”之“</w:t>
      </w:r>
      <w:r w:rsidRPr="007A6FD3">
        <w:rPr>
          <w:rFonts w:ascii="Times New Roman" w:eastAsia="宋体" w:hAnsi="Times New Roman" w:cs="Times New Roman"/>
          <w:sz w:val="24"/>
          <w:szCs w:val="28"/>
        </w:rPr>
        <w:t>1</w:t>
      </w:r>
      <w:r w:rsidRPr="007A6FD3">
        <w:rPr>
          <w:rFonts w:ascii="宋体" w:eastAsia="宋体" w:hAnsi="宋体"/>
          <w:sz w:val="24"/>
          <w:szCs w:val="28"/>
        </w:rPr>
        <w:t>、流动资产的构成及变化分析”之“（</w:t>
      </w:r>
      <w:r>
        <w:rPr>
          <w:rFonts w:ascii="Times New Roman" w:eastAsia="宋体" w:hAnsi="Times New Roman" w:cs="Times New Roman"/>
          <w:sz w:val="24"/>
          <w:szCs w:val="28"/>
        </w:rPr>
        <w:t>3</w:t>
      </w:r>
      <w:r w:rsidRPr="007A6FD3">
        <w:rPr>
          <w:rFonts w:ascii="宋体" w:eastAsia="宋体" w:hAnsi="宋体"/>
          <w:sz w:val="24"/>
          <w:szCs w:val="28"/>
        </w:rPr>
        <w:t>）应收票据及应收账款”之“</w:t>
      </w:r>
      <w:r w:rsidRPr="00C6611A">
        <w:rPr>
          <w:rFonts w:ascii="Times New Roman" w:eastAsia="宋体" w:hAnsi="Times New Roman" w:cs="Times New Roman"/>
          <w:sz w:val="24"/>
          <w:szCs w:val="28"/>
        </w:rPr>
        <w:t>2</w:t>
      </w:r>
      <w:r w:rsidRPr="00C6611A">
        <w:rPr>
          <w:rFonts w:ascii="Times New Roman" w:eastAsia="宋体" w:hAnsi="Times New Roman" w:cs="Times New Roman"/>
          <w:sz w:val="24"/>
          <w:szCs w:val="28"/>
        </w:rPr>
        <w:t>）应收账款</w:t>
      </w:r>
      <w:r w:rsidRPr="007A6FD3">
        <w:rPr>
          <w:rFonts w:ascii="宋体" w:eastAsia="宋体" w:hAnsi="宋体"/>
          <w:sz w:val="24"/>
          <w:szCs w:val="28"/>
        </w:rPr>
        <w:t>”补充披露如下</w:t>
      </w:r>
      <w:r w:rsidRPr="008F5447">
        <w:rPr>
          <w:rFonts w:ascii="Times New Roman" w:eastAsia="宋体" w:hAnsi="Times New Roman"/>
          <w:sz w:val="24"/>
          <w:szCs w:val="28"/>
        </w:rPr>
        <w:t>：</w:t>
      </w:r>
    </w:p>
    <w:p w:rsidR="00AD1C0C" w:rsidRPr="00B209D7" w:rsidRDefault="00AD1C0C" w:rsidP="00E449CC">
      <w:pPr>
        <w:pStyle w:val="a7"/>
        <w:spacing w:before="156" w:after="156"/>
        <w:ind w:firstLine="480"/>
        <w:rPr>
          <w:rFonts w:ascii="宋体" w:eastAsia="宋体" w:hAnsi="宋体"/>
          <w:b w:val="0"/>
          <w:bCs w:val="0"/>
        </w:rPr>
      </w:pPr>
      <w:r w:rsidRPr="00B209D7">
        <w:rPr>
          <w:rFonts w:ascii="宋体" w:eastAsia="宋体" w:hAnsi="宋体"/>
          <w:b w:val="0"/>
          <w:bCs w:val="0"/>
        </w:rPr>
        <w:t>房地产行业为资金密集型行业，房地产开发企业通常存在资产负债率高，短期偿债压力较大的特点，资金</w:t>
      </w:r>
      <w:proofErr w:type="gramStart"/>
      <w:r w:rsidRPr="00B209D7">
        <w:rPr>
          <w:rFonts w:ascii="宋体" w:eastAsia="宋体" w:hAnsi="宋体"/>
          <w:b w:val="0"/>
          <w:bCs w:val="0"/>
        </w:rPr>
        <w:t>链紧张</w:t>
      </w:r>
      <w:proofErr w:type="gramEnd"/>
      <w:r w:rsidRPr="00B209D7">
        <w:rPr>
          <w:rFonts w:ascii="宋体" w:eastAsia="宋体" w:hAnsi="宋体"/>
          <w:b w:val="0"/>
          <w:bCs w:val="0"/>
        </w:rPr>
        <w:t>是很多房地产开发企业都会遇到的情形。</w:t>
      </w:r>
      <w:r w:rsidRPr="00B209D7">
        <w:rPr>
          <w:rFonts w:ascii="宋体" w:eastAsia="宋体" w:hAnsi="宋体" w:hint="eastAsia"/>
          <w:b w:val="0"/>
          <w:bCs w:val="0"/>
        </w:rPr>
        <w:t>但总体看来，报告期内，公司主要客户</w:t>
      </w:r>
      <w:r w:rsidRPr="00B209D7">
        <w:rPr>
          <w:rFonts w:ascii="宋体" w:eastAsia="宋体" w:hAnsi="宋体"/>
          <w:b w:val="0"/>
          <w:bCs w:val="0"/>
        </w:rPr>
        <w:t>经营情况正常，</w:t>
      </w:r>
      <w:r w:rsidRPr="00B209D7">
        <w:rPr>
          <w:rFonts w:ascii="宋体" w:eastAsia="宋体" w:hAnsi="宋体" w:hint="eastAsia"/>
          <w:b w:val="0"/>
          <w:bCs w:val="0"/>
        </w:rPr>
        <w:t>资信情况良好，</w:t>
      </w:r>
      <w:r w:rsidRPr="00B209D7">
        <w:rPr>
          <w:rFonts w:ascii="宋体" w:eastAsia="宋体" w:hAnsi="宋体"/>
          <w:b w:val="0"/>
          <w:bCs w:val="0"/>
        </w:rPr>
        <w:t>资金状况及偿债能力总体保持稳定，符合行业特性</w:t>
      </w:r>
      <w:r w:rsidRPr="00B209D7">
        <w:rPr>
          <w:rFonts w:ascii="宋体" w:eastAsia="宋体" w:hAnsi="宋体" w:hint="eastAsia"/>
          <w:b w:val="0"/>
          <w:bCs w:val="0"/>
        </w:rPr>
        <w:t>，</w:t>
      </w:r>
      <w:r w:rsidRPr="00B209D7">
        <w:rPr>
          <w:rFonts w:ascii="宋体" w:eastAsia="宋体" w:hAnsi="宋体"/>
          <w:b w:val="0"/>
          <w:bCs w:val="0"/>
        </w:rPr>
        <w:t>未出现资金链及信用情况严重恶化的情形，亦不存在明显偿债风险。</w:t>
      </w:r>
    </w:p>
    <w:p w:rsidR="00AD1C0C" w:rsidRDefault="00682946" w:rsidP="00E449CC">
      <w:pPr>
        <w:pStyle w:val="a7"/>
        <w:spacing w:before="156" w:after="156"/>
        <w:rPr>
          <w:rFonts w:ascii="Times New Roman" w:eastAsia="宋体" w:hAnsi="Times New Roman"/>
        </w:rPr>
      </w:pPr>
      <w:r w:rsidRPr="00C6611A">
        <w:rPr>
          <w:rFonts w:ascii="Times New Roman" w:eastAsia="宋体" w:hAnsi="Times New Roman"/>
        </w:rPr>
        <w:t>4</w:t>
      </w:r>
      <w:r w:rsidRPr="00C6611A">
        <w:rPr>
          <w:rFonts w:ascii="Times New Roman" w:eastAsia="宋体" w:hAnsi="Times New Roman"/>
        </w:rPr>
        <w:t>、相关坏账准备计提是否充分</w:t>
      </w:r>
    </w:p>
    <w:p w:rsidR="00C6611A" w:rsidRPr="00C6611A" w:rsidRDefault="00C6611A" w:rsidP="00E449CC">
      <w:pPr>
        <w:pStyle w:val="a7"/>
        <w:spacing w:before="156" w:after="156"/>
        <w:ind w:firstLine="480"/>
        <w:rPr>
          <w:rFonts w:ascii="Times New Roman" w:eastAsia="宋体" w:hAnsi="Times New Roman"/>
          <w:b w:val="0"/>
          <w:bCs w:val="0"/>
        </w:rPr>
      </w:pPr>
      <w:r w:rsidRPr="00C6611A">
        <w:rPr>
          <w:rFonts w:ascii="宋体" w:eastAsia="宋体" w:hAnsi="宋体" w:hint="eastAsia"/>
          <w:b w:val="0"/>
          <w:bCs w:val="0"/>
          <w:szCs w:val="28"/>
        </w:rPr>
        <w:lastRenderedPageBreak/>
        <w:t>发行人已在招股说明书“第八节</w:t>
      </w:r>
      <w:r w:rsidRPr="00C6611A">
        <w:rPr>
          <w:rFonts w:ascii="宋体" w:eastAsia="宋体" w:hAnsi="宋体"/>
          <w:b w:val="0"/>
          <w:bCs w:val="0"/>
          <w:szCs w:val="28"/>
        </w:rPr>
        <w:t xml:space="preserve"> 财务会计信息与管理层分析”之“十、资产质量分析”之“（二）各项主要资产分析”之“</w:t>
      </w:r>
      <w:r w:rsidRPr="00C6611A">
        <w:rPr>
          <w:rFonts w:ascii="Times New Roman" w:eastAsia="宋体" w:hAnsi="Times New Roman"/>
          <w:b w:val="0"/>
          <w:bCs w:val="0"/>
          <w:szCs w:val="28"/>
        </w:rPr>
        <w:t>1</w:t>
      </w:r>
      <w:r w:rsidRPr="00C6611A">
        <w:rPr>
          <w:rFonts w:ascii="宋体" w:eastAsia="宋体" w:hAnsi="宋体"/>
          <w:b w:val="0"/>
          <w:bCs w:val="0"/>
          <w:szCs w:val="28"/>
        </w:rPr>
        <w:t>、流动资产的构成及变化分析”之“（</w:t>
      </w:r>
      <w:r w:rsidRPr="00C6611A">
        <w:rPr>
          <w:rFonts w:ascii="Times New Roman" w:eastAsia="宋体" w:hAnsi="Times New Roman"/>
          <w:b w:val="0"/>
          <w:bCs w:val="0"/>
          <w:szCs w:val="28"/>
        </w:rPr>
        <w:t>3</w:t>
      </w:r>
      <w:r w:rsidRPr="00C6611A">
        <w:rPr>
          <w:rFonts w:ascii="宋体" w:eastAsia="宋体" w:hAnsi="宋体"/>
          <w:b w:val="0"/>
          <w:bCs w:val="0"/>
          <w:szCs w:val="28"/>
        </w:rPr>
        <w:t>）应收票据及应收账款”之“</w:t>
      </w:r>
      <w:r w:rsidRPr="00C6611A">
        <w:rPr>
          <w:rFonts w:ascii="Times New Roman" w:eastAsia="宋体" w:hAnsi="Times New Roman"/>
          <w:b w:val="0"/>
          <w:bCs w:val="0"/>
          <w:szCs w:val="28"/>
        </w:rPr>
        <w:t>2</w:t>
      </w:r>
      <w:r w:rsidRPr="00C6611A">
        <w:rPr>
          <w:rFonts w:ascii="Times New Roman" w:eastAsia="宋体" w:hAnsi="Times New Roman"/>
          <w:b w:val="0"/>
          <w:bCs w:val="0"/>
          <w:szCs w:val="28"/>
        </w:rPr>
        <w:t>）应收账款</w:t>
      </w:r>
      <w:r w:rsidRPr="00C6611A">
        <w:rPr>
          <w:rFonts w:ascii="宋体" w:eastAsia="宋体" w:hAnsi="宋体"/>
          <w:b w:val="0"/>
          <w:bCs w:val="0"/>
          <w:szCs w:val="28"/>
        </w:rPr>
        <w:t>”补充披露如下</w:t>
      </w:r>
      <w:r w:rsidRPr="00C6611A">
        <w:rPr>
          <w:rFonts w:ascii="Times New Roman" w:eastAsia="宋体" w:hAnsi="Times New Roman"/>
          <w:b w:val="0"/>
          <w:bCs w:val="0"/>
          <w:szCs w:val="28"/>
        </w:rPr>
        <w:t>：</w:t>
      </w:r>
    </w:p>
    <w:p w:rsidR="00682946" w:rsidRPr="00682946" w:rsidRDefault="00682946" w:rsidP="00903E66">
      <w:pPr>
        <w:widowControl/>
        <w:spacing w:beforeLines="50" w:before="156" w:afterLines="50" w:after="156" w:line="360" w:lineRule="auto"/>
        <w:ind w:firstLineChars="200" w:firstLine="480"/>
        <w:jc w:val="left"/>
        <w:rPr>
          <w:rFonts w:ascii="Times New Roman" w:eastAsia="宋体" w:hAnsi="Times New Roman" w:cs="Times New Roman"/>
          <w:kern w:val="0"/>
          <w:sz w:val="24"/>
          <w:szCs w:val="24"/>
        </w:rPr>
      </w:pPr>
      <w:r w:rsidRPr="00682946">
        <w:rPr>
          <w:rFonts w:ascii="Times New Roman" w:eastAsia="宋体" w:hAnsi="Times New Roman" w:cs="宋体" w:hint="eastAsia"/>
          <w:kern w:val="0"/>
          <w:sz w:val="24"/>
          <w:szCs w:val="24"/>
        </w:rPr>
        <w:t>报告期内公司及同行业可比上市公司应收账款坏账计提比例对比如下：</w:t>
      </w:r>
    </w:p>
    <w:tbl>
      <w:tblPr>
        <w:tblW w:w="5000" w:type="pct"/>
        <w:jc w:val="center"/>
        <w:tblBorders>
          <w:top w:val="single" w:sz="12" w:space="0" w:color="35339A"/>
          <w:left w:val="single" w:sz="6" w:space="0" w:color="35339A"/>
          <w:bottom w:val="single" w:sz="12" w:space="0" w:color="35339A"/>
          <w:right w:val="single" w:sz="6" w:space="0" w:color="35339A"/>
          <w:insideH w:val="single" w:sz="6" w:space="0" w:color="35339A"/>
          <w:insideV w:val="single" w:sz="6" w:space="0" w:color="35339A"/>
        </w:tblBorders>
        <w:tblLook w:val="04A0" w:firstRow="1" w:lastRow="0" w:firstColumn="1" w:lastColumn="0" w:noHBand="0" w:noVBand="1"/>
      </w:tblPr>
      <w:tblGrid>
        <w:gridCol w:w="1559"/>
        <w:gridCol w:w="1559"/>
        <w:gridCol w:w="1577"/>
        <w:gridCol w:w="1219"/>
        <w:gridCol w:w="1337"/>
        <w:gridCol w:w="1265"/>
      </w:tblGrid>
      <w:tr w:rsidR="00682946" w:rsidRPr="00CB4215" w:rsidTr="009B1589">
        <w:trPr>
          <w:trHeight w:val="403"/>
          <w:jc w:val="center"/>
        </w:trPr>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b/>
                <w:bCs/>
                <w:kern w:val="0"/>
                <w:szCs w:val="21"/>
              </w:rPr>
            </w:pPr>
            <w:r w:rsidRPr="00CB4215">
              <w:rPr>
                <w:rFonts w:ascii="Times New Roman" w:eastAsia="宋体" w:hAnsi="Times New Roman" w:cs="Times New Roman"/>
                <w:b/>
                <w:bCs/>
                <w:kern w:val="0"/>
                <w:szCs w:val="21"/>
              </w:rPr>
              <w:t>年度</w:t>
            </w: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b/>
                <w:bCs/>
                <w:kern w:val="0"/>
                <w:szCs w:val="21"/>
              </w:rPr>
            </w:pPr>
            <w:r w:rsidRPr="00CB4215">
              <w:rPr>
                <w:rFonts w:ascii="Times New Roman" w:eastAsia="宋体" w:hAnsi="Times New Roman" w:cs="Times New Roman"/>
                <w:b/>
                <w:bCs/>
                <w:kern w:val="0"/>
                <w:szCs w:val="21"/>
              </w:rPr>
              <w:t>公司</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b/>
                <w:bCs/>
                <w:kern w:val="0"/>
                <w:szCs w:val="21"/>
              </w:rPr>
            </w:pPr>
            <w:r w:rsidRPr="00CB4215">
              <w:rPr>
                <w:rFonts w:ascii="Times New Roman" w:eastAsia="宋体" w:hAnsi="Times New Roman" w:cs="Times New Roman"/>
                <w:b/>
                <w:bCs/>
                <w:kern w:val="0"/>
                <w:szCs w:val="21"/>
              </w:rPr>
              <w:t>1</w:t>
            </w:r>
            <w:r w:rsidRPr="00CB4215">
              <w:rPr>
                <w:rFonts w:ascii="Times New Roman" w:eastAsia="宋体" w:hAnsi="Times New Roman" w:cs="Times New Roman"/>
                <w:b/>
                <w:bCs/>
                <w:kern w:val="0"/>
                <w:szCs w:val="21"/>
              </w:rPr>
              <w:t>年以内</w:t>
            </w:r>
          </w:p>
          <w:p w:rsidR="00682946" w:rsidRPr="00CB4215" w:rsidRDefault="00682946" w:rsidP="00682946">
            <w:pPr>
              <w:widowControl/>
              <w:snapToGrid w:val="0"/>
              <w:jc w:val="center"/>
              <w:rPr>
                <w:rFonts w:ascii="Times New Roman" w:eastAsia="宋体" w:hAnsi="Times New Roman" w:cs="Times New Roman"/>
                <w:b/>
                <w:bCs/>
                <w:kern w:val="0"/>
                <w:szCs w:val="21"/>
              </w:rPr>
            </w:pPr>
            <w:r w:rsidRPr="00CB4215">
              <w:rPr>
                <w:rFonts w:ascii="Times New Roman" w:eastAsia="宋体" w:hAnsi="Times New Roman" w:cs="Times New Roman"/>
                <w:b/>
                <w:bCs/>
                <w:kern w:val="0"/>
                <w:szCs w:val="21"/>
              </w:rPr>
              <w:t>（含</w:t>
            </w:r>
            <w:r w:rsidRPr="00CB4215">
              <w:rPr>
                <w:rFonts w:ascii="Times New Roman" w:eastAsia="宋体" w:hAnsi="Times New Roman" w:cs="Times New Roman"/>
                <w:b/>
                <w:bCs/>
                <w:kern w:val="0"/>
                <w:szCs w:val="21"/>
              </w:rPr>
              <w:t>1</w:t>
            </w:r>
            <w:r w:rsidRPr="00CB4215">
              <w:rPr>
                <w:rFonts w:ascii="Times New Roman" w:eastAsia="宋体" w:hAnsi="Times New Roman" w:cs="Times New Roman"/>
                <w:b/>
                <w:bCs/>
                <w:kern w:val="0"/>
                <w:szCs w:val="21"/>
              </w:rPr>
              <w:t>年）</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b/>
                <w:bCs/>
                <w:kern w:val="0"/>
                <w:szCs w:val="21"/>
              </w:rPr>
            </w:pPr>
            <w:r w:rsidRPr="00CB4215">
              <w:rPr>
                <w:rFonts w:ascii="Times New Roman" w:eastAsia="宋体" w:hAnsi="Times New Roman" w:cs="Times New Roman"/>
                <w:b/>
                <w:bCs/>
                <w:kern w:val="0"/>
                <w:szCs w:val="21"/>
              </w:rPr>
              <w:t>1-2</w:t>
            </w:r>
            <w:r w:rsidRPr="00CB4215">
              <w:rPr>
                <w:rFonts w:ascii="Times New Roman" w:eastAsia="宋体" w:hAnsi="Times New Roman" w:cs="Times New Roman"/>
                <w:b/>
                <w:bCs/>
                <w:kern w:val="0"/>
                <w:szCs w:val="21"/>
              </w:rPr>
              <w:t>年</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b/>
                <w:bCs/>
                <w:kern w:val="0"/>
                <w:szCs w:val="21"/>
              </w:rPr>
            </w:pPr>
            <w:r w:rsidRPr="00CB4215">
              <w:rPr>
                <w:rFonts w:ascii="Times New Roman" w:eastAsia="宋体" w:hAnsi="Times New Roman" w:cs="Times New Roman"/>
                <w:b/>
                <w:bCs/>
                <w:kern w:val="0"/>
                <w:szCs w:val="21"/>
              </w:rPr>
              <w:t>2-3</w:t>
            </w:r>
            <w:r w:rsidRPr="00CB4215">
              <w:rPr>
                <w:rFonts w:ascii="Times New Roman" w:eastAsia="宋体" w:hAnsi="Times New Roman" w:cs="Times New Roman"/>
                <w:b/>
                <w:bCs/>
                <w:kern w:val="0"/>
                <w:szCs w:val="21"/>
              </w:rPr>
              <w:t>年</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b/>
                <w:bCs/>
                <w:kern w:val="0"/>
                <w:szCs w:val="21"/>
              </w:rPr>
            </w:pPr>
            <w:r w:rsidRPr="00CB4215">
              <w:rPr>
                <w:rFonts w:ascii="Times New Roman" w:eastAsia="宋体" w:hAnsi="Times New Roman" w:cs="Times New Roman"/>
                <w:b/>
                <w:bCs/>
                <w:kern w:val="0"/>
                <w:szCs w:val="21"/>
              </w:rPr>
              <w:t>3</w:t>
            </w:r>
            <w:r w:rsidRPr="00CB4215">
              <w:rPr>
                <w:rFonts w:ascii="Times New Roman" w:eastAsia="宋体" w:hAnsi="Times New Roman" w:cs="Times New Roman"/>
                <w:b/>
                <w:bCs/>
                <w:kern w:val="0"/>
                <w:szCs w:val="21"/>
              </w:rPr>
              <w:t>年以上</w:t>
            </w:r>
          </w:p>
        </w:tc>
      </w:tr>
      <w:tr w:rsidR="00B209D7" w:rsidRPr="00CB4215" w:rsidTr="009B1589">
        <w:trPr>
          <w:trHeight w:val="403"/>
          <w:jc w:val="center"/>
        </w:trPr>
        <w:tc>
          <w:tcPr>
            <w:tcW w:w="915" w:type="pct"/>
            <w:vMerge w:val="restart"/>
            <w:shd w:val="clear" w:color="auto" w:fill="auto"/>
            <w:vAlign w:val="center"/>
          </w:tcPr>
          <w:p w:rsidR="00B209D7" w:rsidRPr="00B209D7" w:rsidRDefault="00B209D7" w:rsidP="00B209D7">
            <w:pPr>
              <w:widowControl/>
              <w:jc w:val="center"/>
              <w:rPr>
                <w:rFonts w:ascii="楷体" w:eastAsia="楷体" w:hAnsi="楷体" w:cs="Times New Roman"/>
                <w:b/>
                <w:bCs/>
                <w:kern w:val="0"/>
                <w:szCs w:val="21"/>
              </w:rPr>
            </w:pPr>
            <w:r w:rsidRPr="00B209D7">
              <w:rPr>
                <w:rFonts w:ascii="楷体" w:eastAsia="楷体" w:hAnsi="楷体" w:cs="Times New Roman"/>
                <w:b/>
                <w:bCs/>
                <w:kern w:val="0"/>
                <w:szCs w:val="21"/>
              </w:rPr>
              <w:t>2020年</w:t>
            </w:r>
          </w:p>
        </w:tc>
        <w:tc>
          <w:tcPr>
            <w:tcW w:w="915" w:type="pct"/>
            <w:shd w:val="clear" w:color="auto" w:fill="auto"/>
            <w:vAlign w:val="center"/>
          </w:tcPr>
          <w:p w:rsidR="00B209D7" w:rsidRPr="00CB4215" w:rsidRDefault="00B209D7" w:rsidP="00B209D7">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杰恩设计</w:t>
            </w:r>
          </w:p>
        </w:tc>
        <w:tc>
          <w:tcPr>
            <w:tcW w:w="92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1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85"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43"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r>
      <w:tr w:rsidR="00B209D7" w:rsidRPr="00CB4215" w:rsidTr="009B1589">
        <w:trPr>
          <w:trHeight w:val="403"/>
          <w:jc w:val="center"/>
        </w:trPr>
        <w:tc>
          <w:tcPr>
            <w:tcW w:w="915" w:type="pct"/>
            <w:vMerge/>
            <w:shd w:val="clear" w:color="auto" w:fill="auto"/>
            <w:vAlign w:val="center"/>
          </w:tcPr>
          <w:p w:rsidR="00B209D7" w:rsidRPr="00CB4215" w:rsidRDefault="00B209D7" w:rsidP="00B209D7">
            <w:pPr>
              <w:widowControl/>
              <w:jc w:val="center"/>
              <w:rPr>
                <w:rFonts w:ascii="Times New Roman" w:eastAsia="宋体" w:hAnsi="Times New Roman" w:cs="Times New Roman"/>
                <w:kern w:val="0"/>
                <w:szCs w:val="21"/>
              </w:rPr>
            </w:pPr>
          </w:p>
        </w:tc>
        <w:tc>
          <w:tcPr>
            <w:tcW w:w="915" w:type="pct"/>
            <w:shd w:val="clear" w:color="auto" w:fill="auto"/>
            <w:vAlign w:val="center"/>
          </w:tcPr>
          <w:p w:rsidR="00B209D7" w:rsidRPr="00CB4215" w:rsidRDefault="00B209D7" w:rsidP="00B209D7">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筑博设计</w:t>
            </w:r>
          </w:p>
        </w:tc>
        <w:tc>
          <w:tcPr>
            <w:tcW w:w="92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1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85"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43"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r>
      <w:tr w:rsidR="00B209D7" w:rsidRPr="00CB4215" w:rsidTr="009B1589">
        <w:trPr>
          <w:trHeight w:val="403"/>
          <w:jc w:val="center"/>
        </w:trPr>
        <w:tc>
          <w:tcPr>
            <w:tcW w:w="915" w:type="pct"/>
            <w:vMerge/>
            <w:shd w:val="clear" w:color="auto" w:fill="auto"/>
            <w:vAlign w:val="center"/>
          </w:tcPr>
          <w:p w:rsidR="00B209D7" w:rsidRPr="00CB4215" w:rsidRDefault="00B209D7" w:rsidP="00B209D7">
            <w:pPr>
              <w:widowControl/>
              <w:jc w:val="center"/>
              <w:rPr>
                <w:rFonts w:ascii="Times New Roman" w:eastAsia="宋体" w:hAnsi="Times New Roman" w:cs="Times New Roman"/>
                <w:kern w:val="0"/>
                <w:szCs w:val="21"/>
              </w:rPr>
            </w:pPr>
          </w:p>
        </w:tc>
        <w:tc>
          <w:tcPr>
            <w:tcW w:w="915" w:type="pct"/>
            <w:shd w:val="clear" w:color="auto" w:fill="auto"/>
            <w:vAlign w:val="center"/>
          </w:tcPr>
          <w:p w:rsidR="00B209D7" w:rsidRPr="00CB4215" w:rsidRDefault="00B209D7" w:rsidP="00B209D7">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华阳国际</w:t>
            </w:r>
          </w:p>
        </w:tc>
        <w:tc>
          <w:tcPr>
            <w:tcW w:w="92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1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85"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43"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r>
      <w:tr w:rsidR="00B209D7" w:rsidRPr="00CB4215" w:rsidTr="009B1589">
        <w:trPr>
          <w:trHeight w:val="403"/>
          <w:jc w:val="center"/>
        </w:trPr>
        <w:tc>
          <w:tcPr>
            <w:tcW w:w="915" w:type="pct"/>
            <w:vMerge/>
            <w:shd w:val="clear" w:color="auto" w:fill="auto"/>
            <w:vAlign w:val="center"/>
          </w:tcPr>
          <w:p w:rsidR="00B209D7" w:rsidRPr="00CB4215" w:rsidRDefault="00B209D7" w:rsidP="00B209D7">
            <w:pPr>
              <w:widowControl/>
              <w:jc w:val="center"/>
              <w:rPr>
                <w:rFonts w:ascii="Times New Roman" w:eastAsia="宋体" w:hAnsi="Times New Roman" w:cs="Times New Roman"/>
                <w:kern w:val="0"/>
                <w:szCs w:val="21"/>
              </w:rPr>
            </w:pPr>
          </w:p>
        </w:tc>
        <w:tc>
          <w:tcPr>
            <w:tcW w:w="915" w:type="pct"/>
            <w:shd w:val="clear" w:color="auto" w:fill="auto"/>
            <w:vAlign w:val="center"/>
          </w:tcPr>
          <w:p w:rsidR="00B209D7" w:rsidRPr="00CB4215" w:rsidRDefault="00B209D7" w:rsidP="00B209D7">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山鼎设计</w:t>
            </w:r>
          </w:p>
        </w:tc>
        <w:tc>
          <w:tcPr>
            <w:tcW w:w="92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1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85"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43"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r>
      <w:tr w:rsidR="00B209D7" w:rsidRPr="00CB4215" w:rsidTr="009B1589">
        <w:trPr>
          <w:trHeight w:val="403"/>
          <w:jc w:val="center"/>
        </w:trPr>
        <w:tc>
          <w:tcPr>
            <w:tcW w:w="915" w:type="pct"/>
            <w:vMerge/>
            <w:shd w:val="clear" w:color="auto" w:fill="auto"/>
            <w:vAlign w:val="center"/>
          </w:tcPr>
          <w:p w:rsidR="00B209D7" w:rsidRPr="00CB4215" w:rsidRDefault="00B209D7" w:rsidP="00B209D7">
            <w:pPr>
              <w:widowControl/>
              <w:jc w:val="center"/>
              <w:rPr>
                <w:rFonts w:ascii="Times New Roman" w:eastAsia="宋体" w:hAnsi="Times New Roman" w:cs="Times New Roman"/>
                <w:kern w:val="0"/>
                <w:szCs w:val="21"/>
              </w:rPr>
            </w:pPr>
          </w:p>
        </w:tc>
        <w:tc>
          <w:tcPr>
            <w:tcW w:w="915" w:type="pct"/>
            <w:shd w:val="clear" w:color="auto" w:fill="auto"/>
            <w:vAlign w:val="center"/>
          </w:tcPr>
          <w:p w:rsidR="00B209D7" w:rsidRPr="00CB4215" w:rsidRDefault="00B209D7" w:rsidP="00B209D7">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尤安设计</w:t>
            </w:r>
          </w:p>
        </w:tc>
        <w:tc>
          <w:tcPr>
            <w:tcW w:w="92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16"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85"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c>
          <w:tcPr>
            <w:tcW w:w="743" w:type="pct"/>
            <w:shd w:val="clear" w:color="auto" w:fill="auto"/>
            <w:vAlign w:val="center"/>
          </w:tcPr>
          <w:p w:rsidR="00B209D7" w:rsidRPr="00CB4215" w:rsidRDefault="00B209D7" w:rsidP="00B209D7">
            <w:pPr>
              <w:widowControl/>
              <w:snapToGrid w:val="0"/>
              <w:jc w:val="center"/>
              <w:rPr>
                <w:rFonts w:ascii="Times New Roman" w:eastAsia="宋体" w:hAnsi="Times New Roman" w:cs="Times New Roman"/>
                <w:kern w:val="0"/>
                <w:szCs w:val="21"/>
              </w:rPr>
            </w:pPr>
            <w:r w:rsidRPr="002641F7">
              <w:rPr>
                <w:rFonts w:ascii="楷体" w:eastAsia="楷体" w:hAnsi="楷体" w:cs="宋体" w:hint="eastAsia"/>
                <w:b/>
                <w:bCs/>
                <w:kern w:val="0"/>
                <w:szCs w:val="21"/>
              </w:rPr>
              <w:t>-</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霍普股份</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val="restar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2019</w:t>
            </w:r>
            <w:r w:rsidRPr="00CB4215">
              <w:rPr>
                <w:rFonts w:ascii="Times New Roman" w:eastAsia="宋体" w:hAnsi="Times New Roman" w:cs="Times New Roman"/>
                <w:kern w:val="0"/>
                <w:szCs w:val="21"/>
              </w:rPr>
              <w:t>年度</w:t>
            </w: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杰恩设计</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30%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筑博设计</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华阳国际</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山鼎设计</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10.41%</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27.68%</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42.45%</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79.44%</w:t>
            </w:r>
            <w:r w:rsidRPr="00CB4215">
              <w:rPr>
                <w:rFonts w:ascii="Times New Roman" w:eastAsia="宋体" w:hAnsi="Times New Roman" w:cs="Times New Roman"/>
                <w:kern w:val="0"/>
                <w:szCs w:val="21"/>
              </w:rPr>
              <w:t>、</w:t>
            </w: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尤安设计</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霍普股份</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val="restar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2018</w:t>
            </w:r>
            <w:r w:rsidRPr="00CB4215">
              <w:rPr>
                <w:rFonts w:ascii="Times New Roman" w:eastAsia="宋体" w:hAnsi="Times New Roman" w:cs="Times New Roman"/>
                <w:kern w:val="0"/>
                <w:szCs w:val="21"/>
              </w:rPr>
              <w:t>年度</w:t>
            </w: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杰恩设计</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30%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筑博设计</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华阳国际</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山鼎设计</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尤安设计</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20%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r w:rsidR="00682946" w:rsidRPr="00CB4215" w:rsidTr="009B1589">
        <w:trPr>
          <w:trHeight w:val="403"/>
          <w:jc w:val="center"/>
        </w:trPr>
        <w:tc>
          <w:tcPr>
            <w:tcW w:w="915" w:type="pct"/>
            <w:vMerge/>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p>
        </w:tc>
        <w:tc>
          <w:tcPr>
            <w:tcW w:w="915" w:type="pct"/>
            <w:shd w:val="clear" w:color="auto" w:fill="auto"/>
            <w:vAlign w:val="center"/>
          </w:tcPr>
          <w:p w:rsidR="00682946" w:rsidRPr="00CB4215" w:rsidRDefault="00682946" w:rsidP="00682946">
            <w:pPr>
              <w:widowControl/>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霍普股份</w:t>
            </w:r>
          </w:p>
        </w:tc>
        <w:tc>
          <w:tcPr>
            <w:tcW w:w="92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w:t>
            </w:r>
          </w:p>
        </w:tc>
        <w:tc>
          <w:tcPr>
            <w:tcW w:w="716"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w:t>
            </w:r>
          </w:p>
        </w:tc>
        <w:tc>
          <w:tcPr>
            <w:tcW w:w="785"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50%</w:t>
            </w:r>
          </w:p>
        </w:tc>
        <w:tc>
          <w:tcPr>
            <w:tcW w:w="743" w:type="pct"/>
            <w:shd w:val="clear" w:color="auto" w:fill="auto"/>
            <w:vAlign w:val="center"/>
          </w:tcPr>
          <w:p w:rsidR="00682946" w:rsidRPr="00CB4215" w:rsidRDefault="00682946" w:rsidP="00682946">
            <w:pPr>
              <w:widowControl/>
              <w:snapToGrid w:val="0"/>
              <w:jc w:val="center"/>
              <w:rPr>
                <w:rFonts w:ascii="Times New Roman" w:eastAsia="宋体" w:hAnsi="Times New Roman" w:cs="Times New Roman"/>
                <w:kern w:val="0"/>
                <w:szCs w:val="21"/>
              </w:rPr>
            </w:pPr>
            <w:r w:rsidRPr="00CB4215">
              <w:rPr>
                <w:rFonts w:ascii="Times New Roman" w:eastAsia="宋体" w:hAnsi="Times New Roman" w:cs="Times New Roman"/>
                <w:kern w:val="0"/>
                <w:szCs w:val="21"/>
              </w:rPr>
              <w:t>100%</w:t>
            </w:r>
          </w:p>
        </w:tc>
      </w:tr>
    </w:tbl>
    <w:p w:rsidR="00682946" w:rsidRPr="00B209D7" w:rsidRDefault="00682946" w:rsidP="00903E66">
      <w:pPr>
        <w:widowControl/>
        <w:spacing w:beforeLines="50" w:before="156" w:afterLines="50" w:after="156" w:line="360" w:lineRule="auto"/>
        <w:ind w:firstLineChars="200" w:firstLine="480"/>
        <w:rPr>
          <w:rFonts w:ascii="宋体" w:eastAsia="宋体" w:hAnsi="宋体" w:cs="Times New Roman"/>
          <w:color w:val="000000"/>
          <w:kern w:val="0"/>
          <w:sz w:val="24"/>
          <w:szCs w:val="24"/>
          <w:lang w:bidi="en-US"/>
        </w:rPr>
      </w:pPr>
      <w:bookmarkStart w:id="6" w:name="_Hlk58790577"/>
      <w:r w:rsidRPr="00B209D7">
        <w:rPr>
          <w:rFonts w:ascii="宋体" w:eastAsia="宋体" w:hAnsi="宋体" w:cs="Times New Roman" w:hint="eastAsia"/>
          <w:color w:val="000000"/>
          <w:kern w:val="0"/>
          <w:sz w:val="24"/>
          <w:szCs w:val="24"/>
          <w:lang w:bidi="en-US"/>
        </w:rPr>
        <w:t>报告期内，发行人坏账计提比例与同行业可比公司不存较大差异，</w:t>
      </w:r>
      <w:r w:rsidRPr="00B209D7">
        <w:rPr>
          <w:rFonts w:ascii="宋体" w:eastAsia="宋体" w:hAnsi="宋体" w:cs="Times New Roman"/>
          <w:color w:val="000000"/>
          <w:kern w:val="0"/>
          <w:sz w:val="24"/>
          <w:szCs w:val="24"/>
          <w:lang w:bidi="en-US"/>
        </w:rPr>
        <w:t>坏账计提比例谨慎、合理。</w:t>
      </w:r>
      <w:r w:rsidRPr="00B209D7">
        <w:rPr>
          <w:rFonts w:ascii="宋体" w:eastAsia="宋体" w:hAnsi="宋体" w:cs="Times New Roman" w:hint="eastAsia"/>
          <w:color w:val="000000"/>
          <w:kern w:val="0"/>
          <w:sz w:val="24"/>
          <w:szCs w:val="24"/>
          <w:lang w:bidi="en-US"/>
        </w:rPr>
        <w:t>与此同时，结合</w:t>
      </w:r>
      <w:r w:rsidRPr="00B209D7">
        <w:rPr>
          <w:rFonts w:ascii="宋体" w:eastAsia="宋体" w:hAnsi="宋体" w:cs="Times New Roman"/>
          <w:color w:val="000000"/>
          <w:kern w:val="0"/>
          <w:sz w:val="24"/>
          <w:szCs w:val="24"/>
          <w:lang w:bidi="en-US"/>
        </w:rPr>
        <w:t>发行人主要</w:t>
      </w:r>
      <w:r w:rsidRPr="00B209D7">
        <w:rPr>
          <w:rFonts w:ascii="宋体" w:eastAsia="宋体" w:hAnsi="宋体" w:cs="Times New Roman" w:hint="eastAsia"/>
          <w:color w:val="000000"/>
          <w:kern w:val="0"/>
          <w:sz w:val="24"/>
          <w:szCs w:val="24"/>
          <w:lang w:bidi="en-US"/>
        </w:rPr>
        <w:t>客户</w:t>
      </w:r>
      <w:r w:rsidRPr="00B209D7">
        <w:rPr>
          <w:rFonts w:ascii="宋体" w:eastAsia="宋体" w:hAnsi="宋体" w:cs="Times New Roman"/>
          <w:color w:val="000000"/>
          <w:kern w:val="0"/>
          <w:sz w:val="24"/>
          <w:szCs w:val="24"/>
          <w:lang w:bidi="en-US"/>
        </w:rPr>
        <w:t>的经营情况、信用信息、偿债能力及现金流等指标，</w:t>
      </w:r>
      <w:r w:rsidRPr="00B209D7">
        <w:rPr>
          <w:rFonts w:ascii="宋体" w:eastAsia="宋体" w:hAnsi="宋体" w:cs="Times New Roman" w:hint="eastAsia"/>
          <w:color w:val="000000"/>
          <w:kern w:val="0"/>
          <w:sz w:val="24"/>
          <w:szCs w:val="24"/>
          <w:lang w:bidi="en-US"/>
        </w:rPr>
        <w:t>报告期内，公司主要客户</w:t>
      </w:r>
      <w:r w:rsidRPr="00B209D7">
        <w:rPr>
          <w:rFonts w:ascii="宋体" w:eastAsia="宋体" w:hAnsi="宋体" w:cs="Times New Roman"/>
          <w:color w:val="000000"/>
          <w:kern w:val="0"/>
          <w:sz w:val="24"/>
          <w:szCs w:val="24"/>
          <w:lang w:bidi="en-US"/>
        </w:rPr>
        <w:t>经营情况正常，</w:t>
      </w:r>
      <w:r w:rsidRPr="00B209D7">
        <w:rPr>
          <w:rFonts w:ascii="宋体" w:eastAsia="宋体" w:hAnsi="宋体" w:cs="Times New Roman" w:hint="eastAsia"/>
          <w:color w:val="000000"/>
          <w:kern w:val="0"/>
          <w:sz w:val="24"/>
          <w:szCs w:val="24"/>
          <w:lang w:bidi="en-US"/>
        </w:rPr>
        <w:t>资信情况良好，</w:t>
      </w:r>
      <w:r w:rsidRPr="00B209D7">
        <w:rPr>
          <w:rFonts w:ascii="宋体" w:eastAsia="宋体" w:hAnsi="宋体" w:cs="Times New Roman"/>
          <w:color w:val="000000"/>
          <w:kern w:val="0"/>
          <w:sz w:val="24"/>
          <w:szCs w:val="24"/>
          <w:lang w:bidi="en-US"/>
        </w:rPr>
        <w:t>资金状况及偿债能力总体保持稳定，符合行业特性</w:t>
      </w:r>
      <w:r w:rsidRPr="00B209D7">
        <w:rPr>
          <w:rFonts w:ascii="宋体" w:eastAsia="宋体" w:hAnsi="宋体" w:cs="Times New Roman" w:hint="eastAsia"/>
          <w:color w:val="000000"/>
          <w:kern w:val="0"/>
          <w:sz w:val="24"/>
          <w:szCs w:val="24"/>
          <w:lang w:bidi="en-US"/>
        </w:rPr>
        <w:t>，</w:t>
      </w:r>
      <w:r w:rsidRPr="00B209D7">
        <w:rPr>
          <w:rFonts w:ascii="宋体" w:eastAsia="宋体" w:hAnsi="宋体" w:cs="Times New Roman"/>
          <w:color w:val="000000"/>
          <w:kern w:val="0"/>
          <w:sz w:val="24"/>
          <w:szCs w:val="24"/>
          <w:lang w:bidi="en-US"/>
        </w:rPr>
        <w:t>未出现资金链及信用情况严重恶化的情形，亦不存在明显偿债风险。发行人主要应收账款回收风险较小，坏账准备计提充分。</w:t>
      </w:r>
      <w:bookmarkEnd w:id="6"/>
    </w:p>
    <w:p w:rsidR="00776F91" w:rsidRDefault="00776F91" w:rsidP="00E449CC">
      <w:pPr>
        <w:pStyle w:val="a6"/>
        <w:spacing w:before="156" w:after="156"/>
      </w:pPr>
      <w:r>
        <w:rPr>
          <w:rFonts w:hint="eastAsia"/>
        </w:rPr>
        <w:t>（二）</w:t>
      </w:r>
      <w:r w:rsidR="00D63A86" w:rsidRPr="00D63A86">
        <w:t>补充披露截至目前的期后回款情况，回款比例与同行业可比公司比</w:t>
      </w:r>
      <w:r w:rsidR="00D63A86" w:rsidRPr="00D63A86">
        <w:lastRenderedPageBreak/>
        <w:t>较情况，如存在较大差异，请分析原因及合理性，发行人是否面临较大的回款风险及对经营业绩的影响</w:t>
      </w:r>
    </w:p>
    <w:p w:rsidR="002A22DE" w:rsidRDefault="002A22DE" w:rsidP="00E449CC">
      <w:pPr>
        <w:pStyle w:val="a7"/>
        <w:spacing w:before="156" w:after="156"/>
        <w:ind w:firstLine="480"/>
        <w:rPr>
          <w:rFonts w:ascii="Times New Roman" w:eastAsia="宋体" w:hAnsi="Times New Roman"/>
          <w:b w:val="0"/>
          <w:bCs w:val="0"/>
          <w:szCs w:val="28"/>
        </w:rPr>
      </w:pPr>
      <w:r w:rsidRPr="00C6611A">
        <w:rPr>
          <w:rFonts w:ascii="宋体" w:eastAsia="宋体" w:hAnsi="宋体" w:hint="eastAsia"/>
          <w:b w:val="0"/>
          <w:bCs w:val="0"/>
          <w:szCs w:val="28"/>
        </w:rPr>
        <w:t>发行人已在招股说明书“第八节</w:t>
      </w:r>
      <w:r w:rsidRPr="00C6611A">
        <w:rPr>
          <w:rFonts w:ascii="宋体" w:eastAsia="宋体" w:hAnsi="宋体"/>
          <w:b w:val="0"/>
          <w:bCs w:val="0"/>
          <w:szCs w:val="28"/>
        </w:rPr>
        <w:t xml:space="preserve"> 财务会计信息与管理层分析”之“十、资产质量分析”之“（二）各项主要资产分析”之“</w:t>
      </w:r>
      <w:r w:rsidRPr="00C6611A">
        <w:rPr>
          <w:rFonts w:ascii="Times New Roman" w:eastAsia="宋体" w:hAnsi="Times New Roman"/>
          <w:b w:val="0"/>
          <w:bCs w:val="0"/>
          <w:szCs w:val="28"/>
        </w:rPr>
        <w:t>1</w:t>
      </w:r>
      <w:r w:rsidRPr="00C6611A">
        <w:rPr>
          <w:rFonts w:ascii="宋体" w:eastAsia="宋体" w:hAnsi="宋体"/>
          <w:b w:val="0"/>
          <w:bCs w:val="0"/>
          <w:szCs w:val="28"/>
        </w:rPr>
        <w:t>、流动资产的构成及变化分析”之“（</w:t>
      </w:r>
      <w:r w:rsidRPr="00C6611A">
        <w:rPr>
          <w:rFonts w:ascii="Times New Roman" w:eastAsia="宋体" w:hAnsi="Times New Roman"/>
          <w:b w:val="0"/>
          <w:bCs w:val="0"/>
          <w:szCs w:val="28"/>
        </w:rPr>
        <w:t>3</w:t>
      </w:r>
      <w:r w:rsidRPr="00C6611A">
        <w:rPr>
          <w:rFonts w:ascii="宋体" w:eastAsia="宋体" w:hAnsi="宋体"/>
          <w:b w:val="0"/>
          <w:bCs w:val="0"/>
          <w:szCs w:val="28"/>
        </w:rPr>
        <w:t>）应收票据及应收账款”之“</w:t>
      </w:r>
      <w:r w:rsidRPr="00C6611A">
        <w:rPr>
          <w:rFonts w:ascii="Times New Roman" w:eastAsia="宋体" w:hAnsi="Times New Roman"/>
          <w:b w:val="0"/>
          <w:bCs w:val="0"/>
          <w:szCs w:val="28"/>
        </w:rPr>
        <w:t>2</w:t>
      </w:r>
      <w:r w:rsidRPr="00C6611A">
        <w:rPr>
          <w:rFonts w:ascii="Times New Roman" w:eastAsia="宋体" w:hAnsi="Times New Roman"/>
          <w:b w:val="0"/>
          <w:bCs w:val="0"/>
          <w:szCs w:val="28"/>
        </w:rPr>
        <w:t>）应收账款</w:t>
      </w:r>
      <w:r w:rsidRPr="00C6611A">
        <w:rPr>
          <w:rFonts w:ascii="宋体" w:eastAsia="宋体" w:hAnsi="宋体"/>
          <w:b w:val="0"/>
          <w:bCs w:val="0"/>
          <w:szCs w:val="28"/>
        </w:rPr>
        <w:t>”补充披露如下</w:t>
      </w:r>
      <w:r w:rsidRPr="00C6611A">
        <w:rPr>
          <w:rFonts w:ascii="Times New Roman" w:eastAsia="宋体" w:hAnsi="Times New Roman"/>
          <w:b w:val="0"/>
          <w:bCs w:val="0"/>
          <w:szCs w:val="28"/>
        </w:rPr>
        <w:t>：</w:t>
      </w:r>
    </w:p>
    <w:p w:rsidR="00B209D7" w:rsidRPr="00B209D7" w:rsidRDefault="00B209D7" w:rsidP="00B209D7">
      <w:pPr>
        <w:widowControl/>
        <w:spacing w:beforeLines="50" w:before="156" w:afterLines="50" w:after="156" w:line="360" w:lineRule="auto"/>
        <w:ind w:firstLineChars="200" w:firstLine="480"/>
        <w:jc w:val="left"/>
        <w:rPr>
          <w:rFonts w:ascii="Times New Roman" w:eastAsia="宋体" w:hAnsi="Times New Roman" w:cs="Times New Roman"/>
          <w:sz w:val="24"/>
          <w:szCs w:val="28"/>
        </w:rPr>
      </w:pPr>
      <w:r w:rsidRPr="00B209D7">
        <w:rPr>
          <w:rFonts w:ascii="Times New Roman" w:eastAsia="宋体" w:hAnsi="Times New Roman" w:cs="Times New Roman"/>
          <w:sz w:val="24"/>
          <w:szCs w:val="28"/>
        </w:rPr>
        <w:t>报告期各期末公司应收账款期后回收情况如下：</w:t>
      </w:r>
    </w:p>
    <w:p w:rsidR="00B209D7" w:rsidRPr="00B209D7" w:rsidRDefault="00B209D7" w:rsidP="00B209D7">
      <w:pPr>
        <w:widowControl/>
        <w:spacing w:beforeLines="50" w:before="156"/>
        <w:jc w:val="right"/>
        <w:rPr>
          <w:rFonts w:ascii="楷体" w:eastAsia="楷体" w:hAnsi="楷体" w:cs="Times New Roman"/>
          <w:b/>
          <w:bCs/>
          <w:color w:val="000000"/>
          <w:kern w:val="0"/>
          <w:szCs w:val="21"/>
          <w:lang w:eastAsia="en-US" w:bidi="en-US"/>
        </w:rPr>
      </w:pPr>
      <w:proofErr w:type="spellStart"/>
      <w:r w:rsidRPr="00B209D7">
        <w:rPr>
          <w:rFonts w:ascii="楷体" w:eastAsia="楷体" w:hAnsi="楷体" w:cs="Times New Roman"/>
          <w:b/>
          <w:bCs/>
          <w:color w:val="000000"/>
          <w:kern w:val="0"/>
          <w:szCs w:val="21"/>
          <w:lang w:eastAsia="en-US" w:bidi="en-US"/>
        </w:rPr>
        <w:t>单位</w:t>
      </w:r>
      <w:proofErr w:type="gramStart"/>
      <w:r w:rsidRPr="00B209D7">
        <w:rPr>
          <w:rFonts w:ascii="楷体" w:eastAsia="楷体" w:hAnsi="楷体" w:cs="Times New Roman"/>
          <w:b/>
          <w:bCs/>
          <w:color w:val="000000"/>
          <w:kern w:val="0"/>
          <w:szCs w:val="21"/>
          <w:lang w:eastAsia="en-US" w:bidi="en-US"/>
        </w:rPr>
        <w:t>:万元</w:t>
      </w:r>
      <w:proofErr w:type="spellEnd"/>
      <w:proofErr w:type="gramEnd"/>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738"/>
        <w:gridCol w:w="2734"/>
        <w:gridCol w:w="1811"/>
        <w:gridCol w:w="1811"/>
        <w:gridCol w:w="1422"/>
      </w:tblGrid>
      <w:tr w:rsidR="00B209D7" w:rsidRPr="00B209D7" w:rsidTr="00324E56">
        <w:trPr>
          <w:trHeight w:val="397"/>
          <w:jc w:val="center"/>
        </w:trPr>
        <w:tc>
          <w:tcPr>
            <w:tcW w:w="2039" w:type="pct"/>
            <w:gridSpan w:val="2"/>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r w:rsidRPr="00B209D7">
              <w:rPr>
                <w:rFonts w:ascii="楷体" w:eastAsia="楷体" w:hAnsi="楷体" w:cs="Times New Roman"/>
                <w:b/>
                <w:bCs/>
                <w:iCs/>
                <w:kern w:val="0"/>
                <w:szCs w:val="21"/>
                <w:lang w:bidi="en-US"/>
              </w:rPr>
              <w:t>时间</w:t>
            </w:r>
          </w:p>
        </w:tc>
        <w:tc>
          <w:tcPr>
            <w:tcW w:w="1063" w:type="pc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2020年</w:t>
            </w:r>
            <w:r w:rsidRPr="00B209D7">
              <w:rPr>
                <w:rFonts w:ascii="楷体" w:eastAsia="楷体" w:hAnsi="楷体" w:cs="Times New Roman" w:hint="eastAsia"/>
                <w:b/>
                <w:bCs/>
                <w:iCs/>
                <w:color w:val="000000"/>
                <w:kern w:val="0"/>
                <w:szCs w:val="21"/>
                <w:lang w:bidi="en-US"/>
              </w:rPr>
              <w:t>末</w:t>
            </w:r>
          </w:p>
        </w:tc>
        <w:tc>
          <w:tcPr>
            <w:tcW w:w="1063" w:type="pc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2019年末</w:t>
            </w:r>
          </w:p>
        </w:tc>
        <w:tc>
          <w:tcPr>
            <w:tcW w:w="835" w:type="pc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2018年末</w:t>
            </w:r>
          </w:p>
        </w:tc>
      </w:tr>
      <w:tr w:rsidR="00B209D7" w:rsidRPr="00B209D7" w:rsidTr="00324E56">
        <w:trPr>
          <w:trHeight w:val="397"/>
          <w:jc w:val="center"/>
        </w:trPr>
        <w:tc>
          <w:tcPr>
            <w:tcW w:w="2039" w:type="pct"/>
            <w:gridSpan w:val="2"/>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roofErr w:type="spellStart"/>
            <w:r w:rsidRPr="00B209D7">
              <w:rPr>
                <w:rFonts w:ascii="楷体" w:eastAsia="楷体" w:hAnsi="楷体" w:cs="Times New Roman"/>
                <w:b/>
                <w:bCs/>
                <w:iCs/>
                <w:color w:val="000000"/>
                <w:kern w:val="0"/>
                <w:szCs w:val="21"/>
                <w:lang w:eastAsia="en-US" w:bidi="en-US"/>
              </w:rPr>
              <w:t>应收账款余额</w:t>
            </w:r>
            <w:proofErr w:type="spellEnd"/>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32,638.42 </w:t>
            </w: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21,235.39 </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9,752.41 </w:t>
            </w:r>
          </w:p>
        </w:tc>
      </w:tr>
      <w:tr w:rsidR="00B209D7" w:rsidRPr="00B209D7" w:rsidTr="00324E56">
        <w:trPr>
          <w:trHeight w:val="397"/>
          <w:jc w:val="center"/>
        </w:trPr>
        <w:tc>
          <w:tcPr>
            <w:tcW w:w="2039" w:type="pct"/>
            <w:gridSpan w:val="2"/>
            <w:vAlign w:val="center"/>
          </w:tcPr>
          <w:p w:rsidR="00B209D7" w:rsidRPr="00B209D7" w:rsidRDefault="00B209D7" w:rsidP="00B209D7">
            <w:pPr>
              <w:widowControl/>
              <w:jc w:val="center"/>
              <w:rPr>
                <w:rFonts w:ascii="楷体" w:eastAsia="楷体" w:hAnsi="楷体" w:cs="Times New Roman"/>
                <w:b/>
                <w:bCs/>
                <w:iCs/>
                <w:color w:val="000000"/>
                <w:kern w:val="0"/>
                <w:szCs w:val="21"/>
                <w:lang w:bidi="en-US"/>
              </w:rPr>
            </w:pPr>
            <w:r w:rsidRPr="00B209D7">
              <w:rPr>
                <w:rFonts w:ascii="楷体" w:eastAsia="楷体" w:hAnsi="楷体" w:cs="Times New Roman"/>
                <w:b/>
                <w:bCs/>
                <w:iCs/>
                <w:color w:val="000000"/>
                <w:kern w:val="0"/>
                <w:szCs w:val="21"/>
                <w:lang w:bidi="en-US"/>
              </w:rPr>
              <w:t>期后回款金额</w:t>
            </w: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2,683.85 </w:t>
            </w: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14,215.39 </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7,993.99 </w:t>
            </w:r>
          </w:p>
        </w:tc>
      </w:tr>
      <w:tr w:rsidR="00B209D7" w:rsidRPr="00B209D7" w:rsidTr="00324E56">
        <w:trPr>
          <w:trHeight w:val="397"/>
          <w:jc w:val="center"/>
        </w:trPr>
        <w:tc>
          <w:tcPr>
            <w:tcW w:w="2039" w:type="pct"/>
            <w:gridSpan w:val="2"/>
            <w:vAlign w:val="center"/>
          </w:tcPr>
          <w:p w:rsidR="00B209D7" w:rsidRPr="00B209D7" w:rsidRDefault="00B209D7" w:rsidP="00B209D7">
            <w:pPr>
              <w:widowControl/>
              <w:jc w:val="center"/>
              <w:rPr>
                <w:rFonts w:ascii="楷体" w:eastAsia="楷体" w:hAnsi="楷体" w:cs="Times New Roman"/>
                <w:b/>
                <w:bCs/>
                <w:iCs/>
                <w:color w:val="000000"/>
                <w:kern w:val="0"/>
                <w:szCs w:val="21"/>
                <w:lang w:bidi="en-US"/>
              </w:rPr>
            </w:pPr>
            <w:r w:rsidRPr="00B209D7">
              <w:rPr>
                <w:rFonts w:ascii="楷体" w:eastAsia="楷体" w:hAnsi="楷体" w:cs="Times New Roman"/>
                <w:b/>
                <w:bCs/>
                <w:iCs/>
                <w:color w:val="000000"/>
                <w:kern w:val="0"/>
                <w:szCs w:val="21"/>
                <w:lang w:bidi="en-US"/>
              </w:rPr>
              <w:t>期后回款占应收账款余额比</w:t>
            </w: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8.22%</w:t>
            </w: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66.94%</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81.97%</w:t>
            </w:r>
          </w:p>
        </w:tc>
      </w:tr>
      <w:tr w:rsidR="00B209D7" w:rsidRPr="00B209D7" w:rsidTr="00324E56">
        <w:trPr>
          <w:trHeight w:val="397"/>
          <w:jc w:val="center"/>
        </w:trPr>
        <w:tc>
          <w:tcPr>
            <w:tcW w:w="434" w:type="pct"/>
            <w:vMerge w:val="restar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roofErr w:type="spellStart"/>
            <w:r w:rsidRPr="00B209D7">
              <w:rPr>
                <w:rFonts w:ascii="楷体" w:eastAsia="楷体" w:hAnsi="楷体" w:cs="Times New Roman"/>
                <w:b/>
                <w:bCs/>
                <w:iCs/>
                <w:color w:val="000000"/>
                <w:kern w:val="0"/>
                <w:szCs w:val="21"/>
                <w:lang w:eastAsia="en-US" w:bidi="en-US"/>
              </w:rPr>
              <w:t>回款明细</w:t>
            </w:r>
            <w:proofErr w:type="spellEnd"/>
          </w:p>
        </w:tc>
        <w:tc>
          <w:tcPr>
            <w:tcW w:w="1605" w:type="pct"/>
            <w:vAlign w:val="center"/>
          </w:tcPr>
          <w:p w:rsidR="00B209D7" w:rsidRPr="00B209D7" w:rsidRDefault="00B209D7" w:rsidP="00B209D7">
            <w:pPr>
              <w:widowControl/>
              <w:jc w:val="center"/>
              <w:rPr>
                <w:rFonts w:ascii="楷体" w:eastAsia="楷体" w:hAnsi="楷体" w:cs="Times New Roman"/>
                <w:b/>
                <w:bCs/>
                <w:color w:val="000000"/>
                <w:szCs w:val="21"/>
              </w:rPr>
            </w:pPr>
            <w:r w:rsidRPr="00B209D7">
              <w:rPr>
                <w:rFonts w:ascii="楷体" w:eastAsia="楷体" w:hAnsi="楷体" w:cs="Times New Roman" w:hint="eastAsia"/>
                <w:b/>
                <w:bCs/>
                <w:color w:val="000000"/>
                <w:szCs w:val="21"/>
              </w:rPr>
              <w:t>期后半年</w:t>
            </w: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2,683.85 </w:t>
            </w: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8,632.93 </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3,578.31 </w:t>
            </w:r>
          </w:p>
        </w:tc>
      </w:tr>
      <w:tr w:rsidR="00B209D7" w:rsidRPr="00B209D7" w:rsidTr="00324E56">
        <w:trPr>
          <w:trHeight w:val="397"/>
          <w:jc w:val="center"/>
        </w:trPr>
        <w:tc>
          <w:tcPr>
            <w:tcW w:w="434" w:type="pct"/>
            <w:vMerge/>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roofErr w:type="spellStart"/>
            <w:r w:rsidRPr="00B209D7">
              <w:rPr>
                <w:rFonts w:ascii="楷体" w:eastAsia="楷体" w:hAnsi="楷体" w:cs="Times New Roman"/>
                <w:b/>
                <w:bCs/>
                <w:iCs/>
                <w:color w:val="000000"/>
                <w:kern w:val="0"/>
                <w:szCs w:val="21"/>
                <w:lang w:eastAsia="en-US" w:bidi="en-US"/>
              </w:rPr>
              <w:t>占比</w:t>
            </w:r>
            <w:proofErr w:type="spellEnd"/>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100.00%</w:t>
            </w: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60.73%</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44.76%</w:t>
            </w:r>
          </w:p>
        </w:tc>
      </w:tr>
      <w:tr w:rsidR="00B209D7" w:rsidRPr="00B209D7" w:rsidTr="00324E56">
        <w:trPr>
          <w:trHeight w:val="397"/>
          <w:jc w:val="center"/>
        </w:trPr>
        <w:tc>
          <w:tcPr>
            <w:tcW w:w="434" w:type="pct"/>
            <w:vMerge/>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roofErr w:type="spellStart"/>
            <w:r w:rsidRPr="00B209D7">
              <w:rPr>
                <w:rFonts w:ascii="楷体" w:eastAsia="楷体" w:hAnsi="楷体" w:cs="Times New Roman"/>
                <w:b/>
                <w:bCs/>
                <w:iCs/>
                <w:color w:val="000000"/>
                <w:kern w:val="0"/>
                <w:szCs w:val="21"/>
                <w:lang w:eastAsia="en-US" w:bidi="en-US"/>
              </w:rPr>
              <w:t>期后半年至一年</w:t>
            </w:r>
            <w:proofErr w:type="spellEnd"/>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4,846.59 </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2,184.61 </w:t>
            </w:r>
          </w:p>
        </w:tc>
      </w:tr>
      <w:tr w:rsidR="00B209D7" w:rsidRPr="00B209D7" w:rsidTr="00324E56">
        <w:trPr>
          <w:trHeight w:val="397"/>
          <w:jc w:val="center"/>
        </w:trPr>
        <w:tc>
          <w:tcPr>
            <w:tcW w:w="434" w:type="pct"/>
            <w:vMerge/>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roofErr w:type="spellStart"/>
            <w:r w:rsidRPr="00B209D7">
              <w:rPr>
                <w:rFonts w:ascii="楷体" w:eastAsia="楷体" w:hAnsi="楷体" w:cs="Times New Roman"/>
                <w:b/>
                <w:bCs/>
                <w:iCs/>
                <w:color w:val="000000"/>
                <w:kern w:val="0"/>
                <w:szCs w:val="21"/>
                <w:lang w:eastAsia="en-US" w:bidi="en-US"/>
              </w:rPr>
              <w:t>占比</w:t>
            </w:r>
            <w:proofErr w:type="spellEnd"/>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34.09%</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27.33%</w:t>
            </w:r>
          </w:p>
        </w:tc>
      </w:tr>
      <w:tr w:rsidR="00B209D7" w:rsidRPr="00B209D7" w:rsidTr="00324E56">
        <w:trPr>
          <w:trHeight w:val="397"/>
          <w:jc w:val="center"/>
        </w:trPr>
        <w:tc>
          <w:tcPr>
            <w:tcW w:w="434" w:type="pct"/>
            <w:vMerge/>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roofErr w:type="spellStart"/>
            <w:r w:rsidRPr="00B209D7">
              <w:rPr>
                <w:rFonts w:ascii="楷体" w:eastAsia="楷体" w:hAnsi="楷体" w:cs="Times New Roman"/>
                <w:b/>
                <w:bCs/>
                <w:iCs/>
                <w:color w:val="000000"/>
                <w:kern w:val="0"/>
                <w:szCs w:val="21"/>
                <w:lang w:eastAsia="en-US" w:bidi="en-US"/>
              </w:rPr>
              <w:t>期后一年至两年</w:t>
            </w:r>
            <w:proofErr w:type="spellEnd"/>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735.86 </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2,125.34 </w:t>
            </w:r>
          </w:p>
        </w:tc>
      </w:tr>
      <w:tr w:rsidR="00B209D7" w:rsidRPr="00B209D7" w:rsidTr="00324E56">
        <w:trPr>
          <w:trHeight w:val="397"/>
          <w:jc w:val="center"/>
        </w:trPr>
        <w:tc>
          <w:tcPr>
            <w:tcW w:w="434" w:type="pct"/>
            <w:vMerge/>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roofErr w:type="spellStart"/>
            <w:r w:rsidRPr="00B209D7">
              <w:rPr>
                <w:rFonts w:ascii="楷体" w:eastAsia="楷体" w:hAnsi="楷体" w:cs="Times New Roman"/>
                <w:b/>
                <w:bCs/>
                <w:iCs/>
                <w:color w:val="000000"/>
                <w:kern w:val="0"/>
                <w:szCs w:val="21"/>
                <w:lang w:eastAsia="en-US" w:bidi="en-US"/>
              </w:rPr>
              <w:t>占比</w:t>
            </w:r>
            <w:proofErr w:type="spellEnd"/>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5.18%</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26.59%</w:t>
            </w:r>
          </w:p>
        </w:tc>
      </w:tr>
      <w:tr w:rsidR="00B209D7" w:rsidRPr="00B209D7" w:rsidTr="00324E56">
        <w:trPr>
          <w:trHeight w:val="397"/>
          <w:jc w:val="center"/>
        </w:trPr>
        <w:tc>
          <w:tcPr>
            <w:tcW w:w="434" w:type="pct"/>
            <w:vMerge/>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
        </w:tc>
        <w:tc>
          <w:tcPr>
            <w:tcW w:w="1605" w:type="pct"/>
            <w:vAlign w:val="center"/>
          </w:tcPr>
          <w:p w:rsidR="00B209D7" w:rsidRPr="00B209D7" w:rsidRDefault="00B209D7" w:rsidP="00B209D7">
            <w:pPr>
              <w:widowControl/>
              <w:jc w:val="center"/>
              <w:rPr>
                <w:rFonts w:ascii="楷体" w:eastAsia="楷体" w:hAnsi="楷体" w:cs="Times New Roman"/>
                <w:b/>
                <w:bCs/>
                <w:iCs/>
                <w:color w:val="000000"/>
                <w:kern w:val="0"/>
                <w:szCs w:val="21"/>
                <w:lang w:eastAsia="en-US" w:bidi="en-US"/>
              </w:rPr>
            </w:pPr>
            <w:proofErr w:type="spellStart"/>
            <w:r w:rsidRPr="00B209D7">
              <w:rPr>
                <w:rFonts w:ascii="楷体" w:eastAsia="楷体" w:hAnsi="楷体" w:cs="Times New Roman"/>
                <w:b/>
                <w:bCs/>
                <w:iCs/>
                <w:color w:val="000000"/>
                <w:kern w:val="0"/>
                <w:szCs w:val="21"/>
                <w:lang w:eastAsia="en-US" w:bidi="en-US"/>
              </w:rPr>
              <w:t>期后两年以上</w:t>
            </w:r>
            <w:proofErr w:type="spellEnd"/>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   </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105.74 </w:t>
            </w:r>
          </w:p>
        </w:tc>
      </w:tr>
      <w:tr w:rsidR="00B209D7" w:rsidRPr="00B209D7" w:rsidTr="00324E56">
        <w:trPr>
          <w:trHeight w:val="397"/>
          <w:jc w:val="center"/>
        </w:trPr>
        <w:tc>
          <w:tcPr>
            <w:tcW w:w="434" w:type="pct"/>
            <w:vMerge/>
            <w:vAlign w:val="center"/>
          </w:tcPr>
          <w:p w:rsidR="00B209D7" w:rsidRPr="00B209D7" w:rsidRDefault="00B209D7" w:rsidP="00B209D7">
            <w:pPr>
              <w:widowControl/>
              <w:spacing w:before="120" w:after="120"/>
              <w:ind w:firstLine="482"/>
              <w:jc w:val="center"/>
              <w:rPr>
                <w:rFonts w:ascii="楷体" w:eastAsia="楷体" w:hAnsi="楷体" w:cs="Times New Roman"/>
                <w:b/>
                <w:bCs/>
                <w:iCs/>
                <w:color w:val="000000"/>
                <w:kern w:val="0"/>
                <w:szCs w:val="21"/>
                <w:lang w:eastAsia="en-US" w:bidi="en-US"/>
              </w:rPr>
            </w:pPr>
          </w:p>
        </w:tc>
        <w:tc>
          <w:tcPr>
            <w:tcW w:w="1605" w:type="pct"/>
            <w:vAlign w:val="center"/>
          </w:tcPr>
          <w:p w:rsidR="00B209D7" w:rsidRPr="00B209D7" w:rsidRDefault="00B209D7" w:rsidP="00B209D7">
            <w:pPr>
              <w:widowControl/>
              <w:spacing w:before="120" w:after="120"/>
              <w:ind w:firstLine="482"/>
              <w:jc w:val="center"/>
              <w:rPr>
                <w:rFonts w:ascii="楷体" w:eastAsia="楷体" w:hAnsi="楷体" w:cs="Times New Roman"/>
                <w:b/>
                <w:bCs/>
                <w:iCs/>
                <w:color w:val="000000"/>
                <w:kern w:val="0"/>
                <w:szCs w:val="21"/>
                <w:lang w:eastAsia="en-US" w:bidi="en-US"/>
              </w:rPr>
            </w:pPr>
            <w:proofErr w:type="spellStart"/>
            <w:r w:rsidRPr="00B209D7">
              <w:rPr>
                <w:rFonts w:ascii="楷体" w:eastAsia="楷体" w:hAnsi="楷体" w:cs="Times New Roman"/>
                <w:b/>
                <w:bCs/>
                <w:iCs/>
                <w:color w:val="000000"/>
                <w:kern w:val="0"/>
                <w:szCs w:val="21"/>
                <w:lang w:eastAsia="en-US" w:bidi="en-US"/>
              </w:rPr>
              <w:t>占比</w:t>
            </w:r>
            <w:proofErr w:type="spellEnd"/>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   </w:t>
            </w:r>
          </w:p>
        </w:tc>
        <w:tc>
          <w:tcPr>
            <w:tcW w:w="1063"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 xml:space="preserve">-   </w:t>
            </w:r>
          </w:p>
        </w:tc>
        <w:tc>
          <w:tcPr>
            <w:tcW w:w="835" w:type="pct"/>
            <w:vAlign w:val="center"/>
          </w:tcPr>
          <w:p w:rsidR="00B209D7" w:rsidRPr="00B209D7" w:rsidRDefault="00B209D7" w:rsidP="00B209D7">
            <w:pPr>
              <w:widowControl/>
              <w:jc w:val="right"/>
              <w:rPr>
                <w:rFonts w:ascii="楷体" w:eastAsia="楷体" w:hAnsi="楷体" w:cs="Times New Roman"/>
                <w:b/>
                <w:bCs/>
                <w:iCs/>
                <w:color w:val="000000"/>
                <w:kern w:val="0"/>
                <w:szCs w:val="21"/>
                <w:lang w:eastAsia="en-US" w:bidi="en-US"/>
              </w:rPr>
            </w:pPr>
            <w:r w:rsidRPr="00B209D7">
              <w:rPr>
                <w:rFonts w:ascii="楷体" w:eastAsia="楷体" w:hAnsi="楷体" w:cs="Times New Roman"/>
                <w:b/>
                <w:bCs/>
                <w:iCs/>
                <w:color w:val="000000"/>
                <w:kern w:val="0"/>
                <w:szCs w:val="21"/>
                <w:lang w:eastAsia="en-US" w:bidi="en-US"/>
              </w:rPr>
              <w:t>1.32%</w:t>
            </w:r>
          </w:p>
        </w:tc>
      </w:tr>
    </w:tbl>
    <w:p w:rsidR="00B209D7" w:rsidRPr="00B209D7" w:rsidRDefault="00B209D7" w:rsidP="00B209D7">
      <w:pPr>
        <w:widowControl/>
        <w:ind w:firstLineChars="200" w:firstLine="361"/>
        <w:jc w:val="left"/>
        <w:rPr>
          <w:rFonts w:ascii="楷体" w:eastAsia="楷体" w:hAnsi="楷体" w:cs="Times New Roman"/>
          <w:b/>
          <w:bCs/>
          <w:color w:val="000000"/>
          <w:kern w:val="0"/>
          <w:sz w:val="18"/>
          <w:szCs w:val="18"/>
          <w:lang w:bidi="en-US"/>
        </w:rPr>
      </w:pPr>
      <w:r w:rsidRPr="00B209D7">
        <w:rPr>
          <w:rFonts w:ascii="楷体" w:eastAsia="楷体" w:hAnsi="楷体" w:cs="Times New Roman"/>
          <w:b/>
          <w:bCs/>
          <w:color w:val="000000"/>
          <w:kern w:val="0"/>
          <w:sz w:val="18"/>
          <w:szCs w:val="18"/>
          <w:lang w:bidi="en-US"/>
        </w:rPr>
        <w:t>注：回款统计截至202</w:t>
      </w:r>
      <w:r w:rsidRPr="00B209D7">
        <w:rPr>
          <w:rFonts w:ascii="楷体" w:eastAsia="楷体" w:hAnsi="楷体" w:cs="Times New Roman" w:hint="eastAsia"/>
          <w:b/>
          <w:bCs/>
          <w:color w:val="000000"/>
          <w:kern w:val="0"/>
          <w:sz w:val="18"/>
          <w:szCs w:val="18"/>
          <w:lang w:bidi="en-US"/>
        </w:rPr>
        <w:t>1</w:t>
      </w:r>
      <w:r w:rsidRPr="00B209D7">
        <w:rPr>
          <w:rFonts w:ascii="楷体" w:eastAsia="楷体" w:hAnsi="楷体" w:cs="Times New Roman"/>
          <w:b/>
          <w:bCs/>
          <w:color w:val="000000"/>
          <w:kern w:val="0"/>
          <w:sz w:val="18"/>
          <w:szCs w:val="18"/>
          <w:lang w:bidi="en-US"/>
        </w:rPr>
        <w:t>年</w:t>
      </w:r>
      <w:r w:rsidRPr="00B209D7">
        <w:rPr>
          <w:rFonts w:ascii="楷体" w:eastAsia="楷体" w:hAnsi="楷体" w:cs="Times New Roman" w:hint="eastAsia"/>
          <w:b/>
          <w:bCs/>
          <w:color w:val="000000"/>
          <w:kern w:val="0"/>
          <w:sz w:val="18"/>
          <w:szCs w:val="18"/>
          <w:lang w:bidi="en-US"/>
        </w:rPr>
        <w:t>2月末</w:t>
      </w:r>
      <w:r w:rsidRPr="00B209D7">
        <w:rPr>
          <w:rFonts w:ascii="楷体" w:eastAsia="楷体" w:hAnsi="楷体" w:cs="Times New Roman"/>
          <w:b/>
          <w:bCs/>
          <w:color w:val="000000"/>
          <w:kern w:val="0"/>
          <w:sz w:val="18"/>
          <w:szCs w:val="18"/>
          <w:lang w:bidi="en-US"/>
        </w:rPr>
        <w:t>。</w:t>
      </w:r>
    </w:p>
    <w:p w:rsidR="00B209D7" w:rsidRPr="00B209D7" w:rsidRDefault="00B209D7" w:rsidP="00B209D7">
      <w:pPr>
        <w:widowControl/>
        <w:autoSpaceDE w:val="0"/>
        <w:autoSpaceDN w:val="0"/>
        <w:adjustRightInd w:val="0"/>
        <w:spacing w:beforeLines="50" w:before="156" w:afterLines="50" w:after="156" w:line="360" w:lineRule="auto"/>
        <w:ind w:firstLineChars="200" w:firstLine="480"/>
        <w:rPr>
          <w:rFonts w:ascii="Times New Roman" w:eastAsia="宋体" w:hAnsi="Times New Roman" w:cs="Times New Roman"/>
          <w:sz w:val="24"/>
          <w:szCs w:val="28"/>
        </w:rPr>
      </w:pPr>
      <w:r w:rsidRPr="00B209D7">
        <w:rPr>
          <w:rFonts w:ascii="Times New Roman" w:eastAsia="宋体" w:hAnsi="Times New Roman" w:cs="Times New Roman"/>
          <w:sz w:val="24"/>
          <w:szCs w:val="28"/>
        </w:rPr>
        <w:t>由于公开渠道无法查询同行业上市公司的应收账款期后回款数据，因此选择同行业可比设计公司（在审企业）的期后回款比例数据进行比较，具体如下：</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000" w:firstRow="0" w:lastRow="0" w:firstColumn="0" w:lastColumn="0" w:noHBand="0" w:noVBand="0"/>
      </w:tblPr>
      <w:tblGrid>
        <w:gridCol w:w="2620"/>
        <w:gridCol w:w="1652"/>
        <w:gridCol w:w="1652"/>
        <w:gridCol w:w="1296"/>
        <w:gridCol w:w="1296"/>
      </w:tblGrid>
      <w:tr w:rsidR="00B209D7" w:rsidRPr="00B209D7" w:rsidTr="00324E56">
        <w:trPr>
          <w:trHeight w:val="397"/>
          <w:jc w:val="center"/>
        </w:trPr>
        <w:tc>
          <w:tcPr>
            <w:tcW w:w="1538" w:type="pct"/>
            <w:vAlign w:val="center"/>
          </w:tcPr>
          <w:p w:rsidR="00B209D7" w:rsidRPr="00B209D7" w:rsidRDefault="00B209D7" w:rsidP="00B209D7">
            <w:pPr>
              <w:widowControl/>
              <w:jc w:val="center"/>
              <w:rPr>
                <w:rFonts w:ascii="Times New Roman" w:eastAsia="宋体" w:hAnsi="Times New Roman" w:cs="Times New Roman"/>
                <w:iCs/>
                <w:color w:val="000000"/>
                <w:kern w:val="0"/>
                <w:szCs w:val="21"/>
                <w:lang w:eastAsia="en-US" w:bidi="en-US"/>
              </w:rPr>
            </w:pPr>
            <w:r w:rsidRPr="00B209D7">
              <w:rPr>
                <w:rFonts w:ascii="Times New Roman" w:eastAsia="宋体" w:hAnsi="Times New Roman" w:cs="Times New Roman"/>
                <w:iCs/>
                <w:kern w:val="0"/>
                <w:szCs w:val="21"/>
                <w:lang w:bidi="en-US"/>
              </w:rPr>
              <w:t>比较对象情况</w:t>
            </w:r>
          </w:p>
        </w:tc>
        <w:tc>
          <w:tcPr>
            <w:tcW w:w="970" w:type="pct"/>
            <w:vAlign w:val="center"/>
          </w:tcPr>
          <w:p w:rsidR="00B209D7" w:rsidRPr="00B209D7" w:rsidRDefault="00B209D7" w:rsidP="00B209D7">
            <w:pPr>
              <w:widowControl/>
              <w:jc w:val="center"/>
              <w:rPr>
                <w:rFonts w:ascii="Times New Roman" w:eastAsia="宋体" w:hAnsi="Times New Roman" w:cs="Times New Roman"/>
                <w:iCs/>
                <w:color w:val="000000"/>
                <w:kern w:val="0"/>
                <w:szCs w:val="21"/>
                <w:lang w:eastAsia="en-US" w:bidi="en-US"/>
              </w:rPr>
            </w:pPr>
            <w:r w:rsidRPr="00B209D7">
              <w:rPr>
                <w:rFonts w:ascii="Times New Roman" w:eastAsia="宋体" w:hAnsi="Times New Roman" w:cs="Times New Roman"/>
                <w:iCs/>
                <w:color w:val="000000"/>
                <w:kern w:val="0"/>
                <w:szCs w:val="21"/>
                <w:lang w:eastAsia="en-US" w:bidi="en-US"/>
              </w:rPr>
              <w:t>2020</w:t>
            </w:r>
            <w:r w:rsidRPr="00B209D7">
              <w:rPr>
                <w:rFonts w:ascii="Times New Roman" w:eastAsia="宋体" w:hAnsi="Times New Roman" w:cs="Times New Roman"/>
                <w:iCs/>
                <w:color w:val="000000"/>
                <w:kern w:val="0"/>
                <w:szCs w:val="21"/>
                <w:lang w:eastAsia="en-US" w:bidi="en-US"/>
              </w:rPr>
              <w:t>年</w:t>
            </w:r>
            <w:r w:rsidRPr="00B209D7">
              <w:rPr>
                <w:rFonts w:ascii="Times New Roman" w:eastAsia="宋体" w:hAnsi="Times New Roman" w:cs="Times New Roman"/>
                <w:iCs/>
                <w:color w:val="000000"/>
                <w:kern w:val="0"/>
                <w:szCs w:val="21"/>
                <w:lang w:eastAsia="en-US" w:bidi="en-US"/>
              </w:rPr>
              <w:t>6</w:t>
            </w:r>
            <w:r w:rsidRPr="00B209D7">
              <w:rPr>
                <w:rFonts w:ascii="Times New Roman" w:eastAsia="宋体" w:hAnsi="Times New Roman" w:cs="Times New Roman"/>
                <w:iCs/>
                <w:color w:val="000000"/>
                <w:kern w:val="0"/>
                <w:szCs w:val="21"/>
                <w:lang w:eastAsia="en-US" w:bidi="en-US"/>
              </w:rPr>
              <w:t>月末</w:t>
            </w:r>
          </w:p>
        </w:tc>
        <w:tc>
          <w:tcPr>
            <w:tcW w:w="970" w:type="pct"/>
            <w:vAlign w:val="center"/>
          </w:tcPr>
          <w:p w:rsidR="00B209D7" w:rsidRPr="00B209D7" w:rsidRDefault="00B209D7" w:rsidP="00B209D7">
            <w:pPr>
              <w:widowControl/>
              <w:jc w:val="center"/>
              <w:rPr>
                <w:rFonts w:ascii="Times New Roman" w:eastAsia="宋体" w:hAnsi="Times New Roman" w:cs="Times New Roman"/>
                <w:iCs/>
                <w:color w:val="000000"/>
                <w:kern w:val="0"/>
                <w:szCs w:val="21"/>
                <w:lang w:eastAsia="en-US" w:bidi="en-US"/>
              </w:rPr>
            </w:pPr>
            <w:r w:rsidRPr="00B209D7">
              <w:rPr>
                <w:rFonts w:ascii="Times New Roman" w:eastAsia="宋体" w:hAnsi="Times New Roman" w:cs="Times New Roman"/>
                <w:iCs/>
                <w:color w:val="000000"/>
                <w:kern w:val="0"/>
                <w:szCs w:val="21"/>
                <w:lang w:eastAsia="en-US" w:bidi="en-US"/>
              </w:rPr>
              <w:t>2019</w:t>
            </w:r>
            <w:r w:rsidRPr="00B209D7">
              <w:rPr>
                <w:rFonts w:ascii="Times New Roman" w:eastAsia="宋体" w:hAnsi="Times New Roman" w:cs="Times New Roman"/>
                <w:iCs/>
                <w:color w:val="000000"/>
                <w:kern w:val="0"/>
                <w:szCs w:val="21"/>
                <w:lang w:eastAsia="en-US" w:bidi="en-US"/>
              </w:rPr>
              <w:t>年末</w:t>
            </w:r>
          </w:p>
        </w:tc>
        <w:tc>
          <w:tcPr>
            <w:tcW w:w="761" w:type="pct"/>
            <w:vAlign w:val="center"/>
          </w:tcPr>
          <w:p w:rsidR="00B209D7" w:rsidRPr="00B209D7" w:rsidRDefault="00B209D7" w:rsidP="00B209D7">
            <w:pPr>
              <w:widowControl/>
              <w:jc w:val="center"/>
              <w:rPr>
                <w:rFonts w:ascii="Times New Roman" w:eastAsia="宋体" w:hAnsi="Times New Roman" w:cs="Times New Roman"/>
                <w:iCs/>
                <w:color w:val="000000"/>
                <w:kern w:val="0"/>
                <w:szCs w:val="21"/>
                <w:lang w:eastAsia="en-US" w:bidi="en-US"/>
              </w:rPr>
            </w:pPr>
            <w:r w:rsidRPr="00B209D7">
              <w:rPr>
                <w:rFonts w:ascii="Times New Roman" w:eastAsia="宋体" w:hAnsi="Times New Roman" w:cs="Times New Roman"/>
                <w:iCs/>
                <w:color w:val="000000"/>
                <w:kern w:val="0"/>
                <w:szCs w:val="21"/>
                <w:lang w:eastAsia="en-US" w:bidi="en-US"/>
              </w:rPr>
              <w:t>2018</w:t>
            </w:r>
            <w:r w:rsidRPr="00B209D7">
              <w:rPr>
                <w:rFonts w:ascii="Times New Roman" w:eastAsia="宋体" w:hAnsi="Times New Roman" w:cs="Times New Roman"/>
                <w:iCs/>
                <w:color w:val="000000"/>
                <w:kern w:val="0"/>
                <w:szCs w:val="21"/>
                <w:lang w:eastAsia="en-US" w:bidi="en-US"/>
              </w:rPr>
              <w:t>年末</w:t>
            </w:r>
          </w:p>
        </w:tc>
        <w:tc>
          <w:tcPr>
            <w:tcW w:w="761" w:type="pct"/>
            <w:vAlign w:val="center"/>
          </w:tcPr>
          <w:p w:rsidR="00B209D7" w:rsidRPr="00B209D7" w:rsidRDefault="00B209D7" w:rsidP="00B209D7">
            <w:pPr>
              <w:widowControl/>
              <w:jc w:val="center"/>
              <w:rPr>
                <w:rFonts w:ascii="Times New Roman" w:eastAsia="宋体" w:hAnsi="Times New Roman" w:cs="Times New Roman"/>
                <w:iCs/>
                <w:color w:val="000000"/>
                <w:kern w:val="0"/>
                <w:szCs w:val="21"/>
                <w:lang w:eastAsia="en-US" w:bidi="en-US"/>
              </w:rPr>
            </w:pPr>
            <w:r w:rsidRPr="00B209D7">
              <w:rPr>
                <w:rFonts w:ascii="Times New Roman" w:eastAsia="宋体" w:hAnsi="Times New Roman" w:cs="Times New Roman"/>
                <w:iCs/>
                <w:color w:val="000000"/>
                <w:kern w:val="0"/>
                <w:szCs w:val="21"/>
                <w:lang w:eastAsia="en-US" w:bidi="en-US"/>
              </w:rPr>
              <w:t>2017</w:t>
            </w:r>
            <w:r w:rsidRPr="00B209D7">
              <w:rPr>
                <w:rFonts w:ascii="Times New Roman" w:eastAsia="宋体" w:hAnsi="Times New Roman" w:cs="Times New Roman"/>
                <w:iCs/>
                <w:color w:val="000000"/>
                <w:kern w:val="0"/>
                <w:szCs w:val="21"/>
                <w:lang w:eastAsia="en-US" w:bidi="en-US"/>
              </w:rPr>
              <w:t>年末</w:t>
            </w:r>
          </w:p>
        </w:tc>
      </w:tr>
      <w:tr w:rsidR="00B209D7" w:rsidRPr="00B209D7" w:rsidTr="00324E56">
        <w:trPr>
          <w:trHeight w:val="397"/>
          <w:jc w:val="center"/>
        </w:trPr>
        <w:tc>
          <w:tcPr>
            <w:tcW w:w="1538" w:type="pct"/>
            <w:vAlign w:val="center"/>
          </w:tcPr>
          <w:p w:rsidR="00B209D7" w:rsidRPr="00B209D7" w:rsidRDefault="00B209D7" w:rsidP="00B209D7">
            <w:pPr>
              <w:widowControl/>
              <w:jc w:val="center"/>
              <w:rPr>
                <w:rFonts w:ascii="Times New Roman" w:eastAsia="宋体" w:hAnsi="Times New Roman" w:cs="Times New Roman"/>
                <w:iCs/>
                <w:color w:val="000000"/>
                <w:kern w:val="0"/>
                <w:szCs w:val="21"/>
                <w:lang w:bidi="en-US"/>
              </w:rPr>
            </w:pPr>
            <w:r w:rsidRPr="00B209D7">
              <w:rPr>
                <w:rFonts w:ascii="Times New Roman" w:eastAsia="宋体" w:hAnsi="Times New Roman" w:cs="Times New Roman"/>
                <w:iCs/>
                <w:color w:val="000000"/>
                <w:kern w:val="0"/>
                <w:szCs w:val="21"/>
                <w:lang w:bidi="en-US"/>
              </w:rPr>
              <w:t>尤安设计（截止</w:t>
            </w:r>
            <w:r w:rsidRPr="00B209D7">
              <w:rPr>
                <w:rFonts w:ascii="Times New Roman" w:eastAsia="宋体" w:hAnsi="Times New Roman" w:cs="Times New Roman"/>
                <w:iCs/>
                <w:color w:val="000000"/>
                <w:kern w:val="0"/>
                <w:szCs w:val="21"/>
                <w:lang w:bidi="en-US"/>
              </w:rPr>
              <w:t>2020</w:t>
            </w:r>
            <w:r w:rsidRPr="00B209D7">
              <w:rPr>
                <w:rFonts w:ascii="Times New Roman" w:eastAsia="宋体" w:hAnsi="Times New Roman" w:cs="Times New Roman"/>
                <w:iCs/>
                <w:color w:val="000000"/>
                <w:kern w:val="0"/>
                <w:szCs w:val="21"/>
                <w:lang w:bidi="en-US"/>
              </w:rPr>
              <w:t>年</w:t>
            </w:r>
            <w:r w:rsidRPr="00B209D7">
              <w:rPr>
                <w:rFonts w:ascii="Times New Roman" w:eastAsia="宋体" w:hAnsi="Times New Roman" w:cs="Times New Roman"/>
                <w:iCs/>
                <w:color w:val="000000"/>
                <w:kern w:val="0"/>
                <w:szCs w:val="21"/>
                <w:lang w:bidi="en-US"/>
              </w:rPr>
              <w:t>8</w:t>
            </w:r>
            <w:r w:rsidRPr="00B209D7">
              <w:rPr>
                <w:rFonts w:ascii="Times New Roman" w:eastAsia="宋体" w:hAnsi="Times New Roman" w:cs="Times New Roman"/>
                <w:iCs/>
                <w:color w:val="000000"/>
                <w:kern w:val="0"/>
                <w:szCs w:val="21"/>
                <w:lang w:bidi="en-US"/>
              </w:rPr>
              <w:t>月</w:t>
            </w:r>
            <w:r w:rsidRPr="00B209D7">
              <w:rPr>
                <w:rFonts w:ascii="Times New Roman" w:eastAsia="宋体" w:hAnsi="Times New Roman" w:cs="Times New Roman"/>
                <w:iCs/>
                <w:color w:val="000000"/>
                <w:kern w:val="0"/>
                <w:szCs w:val="21"/>
                <w:lang w:bidi="en-US"/>
              </w:rPr>
              <w:t>25</w:t>
            </w:r>
            <w:r w:rsidRPr="00B209D7">
              <w:rPr>
                <w:rFonts w:ascii="Times New Roman" w:eastAsia="宋体" w:hAnsi="Times New Roman" w:cs="Times New Roman"/>
                <w:iCs/>
                <w:color w:val="000000"/>
                <w:kern w:val="0"/>
                <w:szCs w:val="21"/>
                <w:lang w:bidi="en-US"/>
              </w:rPr>
              <w:t>日）</w:t>
            </w:r>
          </w:p>
        </w:tc>
        <w:tc>
          <w:tcPr>
            <w:tcW w:w="970" w:type="pct"/>
            <w:vAlign w:val="center"/>
          </w:tcPr>
          <w:p w:rsidR="00B209D7" w:rsidRPr="00B209D7" w:rsidRDefault="00B209D7" w:rsidP="00B209D7">
            <w:pPr>
              <w:widowControl/>
              <w:jc w:val="right"/>
              <w:rPr>
                <w:rFonts w:ascii="Times New Roman" w:eastAsia="宋体" w:hAnsi="Times New Roman" w:cs="Times New Roman"/>
                <w:color w:val="000000"/>
                <w:kern w:val="0"/>
                <w:szCs w:val="21"/>
                <w:lang w:eastAsia="en-US" w:bidi="en-US"/>
              </w:rPr>
            </w:pPr>
            <w:r w:rsidRPr="00B209D7">
              <w:rPr>
                <w:rFonts w:ascii="Times New Roman" w:eastAsia="宋体" w:hAnsi="Times New Roman" w:cs="Times New Roman"/>
              </w:rPr>
              <w:t>11.65%</w:t>
            </w:r>
          </w:p>
        </w:tc>
        <w:tc>
          <w:tcPr>
            <w:tcW w:w="970" w:type="pct"/>
            <w:vAlign w:val="center"/>
          </w:tcPr>
          <w:p w:rsidR="00B209D7" w:rsidRPr="00B209D7" w:rsidRDefault="00B209D7" w:rsidP="00B209D7">
            <w:pPr>
              <w:widowControl/>
              <w:jc w:val="right"/>
              <w:rPr>
                <w:rFonts w:ascii="Times New Roman" w:eastAsia="宋体" w:hAnsi="Times New Roman" w:cs="Times New Roman"/>
                <w:iCs/>
                <w:color w:val="000000"/>
                <w:kern w:val="0"/>
                <w:szCs w:val="21"/>
                <w:lang w:eastAsia="en-US" w:bidi="en-US"/>
              </w:rPr>
            </w:pPr>
            <w:r w:rsidRPr="00B209D7">
              <w:rPr>
                <w:rFonts w:ascii="Times New Roman" w:eastAsia="宋体" w:hAnsi="Times New Roman" w:cs="Times New Roman"/>
              </w:rPr>
              <w:t>28.84%</w:t>
            </w:r>
          </w:p>
        </w:tc>
        <w:tc>
          <w:tcPr>
            <w:tcW w:w="761" w:type="pct"/>
            <w:vAlign w:val="center"/>
          </w:tcPr>
          <w:p w:rsidR="00B209D7" w:rsidRPr="00B209D7" w:rsidRDefault="00B209D7" w:rsidP="00B209D7">
            <w:pPr>
              <w:widowControl/>
              <w:jc w:val="right"/>
              <w:rPr>
                <w:rFonts w:ascii="Times New Roman" w:eastAsia="宋体" w:hAnsi="Times New Roman" w:cs="Times New Roman"/>
                <w:iCs/>
                <w:color w:val="000000"/>
                <w:kern w:val="0"/>
                <w:szCs w:val="21"/>
                <w:lang w:eastAsia="en-US" w:bidi="en-US"/>
              </w:rPr>
            </w:pPr>
            <w:r w:rsidRPr="00B209D7">
              <w:rPr>
                <w:rFonts w:ascii="Times New Roman" w:eastAsia="宋体" w:hAnsi="Times New Roman" w:cs="Times New Roman"/>
              </w:rPr>
              <w:t>64.06%</w:t>
            </w:r>
          </w:p>
        </w:tc>
        <w:tc>
          <w:tcPr>
            <w:tcW w:w="761" w:type="pct"/>
            <w:vAlign w:val="center"/>
          </w:tcPr>
          <w:p w:rsidR="00B209D7" w:rsidRPr="00B209D7" w:rsidRDefault="00B209D7" w:rsidP="00B209D7">
            <w:pPr>
              <w:widowControl/>
              <w:jc w:val="right"/>
              <w:rPr>
                <w:rFonts w:ascii="Times New Roman" w:eastAsia="宋体" w:hAnsi="Times New Roman" w:cs="Times New Roman"/>
                <w:iCs/>
                <w:color w:val="000000"/>
                <w:kern w:val="0"/>
                <w:szCs w:val="21"/>
                <w:lang w:eastAsia="en-US" w:bidi="en-US"/>
              </w:rPr>
            </w:pPr>
            <w:r w:rsidRPr="00B209D7">
              <w:rPr>
                <w:rFonts w:ascii="Times New Roman" w:eastAsia="宋体" w:hAnsi="Times New Roman" w:cs="Times New Roman"/>
              </w:rPr>
              <w:t>78.33%</w:t>
            </w:r>
          </w:p>
        </w:tc>
      </w:tr>
      <w:tr w:rsidR="00B209D7" w:rsidRPr="00B209D7" w:rsidTr="00324E56">
        <w:trPr>
          <w:trHeight w:val="397"/>
          <w:jc w:val="center"/>
        </w:trPr>
        <w:tc>
          <w:tcPr>
            <w:tcW w:w="1538" w:type="pct"/>
            <w:vAlign w:val="center"/>
          </w:tcPr>
          <w:p w:rsidR="00B209D7" w:rsidRPr="00B209D7" w:rsidRDefault="00B209D7" w:rsidP="00B209D7">
            <w:pPr>
              <w:widowControl/>
              <w:jc w:val="center"/>
              <w:rPr>
                <w:rFonts w:ascii="Times New Roman" w:eastAsia="宋体" w:hAnsi="Times New Roman" w:cs="Times New Roman"/>
                <w:iCs/>
                <w:color w:val="000000"/>
                <w:kern w:val="0"/>
                <w:szCs w:val="21"/>
                <w:lang w:bidi="en-US"/>
              </w:rPr>
            </w:pPr>
            <w:r w:rsidRPr="00B209D7">
              <w:rPr>
                <w:rFonts w:ascii="Times New Roman" w:eastAsia="宋体" w:hAnsi="Times New Roman" w:cs="Times New Roman"/>
              </w:rPr>
              <w:t>徐辉设计</w:t>
            </w:r>
            <w:r w:rsidRPr="00B209D7">
              <w:rPr>
                <w:rFonts w:ascii="Times New Roman" w:eastAsia="宋体" w:hAnsi="Times New Roman" w:cs="Times New Roman"/>
                <w:iCs/>
                <w:color w:val="000000"/>
                <w:kern w:val="0"/>
                <w:szCs w:val="21"/>
                <w:lang w:bidi="en-US"/>
              </w:rPr>
              <w:t>（截止</w:t>
            </w:r>
            <w:r w:rsidRPr="00B209D7">
              <w:rPr>
                <w:rFonts w:ascii="Times New Roman" w:eastAsia="宋体" w:hAnsi="Times New Roman" w:cs="Times New Roman"/>
                <w:iCs/>
                <w:color w:val="000000"/>
                <w:kern w:val="0"/>
                <w:szCs w:val="21"/>
                <w:lang w:bidi="en-US"/>
              </w:rPr>
              <w:t>2020</w:t>
            </w:r>
            <w:r w:rsidRPr="00B209D7">
              <w:rPr>
                <w:rFonts w:ascii="Times New Roman" w:eastAsia="宋体" w:hAnsi="Times New Roman" w:cs="Times New Roman"/>
                <w:iCs/>
                <w:color w:val="000000"/>
                <w:kern w:val="0"/>
                <w:szCs w:val="21"/>
                <w:lang w:bidi="en-US"/>
              </w:rPr>
              <w:t>年</w:t>
            </w:r>
            <w:r w:rsidRPr="00B209D7">
              <w:rPr>
                <w:rFonts w:ascii="Times New Roman" w:eastAsia="宋体" w:hAnsi="Times New Roman" w:cs="Times New Roman"/>
                <w:iCs/>
                <w:color w:val="000000"/>
                <w:kern w:val="0"/>
                <w:szCs w:val="21"/>
                <w:lang w:bidi="en-US"/>
              </w:rPr>
              <w:t>11</w:t>
            </w:r>
            <w:r w:rsidRPr="00B209D7">
              <w:rPr>
                <w:rFonts w:ascii="Times New Roman" w:eastAsia="宋体" w:hAnsi="Times New Roman" w:cs="Times New Roman"/>
                <w:iCs/>
                <w:color w:val="000000"/>
                <w:kern w:val="0"/>
                <w:szCs w:val="21"/>
                <w:lang w:bidi="en-US"/>
              </w:rPr>
              <w:t>月</w:t>
            </w:r>
            <w:r w:rsidRPr="00B209D7">
              <w:rPr>
                <w:rFonts w:ascii="Times New Roman" w:eastAsia="宋体" w:hAnsi="Times New Roman" w:cs="Times New Roman"/>
                <w:iCs/>
                <w:color w:val="000000"/>
                <w:kern w:val="0"/>
                <w:szCs w:val="21"/>
                <w:lang w:bidi="en-US"/>
              </w:rPr>
              <w:t>30</w:t>
            </w:r>
            <w:r w:rsidRPr="00B209D7">
              <w:rPr>
                <w:rFonts w:ascii="Times New Roman" w:eastAsia="宋体" w:hAnsi="Times New Roman" w:cs="Times New Roman"/>
                <w:iCs/>
                <w:color w:val="000000"/>
                <w:kern w:val="0"/>
                <w:szCs w:val="21"/>
                <w:lang w:bidi="en-US"/>
              </w:rPr>
              <w:t>日）</w:t>
            </w:r>
          </w:p>
        </w:tc>
        <w:tc>
          <w:tcPr>
            <w:tcW w:w="970" w:type="pct"/>
            <w:vAlign w:val="center"/>
          </w:tcPr>
          <w:p w:rsidR="00B209D7" w:rsidRPr="00B209D7" w:rsidRDefault="00B209D7" w:rsidP="00B209D7">
            <w:pPr>
              <w:widowControl/>
              <w:jc w:val="right"/>
              <w:rPr>
                <w:rFonts w:ascii="Times New Roman" w:eastAsia="宋体" w:hAnsi="Times New Roman" w:cs="Times New Roman"/>
              </w:rPr>
            </w:pPr>
            <w:r w:rsidRPr="00B209D7">
              <w:rPr>
                <w:rFonts w:ascii="Times New Roman" w:eastAsia="宋体" w:hAnsi="Times New Roman" w:cs="Times New Roman"/>
              </w:rPr>
              <w:t>29.31%</w:t>
            </w:r>
          </w:p>
        </w:tc>
        <w:tc>
          <w:tcPr>
            <w:tcW w:w="970" w:type="pct"/>
            <w:vAlign w:val="center"/>
          </w:tcPr>
          <w:p w:rsidR="00B209D7" w:rsidRPr="00B209D7" w:rsidRDefault="00B209D7" w:rsidP="00B209D7">
            <w:pPr>
              <w:widowControl/>
              <w:jc w:val="right"/>
              <w:rPr>
                <w:rFonts w:ascii="Times New Roman" w:eastAsia="宋体" w:hAnsi="Times New Roman" w:cs="Times New Roman"/>
              </w:rPr>
            </w:pPr>
            <w:r w:rsidRPr="00B209D7">
              <w:rPr>
                <w:rFonts w:ascii="Times New Roman" w:eastAsia="宋体" w:hAnsi="Times New Roman" w:cs="Times New Roman"/>
              </w:rPr>
              <w:t>42.77%</w:t>
            </w:r>
          </w:p>
        </w:tc>
        <w:tc>
          <w:tcPr>
            <w:tcW w:w="761" w:type="pct"/>
            <w:vAlign w:val="center"/>
          </w:tcPr>
          <w:p w:rsidR="00B209D7" w:rsidRPr="00B209D7" w:rsidRDefault="00B209D7" w:rsidP="00B209D7">
            <w:pPr>
              <w:widowControl/>
              <w:jc w:val="right"/>
              <w:rPr>
                <w:rFonts w:ascii="Times New Roman" w:eastAsia="宋体" w:hAnsi="Times New Roman" w:cs="Times New Roman"/>
              </w:rPr>
            </w:pPr>
            <w:r w:rsidRPr="00B209D7">
              <w:rPr>
                <w:rFonts w:ascii="Times New Roman" w:eastAsia="宋体" w:hAnsi="Times New Roman" w:cs="Times New Roman"/>
              </w:rPr>
              <w:t>72.94%</w:t>
            </w:r>
          </w:p>
        </w:tc>
        <w:tc>
          <w:tcPr>
            <w:tcW w:w="761" w:type="pct"/>
            <w:vAlign w:val="center"/>
          </w:tcPr>
          <w:p w:rsidR="00B209D7" w:rsidRPr="00B209D7" w:rsidRDefault="00B209D7" w:rsidP="00B209D7">
            <w:pPr>
              <w:widowControl/>
              <w:jc w:val="right"/>
              <w:rPr>
                <w:rFonts w:ascii="Times New Roman" w:eastAsia="宋体" w:hAnsi="Times New Roman" w:cs="Times New Roman"/>
              </w:rPr>
            </w:pPr>
            <w:r w:rsidRPr="00B209D7">
              <w:rPr>
                <w:rFonts w:ascii="Times New Roman" w:eastAsia="宋体" w:hAnsi="Times New Roman" w:cs="Times New Roman"/>
              </w:rPr>
              <w:t>78.48%</w:t>
            </w:r>
          </w:p>
        </w:tc>
      </w:tr>
      <w:tr w:rsidR="00B209D7" w:rsidRPr="00B209D7" w:rsidTr="00324E56">
        <w:trPr>
          <w:trHeight w:val="397"/>
          <w:jc w:val="center"/>
        </w:trPr>
        <w:tc>
          <w:tcPr>
            <w:tcW w:w="1538" w:type="pct"/>
            <w:vAlign w:val="center"/>
          </w:tcPr>
          <w:p w:rsidR="00B209D7" w:rsidRPr="00B209D7" w:rsidRDefault="00B209D7" w:rsidP="00B209D7">
            <w:pPr>
              <w:widowControl/>
              <w:jc w:val="center"/>
              <w:rPr>
                <w:rFonts w:ascii="Times New Roman" w:eastAsia="宋体" w:hAnsi="Times New Roman" w:cs="Times New Roman"/>
                <w:iCs/>
                <w:color w:val="000000"/>
                <w:kern w:val="0"/>
                <w:szCs w:val="21"/>
                <w:lang w:bidi="en-US"/>
              </w:rPr>
            </w:pPr>
            <w:r w:rsidRPr="00B209D7">
              <w:rPr>
                <w:rFonts w:ascii="Times New Roman" w:eastAsia="宋体" w:hAnsi="Times New Roman" w:cs="Times New Roman"/>
                <w:iCs/>
                <w:color w:val="000000"/>
                <w:kern w:val="0"/>
                <w:szCs w:val="21"/>
                <w:lang w:bidi="en-US"/>
              </w:rPr>
              <w:t>山水比德（截止</w:t>
            </w:r>
            <w:r w:rsidRPr="00B209D7">
              <w:rPr>
                <w:rFonts w:ascii="Times New Roman" w:eastAsia="宋体" w:hAnsi="Times New Roman" w:cs="Times New Roman"/>
                <w:iCs/>
                <w:color w:val="000000"/>
                <w:kern w:val="0"/>
                <w:szCs w:val="21"/>
                <w:lang w:bidi="en-US"/>
              </w:rPr>
              <w:t>2020</w:t>
            </w:r>
            <w:r w:rsidRPr="00B209D7">
              <w:rPr>
                <w:rFonts w:ascii="Times New Roman" w:eastAsia="宋体" w:hAnsi="Times New Roman" w:cs="Times New Roman"/>
                <w:iCs/>
                <w:color w:val="000000"/>
                <w:kern w:val="0"/>
                <w:szCs w:val="21"/>
                <w:lang w:bidi="en-US"/>
              </w:rPr>
              <w:t>年</w:t>
            </w:r>
            <w:r w:rsidRPr="00B209D7">
              <w:rPr>
                <w:rFonts w:ascii="Times New Roman" w:eastAsia="宋体" w:hAnsi="Times New Roman" w:cs="Times New Roman"/>
                <w:iCs/>
                <w:color w:val="000000"/>
                <w:kern w:val="0"/>
                <w:szCs w:val="21"/>
                <w:lang w:bidi="en-US"/>
              </w:rPr>
              <w:t>8</w:t>
            </w:r>
            <w:r w:rsidRPr="00B209D7">
              <w:rPr>
                <w:rFonts w:ascii="Times New Roman" w:eastAsia="宋体" w:hAnsi="Times New Roman" w:cs="Times New Roman"/>
                <w:iCs/>
                <w:color w:val="000000"/>
                <w:kern w:val="0"/>
                <w:szCs w:val="21"/>
                <w:lang w:bidi="en-US"/>
              </w:rPr>
              <w:t>月</w:t>
            </w:r>
            <w:r w:rsidRPr="00B209D7">
              <w:rPr>
                <w:rFonts w:ascii="Times New Roman" w:eastAsia="宋体" w:hAnsi="Times New Roman" w:cs="Times New Roman"/>
                <w:iCs/>
                <w:color w:val="000000"/>
                <w:kern w:val="0"/>
                <w:szCs w:val="21"/>
                <w:lang w:bidi="en-US"/>
              </w:rPr>
              <w:t>30</w:t>
            </w:r>
            <w:r w:rsidRPr="00B209D7">
              <w:rPr>
                <w:rFonts w:ascii="Times New Roman" w:eastAsia="宋体" w:hAnsi="Times New Roman" w:cs="Times New Roman"/>
                <w:iCs/>
                <w:color w:val="000000"/>
                <w:kern w:val="0"/>
                <w:szCs w:val="21"/>
                <w:lang w:bidi="en-US"/>
              </w:rPr>
              <w:t>日）</w:t>
            </w:r>
          </w:p>
        </w:tc>
        <w:tc>
          <w:tcPr>
            <w:tcW w:w="970" w:type="pct"/>
            <w:vAlign w:val="center"/>
          </w:tcPr>
          <w:p w:rsidR="00B209D7" w:rsidRPr="00B209D7" w:rsidRDefault="00B209D7" w:rsidP="00B209D7">
            <w:pPr>
              <w:widowControl/>
              <w:jc w:val="right"/>
              <w:rPr>
                <w:rFonts w:ascii="Times New Roman" w:eastAsia="宋体" w:hAnsi="Times New Roman" w:cs="Times New Roman"/>
              </w:rPr>
            </w:pPr>
            <w:r w:rsidRPr="00B209D7">
              <w:rPr>
                <w:rFonts w:ascii="Times New Roman" w:eastAsia="宋体" w:hAnsi="Times New Roman" w:cs="Times New Roman"/>
              </w:rPr>
              <w:t>19.32%</w:t>
            </w:r>
          </w:p>
        </w:tc>
        <w:tc>
          <w:tcPr>
            <w:tcW w:w="970" w:type="pct"/>
            <w:vAlign w:val="center"/>
          </w:tcPr>
          <w:p w:rsidR="00B209D7" w:rsidRPr="00B209D7" w:rsidRDefault="00B209D7" w:rsidP="00B209D7">
            <w:pPr>
              <w:widowControl/>
              <w:jc w:val="right"/>
              <w:rPr>
                <w:rFonts w:ascii="Times New Roman" w:eastAsia="宋体" w:hAnsi="Times New Roman" w:cs="Times New Roman"/>
              </w:rPr>
            </w:pPr>
            <w:r w:rsidRPr="00B209D7">
              <w:rPr>
                <w:rFonts w:ascii="Times New Roman" w:eastAsia="宋体" w:hAnsi="Times New Roman" w:cs="Times New Roman"/>
              </w:rPr>
              <w:t>52.12%</w:t>
            </w:r>
          </w:p>
        </w:tc>
        <w:tc>
          <w:tcPr>
            <w:tcW w:w="761" w:type="pct"/>
            <w:vAlign w:val="center"/>
          </w:tcPr>
          <w:p w:rsidR="00B209D7" w:rsidRPr="00B209D7" w:rsidRDefault="00B209D7" w:rsidP="00B209D7">
            <w:pPr>
              <w:widowControl/>
              <w:jc w:val="right"/>
              <w:rPr>
                <w:rFonts w:ascii="Times New Roman" w:eastAsia="宋体" w:hAnsi="Times New Roman" w:cs="Times New Roman"/>
              </w:rPr>
            </w:pPr>
            <w:r w:rsidRPr="00B209D7">
              <w:rPr>
                <w:rFonts w:ascii="Times New Roman" w:eastAsia="宋体" w:hAnsi="Times New Roman" w:cs="Times New Roman"/>
              </w:rPr>
              <w:t>68.65%</w:t>
            </w:r>
          </w:p>
        </w:tc>
        <w:tc>
          <w:tcPr>
            <w:tcW w:w="761" w:type="pct"/>
            <w:vAlign w:val="center"/>
          </w:tcPr>
          <w:p w:rsidR="00B209D7" w:rsidRPr="00B209D7" w:rsidRDefault="00B209D7" w:rsidP="00B209D7">
            <w:pPr>
              <w:widowControl/>
              <w:jc w:val="right"/>
              <w:rPr>
                <w:rFonts w:ascii="Times New Roman" w:eastAsia="宋体" w:hAnsi="Times New Roman" w:cs="Times New Roman"/>
              </w:rPr>
            </w:pPr>
            <w:r w:rsidRPr="00B209D7">
              <w:rPr>
                <w:rFonts w:ascii="Times New Roman" w:eastAsia="宋体" w:hAnsi="Times New Roman" w:cs="Times New Roman"/>
              </w:rPr>
              <w:t>75.71%</w:t>
            </w:r>
          </w:p>
        </w:tc>
      </w:tr>
      <w:tr w:rsidR="00B209D7" w:rsidRPr="00B209D7" w:rsidTr="00324E56">
        <w:trPr>
          <w:trHeight w:val="397"/>
          <w:jc w:val="center"/>
        </w:trPr>
        <w:tc>
          <w:tcPr>
            <w:tcW w:w="1538" w:type="pct"/>
            <w:vAlign w:val="center"/>
          </w:tcPr>
          <w:p w:rsidR="00B209D7" w:rsidRPr="00B209D7" w:rsidRDefault="00B209D7" w:rsidP="00B209D7">
            <w:pPr>
              <w:widowControl/>
              <w:jc w:val="center"/>
              <w:rPr>
                <w:rFonts w:ascii="Times New Roman" w:eastAsia="宋体" w:hAnsi="Times New Roman" w:cs="Times New Roman"/>
                <w:iCs/>
                <w:color w:val="000000"/>
                <w:kern w:val="0"/>
                <w:szCs w:val="21"/>
                <w:lang w:bidi="en-US"/>
              </w:rPr>
            </w:pPr>
            <w:r w:rsidRPr="00B209D7">
              <w:rPr>
                <w:rFonts w:ascii="Times New Roman" w:eastAsia="宋体" w:hAnsi="Times New Roman" w:cs="Times New Roman"/>
                <w:iCs/>
                <w:color w:val="000000"/>
                <w:kern w:val="0"/>
                <w:szCs w:val="21"/>
                <w:lang w:bidi="en-US"/>
              </w:rPr>
              <w:t>霍普股份（截止</w:t>
            </w:r>
            <w:r w:rsidRPr="00B209D7">
              <w:rPr>
                <w:rFonts w:ascii="Times New Roman" w:eastAsia="宋体" w:hAnsi="Times New Roman" w:cs="Times New Roman"/>
                <w:iCs/>
                <w:color w:val="000000"/>
                <w:kern w:val="0"/>
                <w:szCs w:val="21"/>
                <w:lang w:bidi="en-US"/>
              </w:rPr>
              <w:t>2020</w:t>
            </w:r>
            <w:r w:rsidRPr="00B209D7">
              <w:rPr>
                <w:rFonts w:ascii="Times New Roman" w:eastAsia="宋体" w:hAnsi="Times New Roman" w:cs="Times New Roman"/>
                <w:iCs/>
                <w:color w:val="000000"/>
                <w:kern w:val="0"/>
                <w:szCs w:val="21"/>
                <w:lang w:bidi="en-US"/>
              </w:rPr>
              <w:t>年</w:t>
            </w:r>
            <w:r w:rsidRPr="00B209D7">
              <w:rPr>
                <w:rFonts w:ascii="Times New Roman" w:eastAsia="宋体" w:hAnsi="Times New Roman" w:cs="Times New Roman"/>
                <w:iCs/>
                <w:color w:val="000000"/>
                <w:kern w:val="0"/>
                <w:szCs w:val="21"/>
                <w:lang w:bidi="en-US"/>
              </w:rPr>
              <w:t>12</w:t>
            </w:r>
            <w:r w:rsidRPr="00B209D7">
              <w:rPr>
                <w:rFonts w:ascii="Times New Roman" w:eastAsia="宋体" w:hAnsi="Times New Roman" w:cs="Times New Roman"/>
                <w:iCs/>
                <w:color w:val="000000"/>
                <w:kern w:val="0"/>
                <w:szCs w:val="21"/>
                <w:lang w:bidi="en-US"/>
              </w:rPr>
              <w:t>月</w:t>
            </w:r>
            <w:r w:rsidRPr="00B209D7">
              <w:rPr>
                <w:rFonts w:ascii="Times New Roman" w:eastAsia="宋体" w:hAnsi="Times New Roman" w:cs="Times New Roman"/>
                <w:iCs/>
                <w:color w:val="000000"/>
                <w:kern w:val="0"/>
                <w:szCs w:val="21"/>
                <w:lang w:bidi="en-US"/>
              </w:rPr>
              <w:t>31</w:t>
            </w:r>
            <w:r w:rsidRPr="00B209D7">
              <w:rPr>
                <w:rFonts w:ascii="Times New Roman" w:eastAsia="宋体" w:hAnsi="Times New Roman" w:cs="Times New Roman"/>
                <w:iCs/>
                <w:color w:val="000000"/>
                <w:kern w:val="0"/>
                <w:szCs w:val="21"/>
                <w:lang w:bidi="en-US"/>
              </w:rPr>
              <w:t>日）</w:t>
            </w:r>
          </w:p>
        </w:tc>
        <w:tc>
          <w:tcPr>
            <w:tcW w:w="970" w:type="pct"/>
            <w:vAlign w:val="center"/>
          </w:tcPr>
          <w:p w:rsidR="00B209D7" w:rsidRPr="00B209D7" w:rsidRDefault="00B209D7" w:rsidP="00B209D7">
            <w:pPr>
              <w:widowControl/>
              <w:jc w:val="right"/>
              <w:rPr>
                <w:rFonts w:ascii="Times New Roman" w:eastAsia="宋体" w:hAnsi="Times New Roman" w:cs="Times New Roman"/>
                <w:color w:val="000000"/>
                <w:kern w:val="0"/>
                <w:szCs w:val="21"/>
                <w:lang w:eastAsia="en-US" w:bidi="en-US"/>
              </w:rPr>
            </w:pPr>
            <w:r w:rsidRPr="00B209D7">
              <w:rPr>
                <w:rFonts w:ascii="Times New Roman" w:eastAsia="楷体" w:hAnsi="Times New Roman" w:cs="Times New Roman"/>
                <w:color w:val="000000"/>
                <w:kern w:val="0"/>
                <w:szCs w:val="21"/>
                <w:lang w:bidi="ar"/>
              </w:rPr>
              <w:t>30.72%</w:t>
            </w:r>
          </w:p>
        </w:tc>
        <w:tc>
          <w:tcPr>
            <w:tcW w:w="970" w:type="pct"/>
            <w:vAlign w:val="center"/>
          </w:tcPr>
          <w:p w:rsidR="00B209D7" w:rsidRPr="00B209D7" w:rsidRDefault="00B209D7" w:rsidP="00B209D7">
            <w:pPr>
              <w:widowControl/>
              <w:jc w:val="right"/>
              <w:rPr>
                <w:rFonts w:ascii="Times New Roman" w:eastAsia="宋体" w:hAnsi="Times New Roman" w:cs="Times New Roman"/>
                <w:color w:val="000000"/>
                <w:kern w:val="0"/>
                <w:szCs w:val="21"/>
                <w:lang w:eastAsia="en-US" w:bidi="en-US"/>
              </w:rPr>
            </w:pPr>
            <w:r w:rsidRPr="00B209D7">
              <w:rPr>
                <w:rFonts w:ascii="Times New Roman" w:eastAsia="楷体" w:hAnsi="Times New Roman" w:cs="Times New Roman"/>
                <w:color w:val="000000"/>
                <w:kern w:val="0"/>
                <w:szCs w:val="21"/>
                <w:lang w:bidi="ar"/>
              </w:rPr>
              <w:t>65.55%</w:t>
            </w:r>
          </w:p>
        </w:tc>
        <w:tc>
          <w:tcPr>
            <w:tcW w:w="761" w:type="pct"/>
            <w:vAlign w:val="center"/>
          </w:tcPr>
          <w:p w:rsidR="00B209D7" w:rsidRPr="00B209D7" w:rsidRDefault="00B209D7" w:rsidP="00B209D7">
            <w:pPr>
              <w:widowControl/>
              <w:jc w:val="right"/>
              <w:rPr>
                <w:rFonts w:ascii="Times New Roman" w:eastAsia="宋体" w:hAnsi="Times New Roman" w:cs="Times New Roman"/>
                <w:color w:val="000000"/>
                <w:kern w:val="0"/>
                <w:szCs w:val="21"/>
                <w:lang w:eastAsia="en-US" w:bidi="en-US"/>
              </w:rPr>
            </w:pPr>
            <w:r w:rsidRPr="00B209D7">
              <w:rPr>
                <w:rFonts w:ascii="Times New Roman" w:eastAsia="楷体" w:hAnsi="Times New Roman" w:cs="Times New Roman"/>
                <w:color w:val="000000"/>
                <w:kern w:val="0"/>
                <w:szCs w:val="21"/>
                <w:lang w:bidi="ar"/>
              </w:rPr>
              <w:t>77.02%</w:t>
            </w:r>
          </w:p>
        </w:tc>
        <w:tc>
          <w:tcPr>
            <w:tcW w:w="761" w:type="pct"/>
            <w:vAlign w:val="center"/>
          </w:tcPr>
          <w:p w:rsidR="00B209D7" w:rsidRPr="00B209D7" w:rsidRDefault="00B209D7" w:rsidP="00B209D7">
            <w:pPr>
              <w:widowControl/>
              <w:jc w:val="right"/>
              <w:rPr>
                <w:rFonts w:ascii="Times New Roman" w:eastAsia="宋体" w:hAnsi="Times New Roman" w:cs="Times New Roman"/>
                <w:color w:val="000000"/>
                <w:kern w:val="0"/>
                <w:szCs w:val="21"/>
                <w:lang w:eastAsia="en-US" w:bidi="en-US"/>
              </w:rPr>
            </w:pPr>
            <w:r w:rsidRPr="00B209D7">
              <w:rPr>
                <w:rFonts w:ascii="Times New Roman" w:eastAsia="楷体" w:hAnsi="Times New Roman" w:cs="Times New Roman"/>
                <w:color w:val="000000"/>
                <w:kern w:val="0"/>
                <w:szCs w:val="21"/>
                <w:lang w:bidi="ar"/>
              </w:rPr>
              <w:t>84.03%</w:t>
            </w:r>
          </w:p>
        </w:tc>
      </w:tr>
    </w:tbl>
    <w:p w:rsidR="00B209D7" w:rsidRPr="00B209D7" w:rsidRDefault="00B209D7" w:rsidP="00B209D7">
      <w:pPr>
        <w:widowControl/>
        <w:autoSpaceDE w:val="0"/>
        <w:autoSpaceDN w:val="0"/>
        <w:adjustRightInd w:val="0"/>
        <w:spacing w:afterLines="50" w:after="156"/>
        <w:ind w:firstLineChars="200" w:firstLine="422"/>
        <w:rPr>
          <w:rFonts w:ascii="楷体" w:eastAsia="楷体" w:hAnsi="楷体" w:cs="Times New Roman"/>
          <w:b/>
          <w:bCs/>
          <w:szCs w:val="21"/>
        </w:rPr>
      </w:pPr>
      <w:r w:rsidRPr="00B209D7">
        <w:rPr>
          <w:rFonts w:ascii="楷体" w:eastAsia="楷体" w:hAnsi="楷体" w:cs="Times New Roman" w:hint="eastAsia"/>
          <w:b/>
          <w:bCs/>
          <w:szCs w:val="21"/>
        </w:rPr>
        <w:t>注：因上述公司尚未披露以2</w:t>
      </w:r>
      <w:r w:rsidRPr="00B209D7">
        <w:rPr>
          <w:rFonts w:ascii="楷体" w:eastAsia="楷体" w:hAnsi="楷体" w:cs="Times New Roman"/>
          <w:b/>
          <w:bCs/>
          <w:szCs w:val="21"/>
        </w:rPr>
        <w:t>020</w:t>
      </w:r>
      <w:r w:rsidRPr="00B209D7">
        <w:rPr>
          <w:rFonts w:ascii="楷体" w:eastAsia="楷体" w:hAnsi="楷体" w:cs="Times New Roman" w:hint="eastAsia"/>
          <w:b/>
          <w:bCs/>
          <w:szCs w:val="21"/>
        </w:rPr>
        <w:t>年末为审计基准日的期后回款数据，因此摘取以2</w:t>
      </w:r>
      <w:r w:rsidRPr="00B209D7">
        <w:rPr>
          <w:rFonts w:ascii="楷体" w:eastAsia="楷体" w:hAnsi="楷体" w:cs="Times New Roman"/>
          <w:b/>
          <w:bCs/>
          <w:szCs w:val="21"/>
        </w:rPr>
        <w:t>020</w:t>
      </w:r>
      <w:r w:rsidRPr="00B209D7">
        <w:rPr>
          <w:rFonts w:ascii="楷体" w:eastAsia="楷体" w:hAnsi="楷体" w:cs="Times New Roman" w:hint="eastAsia"/>
          <w:b/>
          <w:bCs/>
          <w:szCs w:val="21"/>
        </w:rPr>
        <w:t>年6月末为审计基准日的期后回款数据进行比较。</w:t>
      </w:r>
    </w:p>
    <w:p w:rsidR="00B209D7" w:rsidRPr="00B209D7" w:rsidRDefault="00B209D7" w:rsidP="00B209D7">
      <w:pPr>
        <w:widowControl/>
        <w:autoSpaceDE w:val="0"/>
        <w:autoSpaceDN w:val="0"/>
        <w:adjustRightInd w:val="0"/>
        <w:spacing w:beforeLines="50" w:before="156" w:afterLines="50" w:after="156" w:line="360" w:lineRule="auto"/>
        <w:ind w:firstLineChars="200" w:firstLine="480"/>
        <w:rPr>
          <w:rFonts w:ascii="宋体" w:eastAsia="宋体" w:hAnsi="宋体" w:cs="Times New Roman"/>
          <w:sz w:val="24"/>
          <w:szCs w:val="28"/>
        </w:rPr>
      </w:pPr>
      <w:r w:rsidRPr="00B209D7">
        <w:rPr>
          <w:rFonts w:ascii="宋体" w:eastAsia="宋体" w:hAnsi="宋体" w:cs="Times New Roman"/>
          <w:sz w:val="24"/>
          <w:szCs w:val="28"/>
        </w:rPr>
        <w:lastRenderedPageBreak/>
        <w:t>报告期各期，公司应收账款期后回款情况与同行业可比公司相比，不存在较大差异，公司应收账款期后回款情况符合行业</w:t>
      </w:r>
      <w:r w:rsidRPr="00B209D7">
        <w:rPr>
          <w:rFonts w:ascii="宋体" w:eastAsia="宋体" w:hAnsi="宋体" w:cs="Times New Roman" w:hint="eastAsia"/>
          <w:sz w:val="24"/>
          <w:szCs w:val="28"/>
        </w:rPr>
        <w:t>情况</w:t>
      </w:r>
      <w:r w:rsidRPr="00B209D7">
        <w:rPr>
          <w:rFonts w:ascii="宋体" w:eastAsia="宋体" w:hAnsi="宋体" w:cs="Times New Roman"/>
          <w:sz w:val="24"/>
          <w:szCs w:val="28"/>
        </w:rPr>
        <w:t>。</w:t>
      </w:r>
    </w:p>
    <w:p w:rsidR="00776F91" w:rsidRDefault="00776F91" w:rsidP="00E449CC">
      <w:pPr>
        <w:pStyle w:val="a6"/>
        <w:spacing w:before="156" w:after="156"/>
      </w:pPr>
      <w:r>
        <w:rPr>
          <w:rFonts w:hint="eastAsia"/>
        </w:rPr>
        <w:t>（三）</w:t>
      </w:r>
      <w:r w:rsidR="00D63A86" w:rsidRPr="00D63A86">
        <w:t>补充披露截至目前的应收账款逾期情况，包括但不限于涉及的客户、金额、预期原因等</w:t>
      </w:r>
    </w:p>
    <w:p w:rsidR="00324BB3" w:rsidRDefault="00324BB3" w:rsidP="00E449CC">
      <w:pPr>
        <w:pStyle w:val="a7"/>
        <w:spacing w:before="156" w:after="156"/>
        <w:ind w:firstLine="480"/>
        <w:rPr>
          <w:rFonts w:ascii="Times New Roman" w:eastAsia="宋体" w:hAnsi="Times New Roman"/>
          <w:b w:val="0"/>
          <w:bCs w:val="0"/>
          <w:szCs w:val="28"/>
        </w:rPr>
      </w:pPr>
      <w:r w:rsidRPr="00C6611A">
        <w:rPr>
          <w:rFonts w:ascii="宋体" w:eastAsia="宋体" w:hAnsi="宋体" w:hint="eastAsia"/>
          <w:b w:val="0"/>
          <w:bCs w:val="0"/>
          <w:szCs w:val="28"/>
        </w:rPr>
        <w:t>发行人已在招股说明书“第八节</w:t>
      </w:r>
      <w:r w:rsidRPr="00C6611A">
        <w:rPr>
          <w:rFonts w:ascii="宋体" w:eastAsia="宋体" w:hAnsi="宋体"/>
          <w:b w:val="0"/>
          <w:bCs w:val="0"/>
          <w:szCs w:val="28"/>
        </w:rPr>
        <w:t xml:space="preserve"> 财务会计信息与管理层分析”之“十、资产质量分析”之“（二）各项主要资产分析”之“</w:t>
      </w:r>
      <w:r w:rsidRPr="00C6611A">
        <w:rPr>
          <w:rFonts w:ascii="Times New Roman" w:eastAsia="宋体" w:hAnsi="Times New Roman"/>
          <w:b w:val="0"/>
          <w:bCs w:val="0"/>
          <w:szCs w:val="28"/>
        </w:rPr>
        <w:t>1</w:t>
      </w:r>
      <w:r w:rsidRPr="00C6611A">
        <w:rPr>
          <w:rFonts w:ascii="宋体" w:eastAsia="宋体" w:hAnsi="宋体"/>
          <w:b w:val="0"/>
          <w:bCs w:val="0"/>
          <w:szCs w:val="28"/>
        </w:rPr>
        <w:t>、流动资产的构成及变化分析”之“（</w:t>
      </w:r>
      <w:r w:rsidRPr="00C6611A">
        <w:rPr>
          <w:rFonts w:ascii="Times New Roman" w:eastAsia="宋体" w:hAnsi="Times New Roman"/>
          <w:b w:val="0"/>
          <w:bCs w:val="0"/>
          <w:szCs w:val="28"/>
        </w:rPr>
        <w:t>3</w:t>
      </w:r>
      <w:r w:rsidRPr="00C6611A">
        <w:rPr>
          <w:rFonts w:ascii="宋体" w:eastAsia="宋体" w:hAnsi="宋体"/>
          <w:b w:val="0"/>
          <w:bCs w:val="0"/>
          <w:szCs w:val="28"/>
        </w:rPr>
        <w:t>）应收票据及应收账款”之“</w:t>
      </w:r>
      <w:r w:rsidRPr="00C6611A">
        <w:rPr>
          <w:rFonts w:ascii="Times New Roman" w:eastAsia="宋体" w:hAnsi="Times New Roman"/>
          <w:b w:val="0"/>
          <w:bCs w:val="0"/>
          <w:szCs w:val="28"/>
        </w:rPr>
        <w:t>2</w:t>
      </w:r>
      <w:r w:rsidRPr="00C6611A">
        <w:rPr>
          <w:rFonts w:ascii="Times New Roman" w:eastAsia="宋体" w:hAnsi="Times New Roman"/>
          <w:b w:val="0"/>
          <w:bCs w:val="0"/>
          <w:szCs w:val="28"/>
        </w:rPr>
        <w:t>）应收账款</w:t>
      </w:r>
      <w:r w:rsidRPr="00C6611A">
        <w:rPr>
          <w:rFonts w:ascii="宋体" w:eastAsia="宋体" w:hAnsi="宋体"/>
          <w:b w:val="0"/>
          <w:bCs w:val="0"/>
          <w:szCs w:val="28"/>
        </w:rPr>
        <w:t>”补充披露如下</w:t>
      </w:r>
      <w:r w:rsidRPr="00C6611A">
        <w:rPr>
          <w:rFonts w:ascii="Times New Roman" w:eastAsia="宋体" w:hAnsi="Times New Roman"/>
          <w:b w:val="0"/>
          <w:bCs w:val="0"/>
          <w:szCs w:val="28"/>
        </w:rPr>
        <w:t>：</w:t>
      </w:r>
    </w:p>
    <w:p w:rsidR="006A42A7" w:rsidRPr="006A42A7" w:rsidRDefault="006A42A7" w:rsidP="006A42A7">
      <w:pPr>
        <w:spacing w:before="120" w:after="120" w:line="360" w:lineRule="auto"/>
        <w:ind w:firstLineChars="200" w:firstLine="480"/>
        <w:rPr>
          <w:rFonts w:ascii="Times New Roman" w:eastAsia="宋体" w:hAnsi="Times New Roman" w:cs="Times New Roman"/>
          <w:sz w:val="24"/>
          <w:szCs w:val="24"/>
        </w:rPr>
      </w:pPr>
      <w:r w:rsidRPr="006A42A7">
        <w:rPr>
          <w:rFonts w:ascii="Times New Roman" w:eastAsia="宋体" w:hAnsi="Times New Roman" w:cs="Times New Roman"/>
          <w:sz w:val="24"/>
          <w:szCs w:val="24"/>
        </w:rPr>
        <w:t>根据公司与主要下游客户的合同约定，客户应当按照合同约定在确认公司提交的工作成果且收到相应结算金额的发票后付款。公司一般与客户签订的合同中</w:t>
      </w:r>
      <w:bookmarkStart w:id="7" w:name="_Hlk66050134"/>
      <w:r w:rsidRPr="006A42A7">
        <w:rPr>
          <w:rFonts w:ascii="Times New Roman" w:eastAsia="宋体" w:hAnsi="Times New Roman" w:cs="Times New Roman"/>
          <w:sz w:val="24"/>
          <w:szCs w:val="24"/>
        </w:rPr>
        <w:t>未明确约定具体的信用期。</w:t>
      </w:r>
      <w:bookmarkStart w:id="8" w:name="_Hlk64583795"/>
      <w:r w:rsidRPr="006A42A7">
        <w:rPr>
          <w:rFonts w:ascii="Times New Roman" w:eastAsia="宋体" w:hAnsi="Times New Roman" w:cs="Times New Roman"/>
          <w:sz w:val="24"/>
          <w:szCs w:val="24"/>
        </w:rPr>
        <w:t>截至</w:t>
      </w:r>
      <w:r w:rsidRPr="006A42A7">
        <w:rPr>
          <w:rFonts w:ascii="Times New Roman" w:eastAsia="宋体" w:hAnsi="Times New Roman" w:cs="Times New Roman"/>
          <w:sz w:val="24"/>
          <w:szCs w:val="24"/>
        </w:rPr>
        <w:t>2020</w:t>
      </w:r>
      <w:r w:rsidRPr="006A42A7">
        <w:rPr>
          <w:rFonts w:ascii="Times New Roman" w:eastAsia="宋体" w:hAnsi="Times New Roman" w:cs="Times New Roman"/>
          <w:sz w:val="24"/>
          <w:szCs w:val="24"/>
        </w:rPr>
        <w:t>年</w:t>
      </w:r>
      <w:r w:rsidRPr="006A42A7">
        <w:rPr>
          <w:rFonts w:ascii="楷体" w:eastAsia="楷体" w:hAnsi="楷体" w:cs="Times New Roman"/>
          <w:b/>
          <w:bCs/>
          <w:iCs/>
          <w:kern w:val="0"/>
          <w:sz w:val="24"/>
          <w:szCs w:val="24"/>
          <w:lang w:bidi="en-US"/>
        </w:rPr>
        <w:t>12月31日</w:t>
      </w:r>
      <w:r w:rsidRPr="006A42A7">
        <w:rPr>
          <w:rFonts w:ascii="Times New Roman" w:eastAsia="宋体" w:hAnsi="Times New Roman" w:cs="Times New Roman"/>
          <w:sz w:val="24"/>
          <w:szCs w:val="24"/>
        </w:rPr>
        <w:t>，公司应收账款余额为</w:t>
      </w:r>
      <w:r w:rsidRPr="006A42A7">
        <w:rPr>
          <w:rFonts w:ascii="楷体" w:eastAsia="楷体" w:hAnsi="楷体" w:cs="Times New Roman"/>
          <w:b/>
          <w:bCs/>
          <w:iCs/>
          <w:kern w:val="0"/>
          <w:sz w:val="24"/>
          <w:szCs w:val="24"/>
          <w:lang w:bidi="en-US"/>
        </w:rPr>
        <w:t>3.26</w:t>
      </w:r>
      <w:r w:rsidRPr="006A42A7">
        <w:rPr>
          <w:rFonts w:ascii="Times New Roman" w:eastAsia="宋体" w:hAnsi="Times New Roman" w:cs="Times New Roman"/>
          <w:sz w:val="24"/>
          <w:szCs w:val="24"/>
        </w:rPr>
        <w:t>亿元，其中，账龄一年以上应收账款金额为</w:t>
      </w:r>
      <w:r w:rsidRPr="006A42A7">
        <w:rPr>
          <w:rFonts w:ascii="楷体" w:eastAsia="楷体" w:hAnsi="楷体" w:cs="Times New Roman"/>
          <w:b/>
          <w:bCs/>
          <w:iCs/>
          <w:kern w:val="0"/>
          <w:sz w:val="24"/>
          <w:szCs w:val="24"/>
          <w:lang w:bidi="en-US"/>
        </w:rPr>
        <w:t>7,918.76</w:t>
      </w:r>
      <w:r w:rsidRPr="006A42A7">
        <w:rPr>
          <w:rFonts w:ascii="Times New Roman" w:eastAsia="宋体" w:hAnsi="Times New Roman" w:cs="Times New Roman"/>
          <w:sz w:val="24"/>
          <w:szCs w:val="24"/>
        </w:rPr>
        <w:t>万元，占比</w:t>
      </w:r>
      <w:r w:rsidRPr="006A42A7">
        <w:rPr>
          <w:rFonts w:ascii="楷体" w:eastAsia="楷体" w:hAnsi="楷体" w:cs="Times New Roman"/>
          <w:b/>
          <w:bCs/>
          <w:iCs/>
          <w:kern w:val="0"/>
          <w:sz w:val="24"/>
          <w:szCs w:val="24"/>
          <w:lang w:bidi="en-US"/>
        </w:rPr>
        <w:t>24.26%</w:t>
      </w:r>
      <w:r w:rsidRPr="006A42A7">
        <w:rPr>
          <w:rFonts w:ascii="Times New Roman" w:eastAsia="宋体" w:hAnsi="Times New Roman" w:cs="Times New Roman"/>
          <w:sz w:val="24"/>
          <w:szCs w:val="24"/>
        </w:rPr>
        <w:t>。账龄一年以上应收账款主要客户情况如下：</w:t>
      </w:r>
    </w:p>
    <w:p w:rsidR="006A42A7" w:rsidRPr="006A42A7" w:rsidRDefault="006A42A7" w:rsidP="006A42A7">
      <w:pPr>
        <w:widowControl/>
        <w:spacing w:beforeLines="50" w:before="156"/>
        <w:jc w:val="right"/>
        <w:rPr>
          <w:rFonts w:ascii="Times New Roman" w:eastAsia="宋体" w:hAnsi="Times New Roman" w:cs="Times New Roman"/>
          <w:color w:val="000000"/>
          <w:kern w:val="0"/>
          <w:szCs w:val="21"/>
          <w:lang w:bidi="en-US"/>
        </w:rPr>
      </w:pPr>
      <w:r w:rsidRPr="006A42A7">
        <w:rPr>
          <w:rFonts w:ascii="Times New Roman" w:eastAsia="宋体" w:hAnsi="Times New Roman" w:cs="Times New Roman"/>
          <w:color w:val="000000"/>
          <w:kern w:val="0"/>
          <w:szCs w:val="21"/>
          <w:lang w:bidi="en-US"/>
        </w:rPr>
        <w:t>单位</w:t>
      </w:r>
      <w:r w:rsidRPr="006A42A7">
        <w:rPr>
          <w:rFonts w:ascii="Times New Roman" w:eastAsia="宋体" w:hAnsi="Times New Roman" w:cs="Times New Roman"/>
          <w:color w:val="000000"/>
          <w:kern w:val="0"/>
          <w:szCs w:val="21"/>
          <w:lang w:bidi="en-US"/>
        </w:rPr>
        <w:t>:</w:t>
      </w:r>
      <w:r w:rsidRPr="006A42A7">
        <w:rPr>
          <w:rFonts w:ascii="Times New Roman" w:eastAsia="宋体" w:hAnsi="Times New Roman" w:cs="Times New Roman"/>
          <w:color w:val="000000"/>
          <w:kern w:val="0"/>
          <w:szCs w:val="21"/>
          <w:lang w:bidi="en-US"/>
        </w:rPr>
        <w:t>万元</w:t>
      </w:r>
    </w:p>
    <w:tbl>
      <w:tblPr>
        <w:tblW w:w="5000" w:type="pct"/>
        <w:jc w:val="center"/>
        <w:tblBorders>
          <w:top w:val="single" w:sz="12" w:space="0" w:color="333399"/>
          <w:left w:val="single" w:sz="6" w:space="0" w:color="333399"/>
          <w:bottom w:val="single" w:sz="12" w:space="0" w:color="333399"/>
          <w:right w:val="single" w:sz="6" w:space="0" w:color="333399"/>
          <w:insideH w:val="single" w:sz="6" w:space="0" w:color="333399"/>
          <w:insideV w:val="single" w:sz="6" w:space="0" w:color="333399"/>
        </w:tblBorders>
        <w:tblLook w:val="04A0" w:firstRow="1" w:lastRow="0" w:firstColumn="1" w:lastColumn="0" w:noHBand="0" w:noVBand="1"/>
      </w:tblPr>
      <w:tblGrid>
        <w:gridCol w:w="698"/>
        <w:gridCol w:w="3914"/>
        <w:gridCol w:w="1225"/>
        <w:gridCol w:w="2679"/>
      </w:tblGrid>
      <w:tr w:rsidR="006A42A7" w:rsidRPr="006A42A7" w:rsidTr="00FF5C8F">
        <w:trPr>
          <w:trHeight w:val="397"/>
          <w:jc w:val="center"/>
        </w:trPr>
        <w:tc>
          <w:tcPr>
            <w:tcW w:w="410" w:type="pct"/>
            <w:vAlign w:val="center"/>
          </w:tcPr>
          <w:p w:rsidR="006A42A7" w:rsidRPr="006A42A7" w:rsidRDefault="006A42A7" w:rsidP="006A42A7">
            <w:pPr>
              <w:widowControl/>
              <w:jc w:val="center"/>
              <w:rPr>
                <w:rFonts w:ascii="Times New Roman" w:eastAsia="宋体" w:hAnsi="Times New Roman" w:cs="Times New Roman"/>
                <w:b/>
                <w:bCs/>
                <w:iCs/>
                <w:color w:val="000000"/>
                <w:kern w:val="0"/>
                <w:szCs w:val="21"/>
                <w:lang w:eastAsia="en-US" w:bidi="en-US"/>
              </w:rPr>
            </w:pPr>
            <w:r w:rsidRPr="006A42A7">
              <w:rPr>
                <w:rFonts w:ascii="Times New Roman" w:eastAsia="宋体" w:hAnsi="Times New Roman" w:cs="Times New Roman"/>
                <w:b/>
                <w:bCs/>
                <w:iCs/>
                <w:color w:val="000000"/>
                <w:kern w:val="0"/>
                <w:szCs w:val="21"/>
                <w:lang w:bidi="en-US"/>
              </w:rPr>
              <w:t>序号</w:t>
            </w:r>
          </w:p>
        </w:tc>
        <w:tc>
          <w:tcPr>
            <w:tcW w:w="2298" w:type="pct"/>
            <w:vAlign w:val="center"/>
          </w:tcPr>
          <w:p w:rsidR="006A42A7" w:rsidRPr="006A42A7" w:rsidRDefault="006A42A7" w:rsidP="006A42A7">
            <w:pPr>
              <w:widowControl/>
              <w:jc w:val="center"/>
              <w:rPr>
                <w:rFonts w:ascii="Times New Roman" w:eastAsia="宋体" w:hAnsi="Times New Roman" w:cs="Times New Roman"/>
                <w:b/>
                <w:bCs/>
                <w:iCs/>
                <w:color w:val="000000"/>
                <w:kern w:val="0"/>
                <w:szCs w:val="21"/>
                <w:lang w:eastAsia="en-US" w:bidi="en-US"/>
              </w:rPr>
            </w:pPr>
            <w:r w:rsidRPr="006A42A7">
              <w:rPr>
                <w:rFonts w:ascii="Times New Roman" w:eastAsia="宋体" w:hAnsi="Times New Roman" w:cs="Times New Roman"/>
                <w:b/>
                <w:bCs/>
                <w:iCs/>
                <w:color w:val="000000"/>
                <w:kern w:val="0"/>
                <w:szCs w:val="21"/>
                <w:lang w:bidi="en-US"/>
              </w:rPr>
              <w:t>客户名称</w:t>
            </w:r>
          </w:p>
        </w:tc>
        <w:tc>
          <w:tcPr>
            <w:tcW w:w="719" w:type="pct"/>
            <w:vAlign w:val="center"/>
          </w:tcPr>
          <w:p w:rsidR="006A42A7" w:rsidRPr="006A42A7" w:rsidRDefault="006A42A7" w:rsidP="006A42A7">
            <w:pPr>
              <w:widowControl/>
              <w:jc w:val="center"/>
              <w:rPr>
                <w:rFonts w:ascii="Times New Roman" w:eastAsia="宋体" w:hAnsi="Times New Roman" w:cs="Times New Roman"/>
                <w:b/>
                <w:bCs/>
                <w:iCs/>
                <w:color w:val="000000"/>
                <w:kern w:val="0"/>
                <w:szCs w:val="21"/>
                <w:lang w:eastAsia="en-US" w:bidi="en-US"/>
              </w:rPr>
            </w:pPr>
            <w:r w:rsidRPr="006A42A7">
              <w:rPr>
                <w:rFonts w:ascii="Times New Roman" w:eastAsia="宋体" w:hAnsi="Times New Roman" w:cs="Times New Roman"/>
                <w:b/>
                <w:bCs/>
                <w:iCs/>
                <w:color w:val="000000"/>
                <w:kern w:val="0"/>
                <w:szCs w:val="21"/>
                <w:lang w:bidi="en-US"/>
              </w:rPr>
              <w:t>金额</w:t>
            </w:r>
          </w:p>
        </w:tc>
        <w:tc>
          <w:tcPr>
            <w:tcW w:w="1573" w:type="pct"/>
            <w:vAlign w:val="center"/>
          </w:tcPr>
          <w:p w:rsidR="006A42A7" w:rsidRPr="006A42A7" w:rsidRDefault="006A42A7" w:rsidP="006A42A7">
            <w:pPr>
              <w:widowControl/>
              <w:jc w:val="center"/>
              <w:rPr>
                <w:rFonts w:ascii="Times New Roman" w:eastAsia="宋体" w:hAnsi="Times New Roman" w:cs="Times New Roman"/>
                <w:b/>
                <w:bCs/>
                <w:iCs/>
                <w:color w:val="000000"/>
                <w:kern w:val="0"/>
                <w:szCs w:val="21"/>
                <w:lang w:bidi="en-US"/>
              </w:rPr>
            </w:pPr>
            <w:r w:rsidRPr="006A42A7">
              <w:rPr>
                <w:rFonts w:ascii="Times New Roman" w:eastAsia="宋体" w:hAnsi="Times New Roman" w:cs="Times New Roman"/>
                <w:b/>
                <w:bCs/>
                <w:iCs/>
                <w:color w:val="000000"/>
                <w:kern w:val="0"/>
                <w:szCs w:val="21"/>
                <w:lang w:bidi="en-US"/>
              </w:rPr>
              <w:t>账龄一年以上应收账款余额的比例</w:t>
            </w:r>
          </w:p>
        </w:tc>
      </w:tr>
      <w:tr w:rsidR="006A42A7" w:rsidRPr="006A42A7" w:rsidTr="00FF5C8F">
        <w:trPr>
          <w:trHeight w:val="397"/>
          <w:jc w:val="center"/>
        </w:trPr>
        <w:tc>
          <w:tcPr>
            <w:tcW w:w="410" w:type="pct"/>
            <w:vAlign w:val="center"/>
          </w:tcPr>
          <w:p w:rsidR="006A42A7" w:rsidRPr="006A42A7" w:rsidRDefault="006A42A7" w:rsidP="006A42A7">
            <w:pPr>
              <w:widowControl/>
              <w:jc w:val="center"/>
              <w:rPr>
                <w:rFonts w:ascii="Times New Roman" w:eastAsia="宋体" w:hAnsi="Times New Roman" w:cs="Times New Roman"/>
                <w:color w:val="000000"/>
                <w:kern w:val="0"/>
                <w:szCs w:val="21"/>
                <w:lang w:eastAsia="en-US" w:bidi="en-US"/>
              </w:rPr>
            </w:pPr>
            <w:r w:rsidRPr="006A42A7">
              <w:rPr>
                <w:rFonts w:ascii="Times New Roman" w:eastAsia="宋体" w:hAnsi="Times New Roman" w:cs="Times New Roman"/>
                <w:color w:val="000000"/>
                <w:kern w:val="0"/>
                <w:szCs w:val="21"/>
                <w:lang w:bidi="en-US"/>
              </w:rPr>
              <w:t>1</w:t>
            </w:r>
          </w:p>
        </w:tc>
        <w:tc>
          <w:tcPr>
            <w:tcW w:w="2298" w:type="pct"/>
            <w:vAlign w:val="center"/>
          </w:tcPr>
          <w:p w:rsidR="006A42A7" w:rsidRPr="006A42A7" w:rsidRDefault="006A42A7" w:rsidP="006A42A7">
            <w:pPr>
              <w:widowControl/>
              <w:jc w:val="center"/>
              <w:rPr>
                <w:rFonts w:ascii="Times New Roman" w:eastAsia="宋体" w:hAnsi="Times New Roman" w:cs="Times New Roman"/>
                <w:szCs w:val="20"/>
              </w:rPr>
            </w:pPr>
            <w:r w:rsidRPr="006A42A7">
              <w:rPr>
                <w:rFonts w:ascii="Times New Roman" w:eastAsia="宋体" w:hAnsi="Times New Roman" w:cs="Times New Roman"/>
                <w:szCs w:val="20"/>
              </w:rPr>
              <w:t>保利</w:t>
            </w:r>
          </w:p>
        </w:tc>
        <w:tc>
          <w:tcPr>
            <w:tcW w:w="719"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2,896.75</w:t>
            </w:r>
          </w:p>
        </w:tc>
        <w:tc>
          <w:tcPr>
            <w:tcW w:w="1573"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36.58%</w:t>
            </w:r>
          </w:p>
        </w:tc>
      </w:tr>
      <w:tr w:rsidR="006A42A7" w:rsidRPr="006A42A7" w:rsidTr="00FF5C8F">
        <w:trPr>
          <w:trHeight w:val="397"/>
          <w:jc w:val="center"/>
        </w:trPr>
        <w:tc>
          <w:tcPr>
            <w:tcW w:w="410" w:type="pct"/>
            <w:vAlign w:val="center"/>
          </w:tcPr>
          <w:p w:rsidR="006A42A7" w:rsidRPr="006A42A7" w:rsidRDefault="006A42A7" w:rsidP="006A42A7">
            <w:pPr>
              <w:widowControl/>
              <w:jc w:val="center"/>
              <w:rPr>
                <w:rFonts w:ascii="Times New Roman" w:eastAsia="宋体" w:hAnsi="Times New Roman" w:cs="Times New Roman"/>
                <w:color w:val="000000"/>
                <w:kern w:val="0"/>
                <w:szCs w:val="21"/>
                <w:lang w:eastAsia="en-US" w:bidi="en-US"/>
              </w:rPr>
            </w:pPr>
            <w:r w:rsidRPr="006A42A7">
              <w:rPr>
                <w:rFonts w:ascii="Times New Roman" w:eastAsia="宋体" w:hAnsi="Times New Roman" w:cs="Times New Roman"/>
                <w:color w:val="000000"/>
                <w:kern w:val="0"/>
                <w:szCs w:val="21"/>
                <w:lang w:bidi="en-US"/>
              </w:rPr>
              <w:t>2</w:t>
            </w:r>
          </w:p>
        </w:tc>
        <w:tc>
          <w:tcPr>
            <w:tcW w:w="2298" w:type="pct"/>
            <w:vAlign w:val="center"/>
          </w:tcPr>
          <w:p w:rsidR="006A42A7" w:rsidRPr="006A42A7" w:rsidRDefault="006A42A7" w:rsidP="006A42A7">
            <w:pPr>
              <w:widowControl/>
              <w:jc w:val="center"/>
              <w:rPr>
                <w:rFonts w:ascii="Times New Roman" w:eastAsia="宋体" w:hAnsi="Times New Roman" w:cs="Times New Roman"/>
                <w:szCs w:val="20"/>
              </w:rPr>
            </w:pPr>
            <w:r w:rsidRPr="006A42A7">
              <w:rPr>
                <w:rFonts w:ascii="Times New Roman" w:eastAsia="宋体" w:hAnsi="Times New Roman" w:cs="Times New Roman"/>
                <w:szCs w:val="20"/>
              </w:rPr>
              <w:t>绿地</w:t>
            </w:r>
          </w:p>
        </w:tc>
        <w:tc>
          <w:tcPr>
            <w:tcW w:w="719"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1,378.66</w:t>
            </w:r>
          </w:p>
        </w:tc>
        <w:tc>
          <w:tcPr>
            <w:tcW w:w="1573"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17.41%</w:t>
            </w:r>
          </w:p>
        </w:tc>
      </w:tr>
      <w:tr w:rsidR="006A42A7" w:rsidRPr="006A42A7" w:rsidTr="00FF5C8F">
        <w:trPr>
          <w:trHeight w:val="397"/>
          <w:jc w:val="center"/>
        </w:trPr>
        <w:tc>
          <w:tcPr>
            <w:tcW w:w="410" w:type="pct"/>
            <w:vAlign w:val="center"/>
          </w:tcPr>
          <w:p w:rsidR="006A42A7" w:rsidRPr="006A42A7" w:rsidRDefault="006A42A7" w:rsidP="006A42A7">
            <w:pPr>
              <w:widowControl/>
              <w:jc w:val="center"/>
              <w:rPr>
                <w:rFonts w:ascii="Times New Roman" w:eastAsia="宋体" w:hAnsi="Times New Roman" w:cs="Times New Roman"/>
                <w:color w:val="000000"/>
                <w:kern w:val="0"/>
                <w:szCs w:val="21"/>
                <w:lang w:eastAsia="en-US" w:bidi="en-US"/>
              </w:rPr>
            </w:pPr>
            <w:r w:rsidRPr="006A42A7">
              <w:rPr>
                <w:rFonts w:ascii="Times New Roman" w:eastAsia="宋体" w:hAnsi="Times New Roman" w:cs="Times New Roman"/>
                <w:color w:val="000000"/>
                <w:kern w:val="0"/>
                <w:szCs w:val="21"/>
                <w:lang w:bidi="en-US"/>
              </w:rPr>
              <w:t>3</w:t>
            </w:r>
          </w:p>
        </w:tc>
        <w:tc>
          <w:tcPr>
            <w:tcW w:w="2298" w:type="pct"/>
            <w:vAlign w:val="center"/>
          </w:tcPr>
          <w:p w:rsidR="006A42A7" w:rsidRPr="006A42A7" w:rsidRDefault="006A42A7" w:rsidP="006A42A7">
            <w:pPr>
              <w:widowControl/>
              <w:jc w:val="center"/>
              <w:rPr>
                <w:rFonts w:ascii="Times New Roman" w:eastAsia="宋体" w:hAnsi="Times New Roman" w:cs="Times New Roman"/>
                <w:color w:val="000000"/>
                <w:kern w:val="0"/>
                <w:szCs w:val="21"/>
                <w:lang w:bidi="en-US"/>
              </w:rPr>
            </w:pPr>
            <w:r w:rsidRPr="006A42A7">
              <w:rPr>
                <w:rFonts w:ascii="Times New Roman" w:eastAsia="宋体" w:hAnsi="Times New Roman" w:cs="Times New Roman"/>
                <w:szCs w:val="20"/>
              </w:rPr>
              <w:t>山湖海（广东）投资控股集团有限公司</w:t>
            </w:r>
          </w:p>
        </w:tc>
        <w:tc>
          <w:tcPr>
            <w:tcW w:w="719"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843.89</w:t>
            </w:r>
          </w:p>
        </w:tc>
        <w:tc>
          <w:tcPr>
            <w:tcW w:w="1573"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10.66%</w:t>
            </w:r>
          </w:p>
        </w:tc>
      </w:tr>
      <w:tr w:rsidR="006A42A7" w:rsidRPr="006A42A7" w:rsidTr="00FF5C8F">
        <w:trPr>
          <w:trHeight w:val="397"/>
          <w:jc w:val="center"/>
        </w:trPr>
        <w:tc>
          <w:tcPr>
            <w:tcW w:w="410" w:type="pct"/>
            <w:vAlign w:val="center"/>
          </w:tcPr>
          <w:p w:rsidR="006A42A7" w:rsidRPr="006A42A7" w:rsidRDefault="006A42A7" w:rsidP="006A42A7">
            <w:pPr>
              <w:widowControl/>
              <w:jc w:val="center"/>
              <w:rPr>
                <w:rFonts w:ascii="Times New Roman" w:eastAsia="宋体" w:hAnsi="Times New Roman" w:cs="Times New Roman"/>
                <w:color w:val="000000"/>
                <w:kern w:val="0"/>
                <w:szCs w:val="21"/>
                <w:lang w:eastAsia="en-US" w:bidi="en-US"/>
              </w:rPr>
            </w:pPr>
            <w:r w:rsidRPr="006A42A7">
              <w:rPr>
                <w:rFonts w:ascii="Times New Roman" w:eastAsia="宋体" w:hAnsi="Times New Roman" w:cs="Times New Roman"/>
                <w:color w:val="000000"/>
                <w:kern w:val="0"/>
                <w:szCs w:val="21"/>
                <w:lang w:bidi="en-US"/>
              </w:rPr>
              <w:t>4</w:t>
            </w:r>
          </w:p>
        </w:tc>
        <w:tc>
          <w:tcPr>
            <w:tcW w:w="2298" w:type="pct"/>
            <w:vAlign w:val="center"/>
          </w:tcPr>
          <w:p w:rsidR="006A42A7" w:rsidRPr="006A42A7" w:rsidRDefault="006A42A7" w:rsidP="006A42A7">
            <w:pPr>
              <w:widowControl/>
              <w:jc w:val="center"/>
              <w:rPr>
                <w:rFonts w:ascii="Times New Roman" w:eastAsia="宋体" w:hAnsi="Times New Roman" w:cs="Times New Roman"/>
                <w:color w:val="000000"/>
                <w:kern w:val="0"/>
                <w:szCs w:val="21"/>
                <w:lang w:eastAsia="en-US" w:bidi="en-US"/>
              </w:rPr>
            </w:pPr>
            <w:proofErr w:type="gramStart"/>
            <w:r w:rsidRPr="006A42A7">
              <w:rPr>
                <w:rFonts w:ascii="Times New Roman" w:eastAsia="宋体" w:hAnsi="Times New Roman" w:cs="Times New Roman"/>
                <w:szCs w:val="20"/>
              </w:rPr>
              <w:t>世</w:t>
            </w:r>
            <w:proofErr w:type="gramEnd"/>
            <w:r w:rsidRPr="006A42A7">
              <w:rPr>
                <w:rFonts w:ascii="Times New Roman" w:eastAsia="宋体" w:hAnsi="Times New Roman" w:cs="Times New Roman"/>
                <w:szCs w:val="20"/>
              </w:rPr>
              <w:t>茂</w:t>
            </w:r>
          </w:p>
        </w:tc>
        <w:tc>
          <w:tcPr>
            <w:tcW w:w="719"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618.47</w:t>
            </w:r>
          </w:p>
        </w:tc>
        <w:tc>
          <w:tcPr>
            <w:tcW w:w="1573"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7.81%</w:t>
            </w:r>
          </w:p>
        </w:tc>
      </w:tr>
      <w:tr w:rsidR="006A42A7" w:rsidRPr="006A42A7" w:rsidTr="00FF5C8F">
        <w:trPr>
          <w:trHeight w:val="397"/>
          <w:jc w:val="center"/>
        </w:trPr>
        <w:tc>
          <w:tcPr>
            <w:tcW w:w="410" w:type="pct"/>
            <w:vAlign w:val="center"/>
          </w:tcPr>
          <w:p w:rsidR="006A42A7" w:rsidRPr="006A42A7" w:rsidRDefault="006A42A7" w:rsidP="006A42A7">
            <w:pPr>
              <w:widowControl/>
              <w:jc w:val="center"/>
              <w:rPr>
                <w:rFonts w:ascii="Times New Roman" w:eastAsia="宋体" w:hAnsi="Times New Roman" w:cs="Times New Roman"/>
                <w:color w:val="000000"/>
                <w:kern w:val="0"/>
                <w:szCs w:val="21"/>
                <w:lang w:eastAsia="en-US" w:bidi="en-US"/>
              </w:rPr>
            </w:pPr>
            <w:r w:rsidRPr="006A42A7">
              <w:rPr>
                <w:rFonts w:ascii="Times New Roman" w:eastAsia="宋体" w:hAnsi="Times New Roman" w:cs="Times New Roman"/>
                <w:color w:val="000000"/>
                <w:kern w:val="0"/>
                <w:szCs w:val="21"/>
                <w:lang w:bidi="en-US"/>
              </w:rPr>
              <w:t>5</w:t>
            </w:r>
          </w:p>
        </w:tc>
        <w:tc>
          <w:tcPr>
            <w:tcW w:w="2298" w:type="pct"/>
            <w:vAlign w:val="center"/>
          </w:tcPr>
          <w:p w:rsidR="006A42A7" w:rsidRPr="006A42A7" w:rsidRDefault="006A42A7" w:rsidP="006A42A7">
            <w:pPr>
              <w:widowControl/>
              <w:jc w:val="center"/>
              <w:rPr>
                <w:rFonts w:ascii="楷体" w:eastAsia="楷体" w:hAnsi="楷体" w:cs="Times New Roman"/>
                <w:b/>
                <w:bCs/>
                <w:szCs w:val="20"/>
              </w:rPr>
            </w:pPr>
            <w:proofErr w:type="gramStart"/>
            <w:r w:rsidRPr="006A42A7">
              <w:rPr>
                <w:rFonts w:ascii="楷体" w:eastAsia="楷体" w:hAnsi="楷体" w:cs="Times New Roman" w:hint="eastAsia"/>
                <w:b/>
                <w:bCs/>
                <w:szCs w:val="20"/>
              </w:rPr>
              <w:t>中国奥园集团</w:t>
            </w:r>
            <w:proofErr w:type="gramEnd"/>
            <w:r w:rsidRPr="006A42A7">
              <w:rPr>
                <w:rFonts w:ascii="楷体" w:eastAsia="楷体" w:hAnsi="楷体" w:cs="Times New Roman" w:hint="eastAsia"/>
                <w:b/>
                <w:bCs/>
                <w:szCs w:val="20"/>
              </w:rPr>
              <w:t>股份有限公司</w:t>
            </w:r>
          </w:p>
        </w:tc>
        <w:tc>
          <w:tcPr>
            <w:tcW w:w="719"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235.94</w:t>
            </w:r>
          </w:p>
        </w:tc>
        <w:tc>
          <w:tcPr>
            <w:tcW w:w="1573"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2.98%</w:t>
            </w:r>
          </w:p>
        </w:tc>
      </w:tr>
      <w:tr w:rsidR="006A42A7" w:rsidRPr="006A42A7" w:rsidTr="00FF5C8F">
        <w:trPr>
          <w:trHeight w:val="397"/>
          <w:jc w:val="center"/>
        </w:trPr>
        <w:tc>
          <w:tcPr>
            <w:tcW w:w="2708" w:type="pct"/>
            <w:gridSpan w:val="2"/>
            <w:vAlign w:val="center"/>
          </w:tcPr>
          <w:p w:rsidR="006A42A7" w:rsidRPr="006A42A7" w:rsidRDefault="006A42A7" w:rsidP="006A42A7">
            <w:pPr>
              <w:widowControl/>
              <w:jc w:val="center"/>
              <w:rPr>
                <w:rFonts w:ascii="Times New Roman" w:eastAsia="宋体" w:hAnsi="Times New Roman" w:cs="Times New Roman"/>
                <w:color w:val="000000"/>
                <w:kern w:val="0"/>
                <w:szCs w:val="21"/>
                <w:lang w:eastAsia="en-US" w:bidi="en-US"/>
              </w:rPr>
            </w:pPr>
            <w:r w:rsidRPr="006A42A7">
              <w:rPr>
                <w:rFonts w:ascii="Times New Roman" w:eastAsia="宋体" w:hAnsi="Times New Roman" w:cs="Times New Roman"/>
                <w:color w:val="000000"/>
                <w:kern w:val="0"/>
                <w:szCs w:val="21"/>
                <w:lang w:bidi="en-US"/>
              </w:rPr>
              <w:t>合计</w:t>
            </w:r>
          </w:p>
        </w:tc>
        <w:tc>
          <w:tcPr>
            <w:tcW w:w="719"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5,973.71</w:t>
            </w:r>
          </w:p>
        </w:tc>
        <w:tc>
          <w:tcPr>
            <w:tcW w:w="1573" w:type="pct"/>
            <w:vAlign w:val="center"/>
          </w:tcPr>
          <w:p w:rsidR="006A42A7" w:rsidRPr="006A42A7" w:rsidRDefault="006A42A7" w:rsidP="006A42A7">
            <w:pPr>
              <w:widowControl/>
              <w:jc w:val="right"/>
              <w:rPr>
                <w:rFonts w:ascii="楷体" w:eastAsia="楷体" w:hAnsi="楷体" w:cs="Times New Roman"/>
                <w:b/>
                <w:bCs/>
                <w:szCs w:val="20"/>
              </w:rPr>
            </w:pPr>
            <w:r w:rsidRPr="006A42A7">
              <w:rPr>
                <w:rFonts w:ascii="楷体" w:eastAsia="楷体" w:hAnsi="楷体" w:cs="Times New Roman"/>
                <w:b/>
                <w:bCs/>
                <w:szCs w:val="20"/>
              </w:rPr>
              <w:t>75.44%</w:t>
            </w:r>
          </w:p>
        </w:tc>
      </w:tr>
    </w:tbl>
    <w:bookmarkEnd w:id="7"/>
    <w:bookmarkEnd w:id="8"/>
    <w:p w:rsidR="006A42A7" w:rsidRPr="006A42A7" w:rsidRDefault="006A42A7" w:rsidP="006A42A7">
      <w:pPr>
        <w:spacing w:before="156" w:after="156" w:line="360" w:lineRule="auto"/>
        <w:ind w:firstLineChars="200" w:firstLine="480"/>
        <w:rPr>
          <w:rFonts w:ascii="Times New Roman" w:eastAsia="宋体" w:hAnsi="Times New Roman" w:cs="Times New Roman"/>
          <w:color w:val="000000"/>
          <w:kern w:val="0"/>
          <w:sz w:val="24"/>
          <w:szCs w:val="24"/>
          <w:lang w:bidi="en-US"/>
        </w:rPr>
      </w:pPr>
      <w:r w:rsidRPr="006A42A7">
        <w:rPr>
          <w:rFonts w:ascii="Times New Roman" w:eastAsia="宋体" w:hAnsi="Times New Roman" w:cs="Times New Roman"/>
          <w:color w:val="000000"/>
          <w:kern w:val="0"/>
          <w:sz w:val="24"/>
          <w:szCs w:val="24"/>
          <w:lang w:bidi="en-US"/>
        </w:rPr>
        <w:t>截止</w:t>
      </w:r>
      <w:r w:rsidRPr="006A42A7">
        <w:rPr>
          <w:rFonts w:ascii="楷体" w:eastAsia="楷体" w:hAnsi="楷体" w:cs="Times New Roman" w:hint="eastAsia"/>
          <w:b/>
          <w:bCs/>
          <w:iCs/>
          <w:kern w:val="0"/>
          <w:sz w:val="24"/>
          <w:szCs w:val="24"/>
          <w:lang w:bidi="en-US"/>
        </w:rPr>
        <w:t>2</w:t>
      </w:r>
      <w:r w:rsidRPr="006A42A7">
        <w:rPr>
          <w:rFonts w:ascii="楷体" w:eastAsia="楷体" w:hAnsi="楷体" w:cs="Times New Roman"/>
          <w:b/>
          <w:bCs/>
          <w:iCs/>
          <w:kern w:val="0"/>
          <w:sz w:val="24"/>
          <w:szCs w:val="24"/>
          <w:lang w:bidi="en-US"/>
        </w:rPr>
        <w:t>020</w:t>
      </w:r>
      <w:r w:rsidRPr="006A42A7">
        <w:rPr>
          <w:rFonts w:ascii="楷体" w:eastAsia="楷体" w:hAnsi="楷体" w:cs="Times New Roman" w:hint="eastAsia"/>
          <w:b/>
          <w:bCs/>
          <w:iCs/>
          <w:kern w:val="0"/>
          <w:sz w:val="24"/>
          <w:szCs w:val="24"/>
          <w:lang w:bidi="en-US"/>
        </w:rPr>
        <w:t>年1</w:t>
      </w:r>
      <w:r w:rsidRPr="006A42A7">
        <w:rPr>
          <w:rFonts w:ascii="楷体" w:eastAsia="楷体" w:hAnsi="楷体" w:cs="Times New Roman"/>
          <w:b/>
          <w:bCs/>
          <w:iCs/>
          <w:kern w:val="0"/>
          <w:sz w:val="24"/>
          <w:szCs w:val="24"/>
          <w:lang w:bidi="en-US"/>
        </w:rPr>
        <w:t>2</w:t>
      </w:r>
      <w:r w:rsidRPr="006A42A7">
        <w:rPr>
          <w:rFonts w:ascii="楷体" w:eastAsia="楷体" w:hAnsi="楷体" w:cs="Times New Roman" w:hint="eastAsia"/>
          <w:b/>
          <w:bCs/>
          <w:iCs/>
          <w:kern w:val="0"/>
          <w:sz w:val="24"/>
          <w:szCs w:val="24"/>
          <w:lang w:bidi="en-US"/>
        </w:rPr>
        <w:t>月3</w:t>
      </w:r>
      <w:r w:rsidRPr="006A42A7">
        <w:rPr>
          <w:rFonts w:ascii="楷体" w:eastAsia="楷体" w:hAnsi="楷体" w:cs="Times New Roman"/>
          <w:b/>
          <w:bCs/>
          <w:iCs/>
          <w:kern w:val="0"/>
          <w:sz w:val="24"/>
          <w:szCs w:val="24"/>
          <w:lang w:bidi="en-US"/>
        </w:rPr>
        <w:t>1</w:t>
      </w:r>
      <w:r w:rsidRPr="006A42A7">
        <w:rPr>
          <w:rFonts w:ascii="楷体" w:eastAsia="楷体" w:hAnsi="楷体" w:cs="Times New Roman" w:hint="eastAsia"/>
          <w:b/>
          <w:bCs/>
          <w:iCs/>
          <w:kern w:val="0"/>
          <w:sz w:val="24"/>
          <w:szCs w:val="24"/>
          <w:lang w:bidi="en-US"/>
        </w:rPr>
        <w:t>日</w:t>
      </w:r>
      <w:r w:rsidRPr="006A42A7">
        <w:rPr>
          <w:rFonts w:ascii="Times New Roman" w:eastAsia="宋体" w:hAnsi="Times New Roman" w:cs="Times New Roman"/>
          <w:color w:val="000000"/>
          <w:kern w:val="0"/>
          <w:sz w:val="24"/>
          <w:szCs w:val="24"/>
          <w:lang w:bidi="en-US"/>
        </w:rPr>
        <w:t>，公司存在账龄一年以上应收账款未能收回的原因主要为：第一，公司客户主要为保利、绿地等大型房地产开发商，客户内部付款审批程序较长，同时可能会根据项目的开发进度和对资金的整体安排缓付上游供应商款项，因此行业普遍存在结算周期较长的情况；第二，近年来，随着房地产行业调控政策的深化，房地产行业融资渠道阶段性趋紧、监管趋严、融资成本有所上升，房地产企业加强了资金管控，公司作为房地产企业的设计服务供应商受此影响，销售回款进一步放缓；第三，</w:t>
      </w:r>
      <w:r w:rsidRPr="006A42A7">
        <w:rPr>
          <w:rFonts w:ascii="Times New Roman" w:eastAsia="宋体" w:hAnsi="Times New Roman" w:cs="Times New Roman"/>
          <w:color w:val="000000"/>
          <w:kern w:val="0"/>
          <w:sz w:val="24"/>
          <w:szCs w:val="24"/>
          <w:lang w:bidi="en-US"/>
        </w:rPr>
        <w:t>2020</w:t>
      </w:r>
      <w:r w:rsidRPr="006A42A7">
        <w:rPr>
          <w:rFonts w:ascii="Times New Roman" w:eastAsia="宋体" w:hAnsi="Times New Roman" w:cs="Times New Roman"/>
          <w:color w:val="000000"/>
          <w:kern w:val="0"/>
          <w:sz w:val="24"/>
          <w:szCs w:val="24"/>
          <w:lang w:bidi="en-US"/>
        </w:rPr>
        <w:t>年，房地产行业受疫情冲击，生产经营受到一定影响，进一步使得其回款周期有所延长。</w:t>
      </w:r>
    </w:p>
    <w:p w:rsidR="00776F91" w:rsidRDefault="00776F91" w:rsidP="00E449CC">
      <w:pPr>
        <w:pStyle w:val="a6"/>
        <w:spacing w:before="156" w:after="156"/>
      </w:pPr>
      <w:r>
        <w:rPr>
          <w:rFonts w:hint="eastAsia"/>
        </w:rPr>
        <w:lastRenderedPageBreak/>
        <w:t>（四）</w:t>
      </w:r>
      <w:r w:rsidR="00D63A86" w:rsidRPr="00D63A86">
        <w:t>结合上述事项，以及房地产调控政策、新增住宅开发面积等，对发行人面临的应收账款风险、主营业务风险进行有针对性的充分披露和揭示</w:t>
      </w:r>
    </w:p>
    <w:p w:rsidR="00702311" w:rsidRPr="003945A0" w:rsidRDefault="00702311" w:rsidP="00776F91">
      <w:pPr>
        <w:pStyle w:val="11"/>
        <w:spacing w:before="156" w:after="156"/>
        <w:ind w:firstLine="482"/>
        <w:rPr>
          <w:rFonts w:cs="Times New Roman"/>
          <w:b/>
          <w:bCs/>
        </w:rPr>
      </w:pPr>
      <w:r w:rsidRPr="003945A0">
        <w:rPr>
          <w:rFonts w:cs="Times New Roman"/>
          <w:b/>
          <w:bCs/>
        </w:rPr>
        <w:t>1</w:t>
      </w:r>
      <w:r w:rsidRPr="003945A0">
        <w:rPr>
          <w:rFonts w:cs="Times New Roman"/>
          <w:b/>
          <w:bCs/>
        </w:rPr>
        <w:t>、</w:t>
      </w:r>
      <w:r w:rsidR="003945A0" w:rsidRPr="003945A0">
        <w:rPr>
          <w:rFonts w:cs="Times New Roman"/>
          <w:b/>
          <w:bCs/>
        </w:rPr>
        <w:t>近年来房地产调控政策情况</w:t>
      </w:r>
    </w:p>
    <w:p w:rsidR="000D3481" w:rsidRPr="003945A0" w:rsidRDefault="000D3481" w:rsidP="00903E66">
      <w:pPr>
        <w:topLinePunct/>
        <w:adjustRightInd w:val="0"/>
        <w:snapToGrid w:val="0"/>
        <w:spacing w:beforeLines="50" w:before="156" w:line="360" w:lineRule="auto"/>
        <w:ind w:firstLineChars="200" w:firstLine="480"/>
        <w:rPr>
          <w:rFonts w:ascii="Times New Roman" w:eastAsia="宋体" w:hAnsi="Times New Roman" w:cs="Times New Roman"/>
          <w:bCs/>
          <w:sz w:val="24"/>
        </w:rPr>
      </w:pPr>
      <w:r w:rsidRPr="003945A0">
        <w:rPr>
          <w:rFonts w:ascii="Times New Roman" w:eastAsia="宋体" w:hAnsi="Times New Roman" w:cs="Times New Roman"/>
          <w:bCs/>
          <w:sz w:val="24"/>
        </w:rPr>
        <w:t>长期以来，我国政府针对房地产行业出台了一系列调控政策，</w:t>
      </w:r>
      <w:r w:rsidRPr="00CB4215">
        <w:rPr>
          <w:rFonts w:ascii="宋体" w:eastAsia="宋体" w:hAnsi="宋体" w:cs="Times New Roman"/>
          <w:bCs/>
          <w:sz w:val="24"/>
        </w:rPr>
        <w:t>在</w:t>
      </w:r>
      <w:r w:rsidR="00CB4215" w:rsidRPr="00CB4215">
        <w:rPr>
          <w:rFonts w:ascii="宋体" w:eastAsia="宋体" w:hAnsi="宋体" w:cs="Times New Roman"/>
          <w:bCs/>
          <w:sz w:val="24"/>
        </w:rPr>
        <w:t>“</w:t>
      </w:r>
      <w:r w:rsidRPr="00CB4215">
        <w:rPr>
          <w:rFonts w:ascii="宋体" w:eastAsia="宋体" w:hAnsi="宋体" w:cs="Times New Roman"/>
          <w:bCs/>
          <w:sz w:val="24"/>
        </w:rPr>
        <w:t>不将房地产作为短期刺激经济的手段”的主基调指引下，各地坚持“房子是用来住的、不是用来炒的”这一定位，按照“稳地价、稳房价、稳预期”要求，保持调控政策连续性、稳定性和一致性，落实“因城施策”、差别调控的综合措施，完善房地</w:t>
      </w:r>
      <w:r w:rsidRPr="003945A0">
        <w:rPr>
          <w:rFonts w:ascii="Times New Roman" w:eastAsia="宋体" w:hAnsi="Times New Roman" w:cs="Times New Roman"/>
          <w:bCs/>
          <w:sz w:val="24"/>
        </w:rPr>
        <w:t>产长效管理机制，市场预期进一步回归理性。</w:t>
      </w:r>
    </w:p>
    <w:p w:rsidR="000D3481" w:rsidRPr="003945A0" w:rsidRDefault="000D3481" w:rsidP="00903E66">
      <w:pPr>
        <w:topLinePunct/>
        <w:adjustRightInd w:val="0"/>
        <w:snapToGrid w:val="0"/>
        <w:spacing w:beforeLines="50" w:before="156" w:line="360" w:lineRule="auto"/>
        <w:ind w:firstLineChars="200" w:firstLine="480"/>
        <w:rPr>
          <w:rFonts w:ascii="Times New Roman" w:eastAsia="宋体" w:hAnsi="Times New Roman" w:cs="Times New Roman"/>
          <w:bCs/>
          <w:sz w:val="24"/>
        </w:rPr>
      </w:pPr>
      <w:r w:rsidRPr="000D3481">
        <w:rPr>
          <w:rFonts w:ascii="Times New Roman" w:eastAsia="宋体" w:hAnsi="Times New Roman" w:cs="Times New Roman"/>
          <w:bCs/>
          <w:iCs/>
          <w:kern w:val="0"/>
          <w:sz w:val="24"/>
          <w:szCs w:val="24"/>
          <w:lang w:bidi="en-US"/>
        </w:rPr>
        <w:t>2018</w:t>
      </w:r>
      <w:r w:rsidRPr="000D3481">
        <w:rPr>
          <w:rFonts w:ascii="Times New Roman" w:eastAsia="宋体" w:hAnsi="Times New Roman" w:cs="Times New Roman"/>
          <w:bCs/>
          <w:iCs/>
          <w:kern w:val="0"/>
          <w:sz w:val="24"/>
          <w:szCs w:val="24"/>
          <w:lang w:bidi="en-US"/>
        </w:rPr>
        <w:t>年</w:t>
      </w:r>
      <w:r w:rsidRPr="000D3481">
        <w:rPr>
          <w:rFonts w:ascii="Times New Roman" w:eastAsia="宋体" w:hAnsi="Times New Roman" w:cs="Times New Roman"/>
          <w:bCs/>
          <w:iCs/>
          <w:kern w:val="0"/>
          <w:sz w:val="24"/>
          <w:szCs w:val="24"/>
          <w:lang w:bidi="en-US"/>
        </w:rPr>
        <w:t>4</w:t>
      </w:r>
      <w:r w:rsidRPr="000D3481">
        <w:rPr>
          <w:rFonts w:ascii="Times New Roman" w:eastAsia="宋体" w:hAnsi="Times New Roman" w:cs="Times New Roman"/>
          <w:bCs/>
          <w:iCs/>
          <w:kern w:val="0"/>
          <w:sz w:val="24"/>
          <w:szCs w:val="24"/>
          <w:lang w:bidi="en-US"/>
        </w:rPr>
        <w:t>月央行、银保监会、证监会、外汇局联合发布《关于规范金融机构资产管理业务的指导意见》</w:t>
      </w:r>
      <w:r w:rsidRPr="00CB4215">
        <w:rPr>
          <w:rFonts w:ascii="宋体" w:eastAsia="宋体" w:hAnsi="宋体" w:cs="Times New Roman"/>
          <w:bCs/>
          <w:iCs/>
          <w:kern w:val="0"/>
          <w:sz w:val="24"/>
          <w:szCs w:val="24"/>
          <w:lang w:bidi="en-US"/>
        </w:rPr>
        <w:t>（“资管新规”</w:t>
      </w:r>
      <w:r w:rsidRPr="000D3481">
        <w:rPr>
          <w:rFonts w:ascii="Times New Roman" w:eastAsia="宋体" w:hAnsi="Times New Roman" w:cs="Times New Roman"/>
          <w:bCs/>
          <w:iCs/>
          <w:kern w:val="0"/>
          <w:sz w:val="24"/>
          <w:szCs w:val="24"/>
          <w:lang w:bidi="en-US"/>
        </w:rPr>
        <w:t>），</w:t>
      </w:r>
      <w:r w:rsidRPr="000D3481">
        <w:rPr>
          <w:rFonts w:ascii="Times New Roman" w:eastAsia="宋体" w:hAnsi="Times New Roman" w:cs="Times New Roman"/>
          <w:bCs/>
          <w:iCs/>
          <w:kern w:val="0"/>
          <w:sz w:val="24"/>
          <w:szCs w:val="24"/>
          <w:lang w:bidi="en-US"/>
        </w:rPr>
        <w:t>2019</w:t>
      </w:r>
      <w:r w:rsidRPr="000D3481">
        <w:rPr>
          <w:rFonts w:ascii="Times New Roman" w:eastAsia="宋体" w:hAnsi="Times New Roman" w:cs="Times New Roman"/>
          <w:bCs/>
          <w:iCs/>
          <w:kern w:val="0"/>
          <w:sz w:val="24"/>
          <w:szCs w:val="24"/>
          <w:lang w:bidi="en-US"/>
        </w:rPr>
        <w:t>年</w:t>
      </w:r>
      <w:r w:rsidRPr="000D3481">
        <w:rPr>
          <w:rFonts w:ascii="Times New Roman" w:eastAsia="宋体" w:hAnsi="Times New Roman" w:cs="Times New Roman"/>
          <w:bCs/>
          <w:iCs/>
          <w:kern w:val="0"/>
          <w:sz w:val="24"/>
          <w:szCs w:val="24"/>
          <w:lang w:bidi="en-US"/>
        </w:rPr>
        <w:t>5</w:t>
      </w:r>
      <w:r w:rsidRPr="000D3481">
        <w:rPr>
          <w:rFonts w:ascii="Times New Roman" w:eastAsia="宋体" w:hAnsi="Times New Roman" w:cs="Times New Roman"/>
          <w:bCs/>
          <w:iCs/>
          <w:kern w:val="0"/>
          <w:sz w:val="24"/>
          <w:szCs w:val="24"/>
          <w:lang w:bidi="en-US"/>
        </w:rPr>
        <w:t>月银保监会发布《关于开展</w:t>
      </w:r>
      <w:r w:rsidRPr="000D3481">
        <w:rPr>
          <w:rFonts w:ascii="Times New Roman" w:eastAsia="宋体" w:hAnsi="Times New Roman" w:cs="Times New Roman"/>
          <w:bCs/>
          <w:iCs/>
          <w:kern w:val="0"/>
          <w:sz w:val="24"/>
          <w:szCs w:val="24"/>
          <w:lang w:bidi="en-US"/>
        </w:rPr>
        <w:t>“</w:t>
      </w:r>
      <w:r w:rsidRPr="000D3481">
        <w:rPr>
          <w:rFonts w:ascii="Times New Roman" w:eastAsia="宋体" w:hAnsi="Times New Roman" w:cs="Times New Roman"/>
          <w:bCs/>
          <w:iCs/>
          <w:kern w:val="0"/>
          <w:sz w:val="24"/>
          <w:szCs w:val="24"/>
          <w:lang w:bidi="en-US"/>
        </w:rPr>
        <w:t>巩固治乱象成果</w:t>
      </w:r>
      <w:r w:rsidRPr="000D3481">
        <w:rPr>
          <w:rFonts w:ascii="Times New Roman" w:eastAsia="宋体" w:hAnsi="Times New Roman" w:cs="Times New Roman"/>
          <w:bCs/>
          <w:iCs/>
          <w:kern w:val="0"/>
          <w:sz w:val="24"/>
          <w:szCs w:val="24"/>
          <w:lang w:bidi="en-US"/>
        </w:rPr>
        <w:t xml:space="preserve"> </w:t>
      </w:r>
      <w:r w:rsidRPr="000D3481">
        <w:rPr>
          <w:rFonts w:ascii="Times New Roman" w:eastAsia="宋体" w:hAnsi="Times New Roman" w:cs="Times New Roman"/>
          <w:bCs/>
          <w:iCs/>
          <w:kern w:val="0"/>
          <w:sz w:val="24"/>
          <w:szCs w:val="24"/>
          <w:lang w:bidi="en-US"/>
        </w:rPr>
        <w:t>促进合规建设</w:t>
      </w:r>
      <w:r w:rsidRPr="000D3481">
        <w:rPr>
          <w:rFonts w:ascii="Times New Roman" w:eastAsia="宋体" w:hAnsi="Times New Roman" w:cs="Times New Roman"/>
          <w:bCs/>
          <w:iCs/>
          <w:kern w:val="0"/>
          <w:sz w:val="24"/>
          <w:szCs w:val="24"/>
          <w:lang w:bidi="en-US"/>
        </w:rPr>
        <w:t>”</w:t>
      </w:r>
      <w:r w:rsidRPr="000D3481">
        <w:rPr>
          <w:rFonts w:ascii="Times New Roman" w:eastAsia="宋体" w:hAnsi="Times New Roman" w:cs="Times New Roman"/>
          <w:bCs/>
          <w:iCs/>
          <w:kern w:val="0"/>
          <w:sz w:val="24"/>
          <w:szCs w:val="24"/>
          <w:lang w:bidi="en-US"/>
        </w:rPr>
        <w:t>工作的通知》</w:t>
      </w:r>
      <w:r w:rsidRPr="00CB4215">
        <w:rPr>
          <w:rFonts w:ascii="宋体" w:eastAsia="宋体" w:hAnsi="宋体" w:cs="Times New Roman"/>
          <w:bCs/>
          <w:iCs/>
          <w:kern w:val="0"/>
          <w:sz w:val="24"/>
          <w:szCs w:val="24"/>
          <w:lang w:bidi="en-US"/>
        </w:rPr>
        <w:t>（“</w:t>
      </w:r>
      <w:r w:rsidRPr="00CB4215">
        <w:rPr>
          <w:rFonts w:ascii="Times New Roman" w:eastAsia="宋体" w:hAnsi="Times New Roman" w:cs="Times New Roman"/>
          <w:bCs/>
          <w:iCs/>
          <w:kern w:val="0"/>
          <w:sz w:val="24"/>
          <w:szCs w:val="24"/>
          <w:lang w:bidi="en-US"/>
        </w:rPr>
        <w:t>23</w:t>
      </w:r>
      <w:r w:rsidRPr="00CB4215">
        <w:rPr>
          <w:rFonts w:ascii="宋体" w:eastAsia="宋体" w:hAnsi="宋体" w:cs="Times New Roman"/>
          <w:bCs/>
          <w:iCs/>
          <w:kern w:val="0"/>
          <w:sz w:val="24"/>
          <w:szCs w:val="24"/>
          <w:lang w:bidi="en-US"/>
        </w:rPr>
        <w:t>号文”）</w:t>
      </w:r>
      <w:r w:rsidRPr="000D3481">
        <w:rPr>
          <w:rFonts w:ascii="Times New Roman" w:eastAsia="宋体" w:hAnsi="Times New Roman" w:cs="Times New Roman"/>
          <w:bCs/>
          <w:iCs/>
          <w:kern w:val="0"/>
          <w:sz w:val="24"/>
          <w:szCs w:val="24"/>
          <w:lang w:bidi="en-US"/>
        </w:rPr>
        <w:t>等，上述政策从限制房地产企业融资规模、增加保障性住房和普通商品住房有效供给、抑制投资投机性购房需求、促进供应土地的及时开发利用等多个方面进行调控。同时，政府推出的限购、提高交易税费等短期调控政策，也直接影响了商品住宅的短期需求，一定程度上造成了房地产市场成交量的下降。</w:t>
      </w:r>
    </w:p>
    <w:p w:rsidR="000D3481" w:rsidRPr="003945A0" w:rsidRDefault="003945A0" w:rsidP="00903E66">
      <w:pPr>
        <w:topLinePunct/>
        <w:adjustRightInd w:val="0"/>
        <w:snapToGrid w:val="0"/>
        <w:spacing w:beforeLines="50" w:before="156" w:line="360" w:lineRule="auto"/>
        <w:ind w:firstLineChars="200" w:firstLine="480"/>
        <w:rPr>
          <w:rFonts w:ascii="Times New Roman" w:eastAsia="宋体" w:hAnsi="Times New Roman" w:cs="Times New Roman"/>
          <w:bCs/>
          <w:sz w:val="24"/>
        </w:rPr>
      </w:pPr>
      <w:r w:rsidRPr="003945A0">
        <w:rPr>
          <w:rFonts w:ascii="Times New Roman" w:eastAsia="宋体" w:hAnsi="Times New Roman" w:cs="Times New Roman"/>
          <w:bCs/>
          <w:sz w:val="24"/>
        </w:rPr>
        <w:t>同时，</w:t>
      </w:r>
      <w:r w:rsidRPr="003945A0">
        <w:rPr>
          <w:rFonts w:ascii="Times New Roman" w:eastAsia="宋体" w:hAnsi="Times New Roman" w:cs="Times New Roman"/>
          <w:bCs/>
          <w:sz w:val="24"/>
        </w:rPr>
        <w:t>2020</w:t>
      </w:r>
      <w:r w:rsidRPr="003945A0">
        <w:rPr>
          <w:rFonts w:ascii="Times New Roman" w:eastAsia="宋体" w:hAnsi="Times New Roman" w:cs="Times New Roman"/>
          <w:bCs/>
          <w:sz w:val="24"/>
        </w:rPr>
        <w:t>年</w:t>
      </w:r>
      <w:r w:rsidRPr="003945A0">
        <w:rPr>
          <w:rFonts w:ascii="Times New Roman" w:eastAsia="宋体" w:hAnsi="Times New Roman" w:cs="Times New Roman"/>
          <w:bCs/>
          <w:sz w:val="24"/>
        </w:rPr>
        <w:t>8</w:t>
      </w:r>
      <w:r w:rsidRPr="003945A0">
        <w:rPr>
          <w:rFonts w:ascii="Times New Roman" w:eastAsia="宋体" w:hAnsi="Times New Roman" w:cs="Times New Roman"/>
          <w:bCs/>
          <w:sz w:val="24"/>
        </w:rPr>
        <w:t>月，监管部门出台房地产融资新</w:t>
      </w:r>
      <w:proofErr w:type="gramStart"/>
      <w:r w:rsidRPr="003945A0">
        <w:rPr>
          <w:rFonts w:ascii="Times New Roman" w:eastAsia="宋体" w:hAnsi="Times New Roman" w:cs="Times New Roman"/>
          <w:bCs/>
          <w:sz w:val="24"/>
        </w:rPr>
        <w:t>规</w:t>
      </w:r>
      <w:proofErr w:type="gramEnd"/>
      <w:r w:rsidRPr="003945A0">
        <w:rPr>
          <w:rFonts w:ascii="Times New Roman" w:eastAsia="宋体" w:hAnsi="Times New Roman" w:cs="Times New Roman"/>
          <w:bCs/>
          <w:sz w:val="24"/>
        </w:rPr>
        <w:t>，设置</w:t>
      </w:r>
      <w:r w:rsidRPr="003945A0">
        <w:rPr>
          <w:rFonts w:ascii="Times New Roman" w:eastAsia="宋体" w:hAnsi="Times New Roman" w:cs="Times New Roman"/>
          <w:bCs/>
          <w:sz w:val="24"/>
        </w:rPr>
        <w:t>“</w:t>
      </w:r>
      <w:r w:rsidRPr="003945A0">
        <w:rPr>
          <w:rFonts w:ascii="Times New Roman" w:eastAsia="宋体" w:hAnsi="Times New Roman" w:cs="Times New Roman"/>
          <w:bCs/>
          <w:sz w:val="24"/>
        </w:rPr>
        <w:t>三道红线</w:t>
      </w:r>
      <w:r w:rsidRPr="003945A0">
        <w:rPr>
          <w:rFonts w:ascii="Times New Roman" w:eastAsia="宋体" w:hAnsi="Times New Roman" w:cs="Times New Roman"/>
          <w:bCs/>
          <w:sz w:val="24"/>
        </w:rPr>
        <w:t>”</w:t>
      </w:r>
      <w:r w:rsidRPr="003945A0">
        <w:rPr>
          <w:rFonts w:ascii="Times New Roman" w:eastAsia="宋体" w:hAnsi="Times New Roman" w:cs="Times New Roman"/>
          <w:bCs/>
          <w:sz w:val="24"/>
        </w:rPr>
        <w:t>控制房地产企业有息债务的增长，旨在保障地产行业的持续健康发展，通过</w:t>
      </w:r>
      <w:proofErr w:type="gramStart"/>
      <w:r w:rsidRPr="003945A0">
        <w:rPr>
          <w:rFonts w:ascii="Times New Roman" w:eastAsia="宋体" w:hAnsi="Times New Roman" w:cs="Times New Roman"/>
          <w:bCs/>
          <w:sz w:val="24"/>
        </w:rPr>
        <w:t>控制房企有息</w:t>
      </w:r>
      <w:proofErr w:type="gramEnd"/>
      <w:r w:rsidRPr="003945A0">
        <w:rPr>
          <w:rFonts w:ascii="Times New Roman" w:eastAsia="宋体" w:hAnsi="Times New Roman" w:cs="Times New Roman"/>
          <w:bCs/>
          <w:sz w:val="24"/>
        </w:rPr>
        <w:t>负债规模增长速度，对地产行业融资供给进行结构性调</w:t>
      </w:r>
      <w:r w:rsidRPr="006A42A7">
        <w:rPr>
          <w:rFonts w:ascii="宋体" w:eastAsia="宋体" w:hAnsi="宋体" w:cs="Times New Roman"/>
          <w:bCs/>
          <w:sz w:val="24"/>
        </w:rPr>
        <w:t>控。</w:t>
      </w:r>
      <w:r w:rsidR="00B209D7" w:rsidRPr="006A42A7">
        <w:rPr>
          <w:rFonts w:ascii="宋体" w:eastAsia="宋体" w:hAnsi="宋体" w:cs="Times New Roman"/>
          <w:bCs/>
          <w:sz w:val="24"/>
        </w:rPr>
        <w:t>2020年12月31日，央行、银保监会公布《关于建立银行业金融机构房地产贷款集中度管理制度的通知》，分档设置房地产贷款余额占比和个人住房贷款余额占比两个上限，从资金供给端进一步限制</w:t>
      </w:r>
      <w:r w:rsidR="00B209D7" w:rsidRPr="006A42A7">
        <w:rPr>
          <w:rFonts w:ascii="宋体" w:eastAsia="宋体" w:hAnsi="宋体" w:cs="Times New Roman" w:hint="eastAsia"/>
          <w:bCs/>
          <w:sz w:val="24"/>
        </w:rPr>
        <w:t>。</w:t>
      </w:r>
    </w:p>
    <w:p w:rsidR="003945A0" w:rsidRPr="003945A0" w:rsidRDefault="003945A0" w:rsidP="00903E66">
      <w:pPr>
        <w:topLinePunct/>
        <w:adjustRightInd w:val="0"/>
        <w:snapToGrid w:val="0"/>
        <w:spacing w:beforeLines="50" w:before="156" w:line="360" w:lineRule="auto"/>
        <w:ind w:firstLineChars="200" w:firstLine="482"/>
        <w:rPr>
          <w:rFonts w:ascii="Times New Roman" w:eastAsia="宋体" w:hAnsi="Times New Roman" w:cs="Times New Roman"/>
          <w:b/>
          <w:sz w:val="24"/>
        </w:rPr>
      </w:pPr>
      <w:r w:rsidRPr="003945A0">
        <w:rPr>
          <w:rFonts w:ascii="Times New Roman" w:eastAsia="宋体" w:hAnsi="Times New Roman" w:cs="Times New Roman"/>
          <w:b/>
          <w:sz w:val="24"/>
        </w:rPr>
        <w:t>2</w:t>
      </w:r>
      <w:r w:rsidRPr="003945A0">
        <w:rPr>
          <w:rFonts w:ascii="Times New Roman" w:eastAsia="宋体" w:hAnsi="Times New Roman" w:cs="Times New Roman"/>
          <w:b/>
          <w:sz w:val="24"/>
        </w:rPr>
        <w:t>、结合房地产开发投资额、新增住宅开发面积等，近年来房地产行业发展情况</w:t>
      </w:r>
    </w:p>
    <w:p w:rsidR="000D3481" w:rsidRPr="003945A0" w:rsidRDefault="000D3481" w:rsidP="00903E66">
      <w:pPr>
        <w:topLinePunct/>
        <w:adjustRightInd w:val="0"/>
        <w:snapToGrid w:val="0"/>
        <w:spacing w:beforeLines="50" w:before="156" w:line="360" w:lineRule="auto"/>
        <w:ind w:firstLineChars="200" w:firstLine="480"/>
        <w:rPr>
          <w:rFonts w:ascii="Times New Roman" w:eastAsia="宋体" w:hAnsi="Times New Roman" w:cs="Times New Roman"/>
          <w:bCs/>
          <w:sz w:val="24"/>
        </w:rPr>
      </w:pPr>
      <w:r w:rsidRPr="003945A0">
        <w:rPr>
          <w:rFonts w:ascii="Times New Roman" w:eastAsia="宋体" w:hAnsi="Times New Roman" w:cs="Times New Roman"/>
          <w:bCs/>
          <w:sz w:val="24"/>
        </w:rPr>
        <w:t>近年来，房地产行业在国家调控政策的引导下保持了健康稳定的发展。</w:t>
      </w:r>
      <w:r w:rsidRPr="003945A0">
        <w:rPr>
          <w:rFonts w:ascii="Times New Roman" w:eastAsia="宋体" w:hAnsi="Times New Roman" w:cs="Times New Roman"/>
          <w:bCs/>
          <w:sz w:val="24"/>
          <w:u w:color="000000"/>
        </w:rPr>
        <w:t>2017</w:t>
      </w:r>
      <w:r w:rsidRPr="003945A0">
        <w:rPr>
          <w:rFonts w:ascii="Times New Roman" w:eastAsia="宋体" w:hAnsi="Times New Roman" w:cs="Times New Roman"/>
          <w:bCs/>
          <w:sz w:val="24"/>
          <w:u w:color="000000"/>
        </w:rPr>
        <w:t>年至</w:t>
      </w:r>
      <w:r w:rsidRPr="003945A0">
        <w:rPr>
          <w:rFonts w:ascii="Times New Roman" w:eastAsia="宋体" w:hAnsi="Times New Roman" w:cs="Times New Roman"/>
          <w:bCs/>
          <w:sz w:val="24"/>
          <w:u w:color="000000"/>
        </w:rPr>
        <w:t>2019</w:t>
      </w:r>
      <w:r w:rsidRPr="003945A0">
        <w:rPr>
          <w:rFonts w:ascii="Times New Roman" w:eastAsia="宋体" w:hAnsi="Times New Roman" w:cs="Times New Roman"/>
          <w:bCs/>
          <w:sz w:val="24"/>
          <w:u w:color="000000"/>
        </w:rPr>
        <w:t>年，全国房地产开发投资额分别为</w:t>
      </w:r>
      <w:r w:rsidRPr="003945A0">
        <w:rPr>
          <w:rFonts w:ascii="Times New Roman" w:eastAsia="宋体" w:hAnsi="Times New Roman" w:cs="Times New Roman"/>
          <w:bCs/>
          <w:sz w:val="24"/>
          <w:u w:color="000000"/>
        </w:rPr>
        <w:t>109,798.53</w:t>
      </w:r>
      <w:r w:rsidRPr="003945A0">
        <w:rPr>
          <w:rFonts w:ascii="Times New Roman" w:eastAsia="宋体" w:hAnsi="Times New Roman" w:cs="Times New Roman"/>
          <w:bCs/>
          <w:sz w:val="24"/>
          <w:u w:color="000000"/>
        </w:rPr>
        <w:t>亿元、</w:t>
      </w:r>
      <w:r w:rsidRPr="003945A0">
        <w:rPr>
          <w:rFonts w:ascii="Times New Roman" w:eastAsia="宋体" w:hAnsi="Times New Roman" w:cs="Times New Roman"/>
          <w:bCs/>
          <w:sz w:val="24"/>
          <w:u w:color="000000"/>
        </w:rPr>
        <w:t>120,263.51</w:t>
      </w:r>
      <w:r w:rsidRPr="003945A0">
        <w:rPr>
          <w:rFonts w:ascii="Times New Roman" w:eastAsia="宋体" w:hAnsi="Times New Roman" w:cs="Times New Roman"/>
          <w:bCs/>
          <w:sz w:val="24"/>
          <w:u w:color="000000"/>
        </w:rPr>
        <w:t>亿元和</w:t>
      </w:r>
      <w:r w:rsidRPr="003945A0">
        <w:rPr>
          <w:rFonts w:ascii="Times New Roman" w:eastAsia="宋体" w:hAnsi="Times New Roman" w:cs="Times New Roman"/>
          <w:bCs/>
          <w:sz w:val="24"/>
          <w:u w:color="000000"/>
        </w:rPr>
        <w:t>132,194.00</w:t>
      </w:r>
      <w:r w:rsidRPr="003945A0">
        <w:rPr>
          <w:rFonts w:ascii="Times New Roman" w:eastAsia="宋体" w:hAnsi="Times New Roman" w:cs="Times New Roman"/>
          <w:bCs/>
          <w:sz w:val="24"/>
          <w:u w:color="000000"/>
        </w:rPr>
        <w:t>亿元，同比增长分别为</w:t>
      </w:r>
      <w:r w:rsidRPr="003945A0">
        <w:rPr>
          <w:rFonts w:ascii="Times New Roman" w:eastAsia="宋体" w:hAnsi="Times New Roman" w:cs="Times New Roman"/>
          <w:bCs/>
          <w:sz w:val="24"/>
          <w:u w:color="000000"/>
        </w:rPr>
        <w:t>7.04%</w:t>
      </w:r>
      <w:r w:rsidRPr="003945A0">
        <w:rPr>
          <w:rFonts w:ascii="Times New Roman" w:eastAsia="宋体" w:hAnsi="Times New Roman" w:cs="Times New Roman"/>
          <w:bCs/>
          <w:sz w:val="24"/>
          <w:u w:color="000000"/>
        </w:rPr>
        <w:t>、</w:t>
      </w:r>
      <w:r w:rsidRPr="003945A0">
        <w:rPr>
          <w:rFonts w:ascii="Times New Roman" w:eastAsia="宋体" w:hAnsi="Times New Roman" w:cs="Times New Roman"/>
          <w:bCs/>
          <w:sz w:val="24"/>
          <w:u w:color="000000"/>
        </w:rPr>
        <w:t>9.53%</w:t>
      </w:r>
      <w:r w:rsidRPr="003945A0">
        <w:rPr>
          <w:rFonts w:ascii="Times New Roman" w:eastAsia="宋体" w:hAnsi="Times New Roman" w:cs="Times New Roman"/>
          <w:bCs/>
          <w:sz w:val="24"/>
          <w:u w:color="000000"/>
        </w:rPr>
        <w:t>和</w:t>
      </w:r>
      <w:r w:rsidRPr="003945A0">
        <w:rPr>
          <w:rFonts w:ascii="Times New Roman" w:eastAsia="宋体" w:hAnsi="Times New Roman" w:cs="Times New Roman"/>
          <w:bCs/>
          <w:sz w:val="24"/>
          <w:u w:color="000000"/>
        </w:rPr>
        <w:t>9.92%</w:t>
      </w:r>
      <w:r w:rsidRPr="003945A0">
        <w:rPr>
          <w:rFonts w:ascii="Times New Roman" w:eastAsia="宋体" w:hAnsi="Times New Roman" w:cs="Times New Roman"/>
          <w:bCs/>
          <w:sz w:val="24"/>
          <w:u w:color="000000"/>
        </w:rPr>
        <w:t>；其中，住宅投资额分别为</w:t>
      </w:r>
      <w:r w:rsidRPr="003945A0">
        <w:rPr>
          <w:rFonts w:ascii="Times New Roman" w:eastAsia="宋体" w:hAnsi="Times New Roman" w:cs="Times New Roman"/>
          <w:bCs/>
          <w:sz w:val="24"/>
          <w:u w:color="000000"/>
        </w:rPr>
        <w:t>75,147.88</w:t>
      </w:r>
      <w:r w:rsidRPr="003945A0">
        <w:rPr>
          <w:rFonts w:ascii="Times New Roman" w:eastAsia="宋体" w:hAnsi="Times New Roman" w:cs="Times New Roman"/>
          <w:bCs/>
          <w:sz w:val="24"/>
          <w:u w:color="000000"/>
        </w:rPr>
        <w:t>亿元、</w:t>
      </w:r>
      <w:r w:rsidRPr="003945A0">
        <w:rPr>
          <w:rFonts w:ascii="Times New Roman" w:eastAsia="宋体" w:hAnsi="Times New Roman" w:cs="Times New Roman"/>
          <w:bCs/>
          <w:sz w:val="24"/>
          <w:u w:color="000000"/>
        </w:rPr>
        <w:t>85,192.25</w:t>
      </w:r>
      <w:r w:rsidRPr="003945A0">
        <w:rPr>
          <w:rFonts w:ascii="Times New Roman" w:eastAsia="宋体" w:hAnsi="Times New Roman" w:cs="Times New Roman"/>
          <w:bCs/>
          <w:sz w:val="24"/>
          <w:u w:color="000000"/>
        </w:rPr>
        <w:t>亿元和</w:t>
      </w:r>
      <w:r w:rsidRPr="003945A0">
        <w:rPr>
          <w:rFonts w:ascii="Times New Roman" w:eastAsia="宋体" w:hAnsi="Times New Roman" w:cs="Times New Roman"/>
          <w:bCs/>
          <w:sz w:val="24"/>
          <w:u w:color="000000"/>
        </w:rPr>
        <w:t>97,071.00</w:t>
      </w:r>
      <w:r w:rsidRPr="003945A0">
        <w:rPr>
          <w:rFonts w:ascii="Times New Roman" w:eastAsia="宋体" w:hAnsi="Times New Roman" w:cs="Times New Roman"/>
          <w:bCs/>
          <w:sz w:val="24"/>
          <w:u w:color="000000"/>
        </w:rPr>
        <w:t>亿元，同比增长分别为</w:t>
      </w:r>
      <w:r w:rsidRPr="003945A0">
        <w:rPr>
          <w:rFonts w:ascii="Times New Roman" w:eastAsia="宋体" w:hAnsi="Times New Roman" w:cs="Times New Roman"/>
          <w:bCs/>
          <w:sz w:val="24"/>
          <w:u w:color="000000"/>
        </w:rPr>
        <w:t>9.38%</w:t>
      </w:r>
      <w:r w:rsidRPr="003945A0">
        <w:rPr>
          <w:rFonts w:ascii="Times New Roman" w:eastAsia="宋体" w:hAnsi="Times New Roman" w:cs="Times New Roman"/>
          <w:bCs/>
          <w:sz w:val="24"/>
          <w:u w:color="000000"/>
        </w:rPr>
        <w:t>、</w:t>
      </w:r>
      <w:r w:rsidRPr="003945A0">
        <w:rPr>
          <w:rFonts w:ascii="Times New Roman" w:eastAsia="宋体" w:hAnsi="Times New Roman" w:cs="Times New Roman"/>
          <w:bCs/>
          <w:sz w:val="24"/>
          <w:u w:color="000000"/>
        </w:rPr>
        <w:t>13.37%</w:t>
      </w:r>
      <w:r w:rsidRPr="003945A0">
        <w:rPr>
          <w:rFonts w:ascii="Times New Roman" w:eastAsia="宋体" w:hAnsi="Times New Roman" w:cs="Times New Roman"/>
          <w:bCs/>
          <w:sz w:val="24"/>
          <w:u w:color="000000"/>
        </w:rPr>
        <w:t>和</w:t>
      </w:r>
      <w:r w:rsidRPr="003945A0">
        <w:rPr>
          <w:rFonts w:ascii="Times New Roman" w:eastAsia="宋体" w:hAnsi="Times New Roman" w:cs="Times New Roman"/>
          <w:bCs/>
          <w:sz w:val="24"/>
          <w:u w:color="000000"/>
        </w:rPr>
        <w:t>13.94%</w:t>
      </w:r>
      <w:r w:rsidRPr="003945A0">
        <w:rPr>
          <w:rFonts w:ascii="Times New Roman" w:eastAsia="宋体" w:hAnsi="Times New Roman" w:cs="Times New Roman"/>
          <w:bCs/>
          <w:sz w:val="24"/>
          <w:u w:color="000000"/>
        </w:rPr>
        <w:t>，全国房地产开发投资与住宅地产开发整体呈现稳定增长态势。</w:t>
      </w:r>
      <w:r w:rsidR="00B209D7" w:rsidRPr="00BA2408">
        <w:rPr>
          <w:rFonts w:ascii="楷体" w:eastAsia="楷体" w:hAnsi="楷体" w:hint="eastAsia"/>
          <w:b/>
          <w:bCs/>
          <w:iCs/>
          <w:kern w:val="0"/>
          <w:sz w:val="24"/>
          <w:szCs w:val="24"/>
          <w:lang w:bidi="en-US"/>
        </w:rPr>
        <w:lastRenderedPageBreak/>
        <w:t>2</w:t>
      </w:r>
      <w:r w:rsidR="00B209D7" w:rsidRPr="00BA2408">
        <w:rPr>
          <w:rFonts w:ascii="楷体" w:eastAsia="楷体" w:hAnsi="楷体"/>
          <w:b/>
          <w:bCs/>
          <w:iCs/>
          <w:kern w:val="0"/>
          <w:sz w:val="24"/>
          <w:szCs w:val="24"/>
          <w:lang w:bidi="en-US"/>
        </w:rPr>
        <w:t>020</w:t>
      </w:r>
      <w:r w:rsidR="00B209D7" w:rsidRPr="00BA2408">
        <w:rPr>
          <w:rFonts w:ascii="楷体" w:eastAsia="楷体" w:hAnsi="楷体" w:hint="eastAsia"/>
          <w:b/>
          <w:bCs/>
          <w:iCs/>
          <w:kern w:val="0"/>
          <w:sz w:val="24"/>
          <w:szCs w:val="24"/>
          <w:lang w:bidi="en-US"/>
        </w:rPr>
        <w:t>年，全国房地产开发投资额为</w:t>
      </w:r>
      <w:r w:rsidR="00B209D7" w:rsidRPr="00BA2408">
        <w:rPr>
          <w:rFonts w:ascii="楷体" w:eastAsia="楷体" w:hAnsi="楷体"/>
          <w:b/>
          <w:bCs/>
          <w:iCs/>
          <w:kern w:val="0"/>
          <w:sz w:val="24"/>
          <w:szCs w:val="24"/>
          <w:lang w:bidi="en-US"/>
        </w:rPr>
        <w:t>1</w:t>
      </w:r>
      <w:r w:rsidR="00B209D7">
        <w:rPr>
          <w:rFonts w:ascii="楷体" w:eastAsia="楷体" w:hAnsi="楷体"/>
          <w:b/>
          <w:bCs/>
          <w:iCs/>
          <w:kern w:val="0"/>
          <w:sz w:val="24"/>
          <w:szCs w:val="24"/>
          <w:lang w:bidi="en-US"/>
        </w:rPr>
        <w:t>41</w:t>
      </w:r>
      <w:r w:rsidR="00B209D7" w:rsidRPr="00BA2408">
        <w:rPr>
          <w:rFonts w:ascii="楷体" w:eastAsia="楷体" w:hAnsi="楷体"/>
          <w:b/>
          <w:bCs/>
          <w:iCs/>
          <w:kern w:val="0"/>
          <w:sz w:val="24"/>
          <w:szCs w:val="24"/>
          <w:lang w:bidi="en-US"/>
        </w:rPr>
        <w:t>,</w:t>
      </w:r>
      <w:r w:rsidR="00B209D7">
        <w:rPr>
          <w:rFonts w:ascii="楷体" w:eastAsia="楷体" w:hAnsi="楷体"/>
          <w:b/>
          <w:bCs/>
          <w:iCs/>
          <w:kern w:val="0"/>
          <w:sz w:val="24"/>
          <w:szCs w:val="24"/>
          <w:lang w:bidi="en-US"/>
        </w:rPr>
        <w:t>443</w:t>
      </w:r>
      <w:r w:rsidR="00B209D7" w:rsidRPr="00BA2408">
        <w:rPr>
          <w:rFonts w:ascii="楷体" w:eastAsia="楷体" w:hAnsi="楷体" w:hint="eastAsia"/>
          <w:b/>
          <w:bCs/>
          <w:iCs/>
          <w:kern w:val="0"/>
          <w:sz w:val="24"/>
          <w:szCs w:val="24"/>
          <w:lang w:bidi="en-US"/>
        </w:rPr>
        <w:t>亿元，同比增长</w:t>
      </w:r>
      <w:r w:rsidR="00B209D7">
        <w:rPr>
          <w:rFonts w:ascii="楷体" w:eastAsia="楷体" w:hAnsi="楷体"/>
          <w:b/>
          <w:bCs/>
          <w:iCs/>
          <w:kern w:val="0"/>
          <w:sz w:val="24"/>
          <w:szCs w:val="24"/>
          <w:lang w:bidi="en-US"/>
        </w:rPr>
        <w:t>7.0</w:t>
      </w:r>
      <w:r w:rsidR="00B209D7" w:rsidRPr="00BA2408">
        <w:rPr>
          <w:rFonts w:ascii="楷体" w:eastAsia="楷体" w:hAnsi="楷体" w:hint="eastAsia"/>
          <w:b/>
          <w:bCs/>
          <w:iCs/>
          <w:kern w:val="0"/>
          <w:sz w:val="24"/>
          <w:szCs w:val="24"/>
          <w:lang w:bidi="en-US"/>
        </w:rPr>
        <w:t>%；其中，住宅投资额为</w:t>
      </w:r>
      <w:r w:rsidR="00B209D7">
        <w:rPr>
          <w:rFonts w:ascii="楷体" w:eastAsia="楷体" w:hAnsi="楷体"/>
          <w:b/>
          <w:bCs/>
          <w:iCs/>
          <w:kern w:val="0"/>
          <w:sz w:val="24"/>
          <w:szCs w:val="24"/>
          <w:lang w:bidi="en-US"/>
        </w:rPr>
        <w:t>104</w:t>
      </w:r>
      <w:r w:rsidR="00B209D7" w:rsidRPr="00BA2408">
        <w:rPr>
          <w:rFonts w:ascii="楷体" w:eastAsia="楷体" w:hAnsi="楷体"/>
          <w:b/>
          <w:bCs/>
          <w:iCs/>
          <w:kern w:val="0"/>
          <w:sz w:val="24"/>
          <w:szCs w:val="24"/>
          <w:lang w:bidi="en-US"/>
        </w:rPr>
        <w:t>,</w:t>
      </w:r>
      <w:r w:rsidR="00B209D7">
        <w:rPr>
          <w:rFonts w:ascii="楷体" w:eastAsia="楷体" w:hAnsi="楷体"/>
          <w:b/>
          <w:bCs/>
          <w:iCs/>
          <w:kern w:val="0"/>
          <w:sz w:val="24"/>
          <w:szCs w:val="24"/>
          <w:lang w:bidi="en-US"/>
        </w:rPr>
        <w:t>446</w:t>
      </w:r>
      <w:r w:rsidR="00B209D7" w:rsidRPr="00BA2408">
        <w:rPr>
          <w:rFonts w:ascii="楷体" w:eastAsia="楷体" w:hAnsi="楷体" w:hint="eastAsia"/>
          <w:b/>
          <w:bCs/>
          <w:iCs/>
          <w:kern w:val="0"/>
          <w:sz w:val="24"/>
          <w:szCs w:val="24"/>
          <w:lang w:bidi="en-US"/>
        </w:rPr>
        <w:t>亿元，同比增长</w:t>
      </w:r>
      <w:r w:rsidR="00B209D7">
        <w:rPr>
          <w:rFonts w:ascii="楷体" w:eastAsia="楷体" w:hAnsi="楷体"/>
          <w:b/>
          <w:bCs/>
          <w:iCs/>
          <w:kern w:val="0"/>
          <w:sz w:val="24"/>
          <w:szCs w:val="24"/>
          <w:lang w:bidi="en-US"/>
        </w:rPr>
        <w:t>7.6</w:t>
      </w:r>
      <w:r w:rsidR="00B209D7" w:rsidRPr="00BA2408">
        <w:rPr>
          <w:rFonts w:ascii="楷体" w:eastAsia="楷体" w:hAnsi="楷体"/>
          <w:b/>
          <w:bCs/>
          <w:iCs/>
          <w:kern w:val="0"/>
          <w:sz w:val="24"/>
          <w:szCs w:val="24"/>
          <w:lang w:bidi="en-US"/>
        </w:rPr>
        <w:t>%</w:t>
      </w:r>
      <w:r w:rsidR="00B209D7" w:rsidRPr="00BA2408">
        <w:rPr>
          <w:rFonts w:ascii="楷体" w:eastAsia="楷体" w:hAnsi="楷体" w:hint="eastAsia"/>
          <w:b/>
          <w:bCs/>
          <w:iCs/>
          <w:kern w:val="0"/>
          <w:sz w:val="24"/>
          <w:szCs w:val="24"/>
          <w:lang w:bidi="en-US"/>
        </w:rPr>
        <w:t>，住宅投资占房地产开发投资的比重为</w:t>
      </w:r>
      <w:r w:rsidR="00B209D7" w:rsidRPr="00BA2408">
        <w:rPr>
          <w:rFonts w:ascii="楷体" w:eastAsia="楷体" w:hAnsi="楷体"/>
          <w:b/>
          <w:bCs/>
          <w:iCs/>
          <w:kern w:val="0"/>
          <w:sz w:val="24"/>
          <w:szCs w:val="24"/>
          <w:lang w:bidi="en-US"/>
        </w:rPr>
        <w:t>73.</w:t>
      </w:r>
      <w:r w:rsidR="00B209D7">
        <w:rPr>
          <w:rFonts w:ascii="楷体" w:eastAsia="楷体" w:hAnsi="楷体"/>
          <w:b/>
          <w:bCs/>
          <w:iCs/>
          <w:kern w:val="0"/>
          <w:sz w:val="24"/>
          <w:szCs w:val="24"/>
          <w:lang w:bidi="en-US"/>
        </w:rPr>
        <w:t>84</w:t>
      </w:r>
      <w:r w:rsidR="00B209D7" w:rsidRPr="00BA2408">
        <w:rPr>
          <w:rFonts w:ascii="楷体" w:eastAsia="楷体" w:hAnsi="楷体" w:hint="eastAsia"/>
          <w:b/>
          <w:bCs/>
          <w:iCs/>
          <w:kern w:val="0"/>
          <w:sz w:val="24"/>
          <w:szCs w:val="24"/>
          <w:lang w:bidi="en-US"/>
        </w:rPr>
        <w:t>%。</w:t>
      </w:r>
      <w:r w:rsidRPr="003945A0">
        <w:rPr>
          <w:rFonts w:ascii="Times New Roman" w:eastAsia="宋体" w:hAnsi="Times New Roman" w:cs="Times New Roman"/>
          <w:bCs/>
          <w:sz w:val="24"/>
        </w:rPr>
        <w:t>2017</w:t>
      </w:r>
      <w:r w:rsidRPr="003945A0">
        <w:rPr>
          <w:rFonts w:ascii="Times New Roman" w:eastAsia="宋体" w:hAnsi="Times New Roman" w:cs="Times New Roman"/>
          <w:bCs/>
          <w:sz w:val="24"/>
        </w:rPr>
        <w:t>年至</w:t>
      </w:r>
      <w:r w:rsidRPr="003945A0">
        <w:rPr>
          <w:rFonts w:ascii="Times New Roman" w:eastAsia="宋体" w:hAnsi="Times New Roman" w:cs="Times New Roman"/>
          <w:bCs/>
          <w:sz w:val="24"/>
        </w:rPr>
        <w:t>2019</w:t>
      </w:r>
      <w:r w:rsidRPr="003945A0">
        <w:rPr>
          <w:rFonts w:ascii="Times New Roman" w:eastAsia="宋体" w:hAnsi="Times New Roman" w:cs="Times New Roman"/>
          <w:bCs/>
          <w:sz w:val="24"/>
        </w:rPr>
        <w:t>年，我国住宅新开工面积分别为</w:t>
      </w:r>
      <w:r w:rsidRPr="003945A0">
        <w:rPr>
          <w:rFonts w:ascii="Times New Roman" w:eastAsia="宋体" w:hAnsi="Times New Roman" w:cs="Times New Roman"/>
          <w:bCs/>
          <w:sz w:val="24"/>
        </w:rPr>
        <w:t>128,098</w:t>
      </w:r>
      <w:r w:rsidRPr="003945A0">
        <w:rPr>
          <w:rFonts w:ascii="Times New Roman" w:eastAsia="宋体" w:hAnsi="Times New Roman" w:cs="Times New Roman"/>
          <w:bCs/>
          <w:sz w:val="24"/>
        </w:rPr>
        <w:t>万平方米、</w:t>
      </w:r>
      <w:r w:rsidRPr="003945A0">
        <w:rPr>
          <w:rFonts w:ascii="Times New Roman" w:eastAsia="宋体" w:hAnsi="Times New Roman" w:cs="Times New Roman"/>
          <w:bCs/>
          <w:sz w:val="24"/>
        </w:rPr>
        <w:t>153,353</w:t>
      </w:r>
      <w:r w:rsidRPr="003945A0">
        <w:rPr>
          <w:rFonts w:ascii="Times New Roman" w:eastAsia="宋体" w:hAnsi="Times New Roman" w:cs="Times New Roman"/>
          <w:bCs/>
          <w:sz w:val="24"/>
        </w:rPr>
        <w:t>万平方米及</w:t>
      </w:r>
      <w:r w:rsidRPr="003945A0">
        <w:rPr>
          <w:rFonts w:ascii="Times New Roman" w:eastAsia="宋体" w:hAnsi="Times New Roman" w:cs="Times New Roman"/>
          <w:bCs/>
          <w:sz w:val="24"/>
        </w:rPr>
        <w:t>167,463</w:t>
      </w:r>
      <w:r w:rsidRPr="003945A0">
        <w:rPr>
          <w:rFonts w:ascii="Times New Roman" w:eastAsia="宋体" w:hAnsi="Times New Roman" w:cs="Times New Roman"/>
          <w:bCs/>
          <w:sz w:val="24"/>
        </w:rPr>
        <w:t>万平方米，</w:t>
      </w:r>
      <w:r w:rsidRPr="003945A0">
        <w:rPr>
          <w:rFonts w:ascii="Times New Roman" w:eastAsia="宋体" w:hAnsi="Times New Roman" w:cs="Times New Roman"/>
          <w:bCs/>
          <w:sz w:val="24"/>
        </w:rPr>
        <w:t>2018</w:t>
      </w:r>
      <w:r w:rsidRPr="003945A0">
        <w:rPr>
          <w:rFonts w:ascii="Times New Roman" w:eastAsia="宋体" w:hAnsi="Times New Roman" w:cs="Times New Roman"/>
          <w:bCs/>
          <w:sz w:val="24"/>
        </w:rPr>
        <w:t>年、</w:t>
      </w:r>
      <w:r w:rsidRPr="003945A0">
        <w:rPr>
          <w:rFonts w:ascii="Times New Roman" w:eastAsia="宋体" w:hAnsi="Times New Roman" w:cs="Times New Roman"/>
          <w:bCs/>
          <w:sz w:val="24"/>
        </w:rPr>
        <w:t>2019</w:t>
      </w:r>
      <w:r w:rsidRPr="003945A0">
        <w:rPr>
          <w:rFonts w:ascii="Times New Roman" w:eastAsia="宋体" w:hAnsi="Times New Roman" w:cs="Times New Roman"/>
          <w:bCs/>
          <w:sz w:val="24"/>
        </w:rPr>
        <w:t>年分别较上年增长</w:t>
      </w:r>
      <w:r w:rsidRPr="003945A0">
        <w:rPr>
          <w:rFonts w:ascii="Times New Roman" w:eastAsia="宋体" w:hAnsi="Times New Roman" w:cs="Times New Roman"/>
          <w:bCs/>
          <w:sz w:val="24"/>
        </w:rPr>
        <w:t>19.72%</w:t>
      </w:r>
      <w:r w:rsidRPr="003945A0">
        <w:rPr>
          <w:rFonts w:ascii="Times New Roman" w:eastAsia="宋体" w:hAnsi="Times New Roman" w:cs="Times New Roman"/>
          <w:bCs/>
          <w:sz w:val="24"/>
        </w:rPr>
        <w:t>和</w:t>
      </w:r>
      <w:r w:rsidRPr="003945A0">
        <w:rPr>
          <w:rFonts w:ascii="Times New Roman" w:eastAsia="宋体" w:hAnsi="Times New Roman" w:cs="Times New Roman"/>
          <w:bCs/>
          <w:sz w:val="24"/>
        </w:rPr>
        <w:t>9.20%</w:t>
      </w:r>
      <w:r w:rsidRPr="003945A0">
        <w:rPr>
          <w:rFonts w:ascii="Times New Roman" w:eastAsia="宋体" w:hAnsi="Times New Roman" w:cs="Times New Roman"/>
          <w:bCs/>
          <w:sz w:val="24"/>
        </w:rPr>
        <w:t>。在下游市场持续稳定增长的良好环境下，</w:t>
      </w:r>
      <w:r w:rsidR="00B209D7">
        <w:rPr>
          <w:rFonts w:ascii="Times New Roman" w:eastAsia="宋体" w:hAnsi="Times New Roman" w:cs="Times New Roman" w:hint="eastAsia"/>
          <w:bCs/>
          <w:sz w:val="24"/>
        </w:rPr>
        <w:t>报告期内</w:t>
      </w:r>
      <w:r w:rsidRPr="003945A0">
        <w:rPr>
          <w:rFonts w:ascii="Times New Roman" w:eastAsia="宋体" w:hAnsi="Times New Roman" w:cs="Times New Roman"/>
          <w:bCs/>
          <w:sz w:val="24"/>
        </w:rPr>
        <w:t>公司</w:t>
      </w:r>
      <w:r w:rsidRPr="003945A0">
        <w:rPr>
          <w:rFonts w:ascii="Times New Roman" w:eastAsia="宋体" w:hAnsi="Times New Roman" w:cs="Times New Roman"/>
          <w:bCs/>
          <w:iCs/>
          <w:sz w:val="24"/>
          <w:lang w:bidi="en-US"/>
        </w:rPr>
        <w:t>建筑设计业务收入</w:t>
      </w:r>
      <w:proofErr w:type="gramStart"/>
      <w:r w:rsidRPr="003945A0">
        <w:rPr>
          <w:rFonts w:ascii="Times New Roman" w:eastAsia="宋体" w:hAnsi="Times New Roman" w:cs="Times New Roman"/>
          <w:bCs/>
          <w:sz w:val="24"/>
        </w:rPr>
        <w:t>亦实现</w:t>
      </w:r>
      <w:proofErr w:type="gramEnd"/>
      <w:r w:rsidRPr="003945A0">
        <w:rPr>
          <w:rFonts w:ascii="Times New Roman" w:eastAsia="宋体" w:hAnsi="Times New Roman" w:cs="Times New Roman"/>
          <w:bCs/>
          <w:sz w:val="24"/>
        </w:rPr>
        <w:t>了持续的同步增长。</w:t>
      </w:r>
    </w:p>
    <w:p w:rsidR="000D3481" w:rsidRPr="003945A0" w:rsidRDefault="000D3481" w:rsidP="00903E66">
      <w:pPr>
        <w:topLinePunct/>
        <w:adjustRightInd w:val="0"/>
        <w:snapToGrid w:val="0"/>
        <w:spacing w:beforeLines="50" w:before="156" w:line="360" w:lineRule="auto"/>
        <w:ind w:firstLineChars="200" w:firstLine="480"/>
        <w:rPr>
          <w:rFonts w:ascii="Times New Roman" w:eastAsia="宋体" w:hAnsi="Times New Roman" w:cs="Times New Roman"/>
          <w:bCs/>
          <w:sz w:val="24"/>
        </w:rPr>
      </w:pPr>
      <w:r w:rsidRPr="003945A0">
        <w:rPr>
          <w:rFonts w:ascii="Times New Roman" w:eastAsia="宋体" w:hAnsi="Times New Roman" w:cs="Times New Roman"/>
          <w:bCs/>
          <w:sz w:val="24"/>
        </w:rPr>
        <w:t>2020</w:t>
      </w:r>
      <w:r w:rsidRPr="003945A0">
        <w:rPr>
          <w:rFonts w:ascii="Times New Roman" w:eastAsia="宋体" w:hAnsi="Times New Roman" w:cs="Times New Roman"/>
          <w:bCs/>
          <w:sz w:val="24"/>
        </w:rPr>
        <w:t>年前三季度，我国住宅新开工面积共计</w:t>
      </w:r>
      <w:r w:rsidRPr="003945A0">
        <w:rPr>
          <w:rFonts w:ascii="Times New Roman" w:eastAsia="宋体" w:hAnsi="Times New Roman" w:cs="Times New Roman"/>
          <w:bCs/>
          <w:sz w:val="24"/>
        </w:rPr>
        <w:t>117,193</w:t>
      </w:r>
      <w:r w:rsidRPr="003945A0">
        <w:rPr>
          <w:rFonts w:ascii="Times New Roman" w:eastAsia="宋体" w:hAnsi="Times New Roman" w:cs="Times New Roman"/>
          <w:bCs/>
          <w:sz w:val="24"/>
        </w:rPr>
        <w:t>万平方米，较</w:t>
      </w:r>
      <w:r w:rsidRPr="003945A0">
        <w:rPr>
          <w:rFonts w:ascii="Times New Roman" w:eastAsia="宋体" w:hAnsi="Times New Roman" w:cs="Times New Roman"/>
          <w:bCs/>
          <w:sz w:val="24"/>
        </w:rPr>
        <w:t>2019</w:t>
      </w:r>
      <w:r w:rsidRPr="003945A0">
        <w:rPr>
          <w:rFonts w:ascii="Times New Roman" w:eastAsia="宋体" w:hAnsi="Times New Roman" w:cs="Times New Roman"/>
          <w:bCs/>
          <w:sz w:val="24"/>
        </w:rPr>
        <w:t>年前三季度下降</w:t>
      </w:r>
      <w:r w:rsidRPr="003945A0">
        <w:rPr>
          <w:rFonts w:ascii="Times New Roman" w:eastAsia="宋体" w:hAnsi="Times New Roman" w:cs="Times New Roman"/>
          <w:bCs/>
          <w:sz w:val="24"/>
        </w:rPr>
        <w:t>4.18%</w:t>
      </w:r>
      <w:r w:rsidRPr="003945A0">
        <w:rPr>
          <w:rFonts w:ascii="Times New Roman" w:eastAsia="宋体" w:hAnsi="Times New Roman" w:cs="Times New Roman"/>
          <w:bCs/>
          <w:sz w:val="24"/>
        </w:rPr>
        <w:t>。其中，受新冠疫情影响，</w:t>
      </w:r>
      <w:r w:rsidRPr="003945A0">
        <w:rPr>
          <w:rFonts w:ascii="Times New Roman" w:eastAsia="宋体" w:hAnsi="Times New Roman" w:cs="Times New Roman"/>
          <w:bCs/>
          <w:sz w:val="24"/>
        </w:rPr>
        <w:t>2020</w:t>
      </w:r>
      <w:r w:rsidRPr="003945A0">
        <w:rPr>
          <w:rFonts w:ascii="Times New Roman" w:eastAsia="宋体" w:hAnsi="Times New Roman" w:cs="Times New Roman"/>
          <w:bCs/>
          <w:sz w:val="24"/>
        </w:rPr>
        <w:t>年第一季度住宅新开工面积</w:t>
      </w:r>
      <w:r w:rsidRPr="003945A0">
        <w:rPr>
          <w:rFonts w:ascii="Times New Roman" w:eastAsia="宋体" w:hAnsi="Times New Roman" w:cs="Times New Roman"/>
          <w:bCs/>
          <w:sz w:val="24"/>
        </w:rPr>
        <w:t>20,799</w:t>
      </w:r>
      <w:r w:rsidRPr="003945A0">
        <w:rPr>
          <w:rFonts w:ascii="Times New Roman" w:eastAsia="宋体" w:hAnsi="Times New Roman" w:cs="Times New Roman"/>
          <w:bCs/>
          <w:sz w:val="24"/>
        </w:rPr>
        <w:t>万平方米，较</w:t>
      </w:r>
      <w:r w:rsidRPr="003945A0">
        <w:rPr>
          <w:rFonts w:ascii="Times New Roman" w:eastAsia="宋体" w:hAnsi="Times New Roman" w:cs="Times New Roman"/>
          <w:bCs/>
          <w:sz w:val="24"/>
        </w:rPr>
        <w:t>2019</w:t>
      </w:r>
      <w:r w:rsidRPr="003945A0">
        <w:rPr>
          <w:rFonts w:ascii="Times New Roman" w:eastAsia="宋体" w:hAnsi="Times New Roman" w:cs="Times New Roman"/>
          <w:bCs/>
          <w:sz w:val="24"/>
        </w:rPr>
        <w:t>年同期下降</w:t>
      </w:r>
      <w:r w:rsidRPr="003945A0">
        <w:rPr>
          <w:rFonts w:ascii="Times New Roman" w:eastAsia="宋体" w:hAnsi="Times New Roman" w:cs="Times New Roman"/>
          <w:bCs/>
          <w:sz w:val="24"/>
        </w:rPr>
        <w:t>26.94%</w:t>
      </w:r>
      <w:r w:rsidRPr="003945A0">
        <w:rPr>
          <w:rFonts w:ascii="Times New Roman" w:eastAsia="宋体" w:hAnsi="Times New Roman" w:cs="Times New Roman"/>
          <w:bCs/>
          <w:sz w:val="24"/>
        </w:rPr>
        <w:t>。随着国内普遍复产复工，第二季度及第三季度住宅新开工面积分别为</w:t>
      </w:r>
      <w:r w:rsidRPr="003945A0">
        <w:rPr>
          <w:rFonts w:ascii="Times New Roman" w:eastAsia="宋体" w:hAnsi="Times New Roman" w:cs="Times New Roman"/>
          <w:bCs/>
          <w:sz w:val="24"/>
        </w:rPr>
        <w:t>50,784</w:t>
      </w:r>
      <w:r w:rsidRPr="003945A0">
        <w:rPr>
          <w:rFonts w:ascii="Times New Roman" w:eastAsia="宋体" w:hAnsi="Times New Roman" w:cs="Times New Roman"/>
          <w:bCs/>
          <w:sz w:val="24"/>
        </w:rPr>
        <w:t>万平方米及</w:t>
      </w:r>
      <w:r w:rsidRPr="003945A0">
        <w:rPr>
          <w:rFonts w:ascii="Times New Roman" w:eastAsia="宋体" w:hAnsi="Times New Roman" w:cs="Times New Roman"/>
          <w:bCs/>
          <w:sz w:val="24"/>
        </w:rPr>
        <w:t>45,610</w:t>
      </w:r>
      <w:r w:rsidRPr="003945A0">
        <w:rPr>
          <w:rFonts w:ascii="Times New Roman" w:eastAsia="宋体" w:hAnsi="Times New Roman" w:cs="Times New Roman"/>
          <w:bCs/>
          <w:sz w:val="24"/>
        </w:rPr>
        <w:t>万平方米，较</w:t>
      </w:r>
      <w:r w:rsidRPr="003945A0">
        <w:rPr>
          <w:rFonts w:ascii="Times New Roman" w:eastAsia="宋体" w:hAnsi="Times New Roman" w:cs="Times New Roman"/>
          <w:bCs/>
          <w:sz w:val="24"/>
        </w:rPr>
        <w:t>2019</w:t>
      </w:r>
      <w:r w:rsidRPr="003945A0">
        <w:rPr>
          <w:rFonts w:ascii="Times New Roman" w:eastAsia="宋体" w:hAnsi="Times New Roman" w:cs="Times New Roman"/>
          <w:bCs/>
          <w:sz w:val="24"/>
        </w:rPr>
        <w:t>年同期分别增长</w:t>
      </w:r>
      <w:r w:rsidRPr="003945A0">
        <w:rPr>
          <w:rFonts w:ascii="Times New Roman" w:eastAsia="宋体" w:hAnsi="Times New Roman" w:cs="Times New Roman"/>
          <w:bCs/>
          <w:sz w:val="24"/>
        </w:rPr>
        <w:t>2.53%</w:t>
      </w:r>
      <w:r w:rsidRPr="003945A0">
        <w:rPr>
          <w:rFonts w:ascii="Times New Roman" w:eastAsia="宋体" w:hAnsi="Times New Roman" w:cs="Times New Roman"/>
          <w:bCs/>
          <w:sz w:val="24"/>
        </w:rPr>
        <w:t>及</w:t>
      </w:r>
      <w:r w:rsidRPr="003945A0">
        <w:rPr>
          <w:rFonts w:ascii="Times New Roman" w:eastAsia="宋体" w:hAnsi="Times New Roman" w:cs="Times New Roman"/>
          <w:bCs/>
          <w:sz w:val="24"/>
        </w:rPr>
        <w:t>2.93%</w:t>
      </w:r>
      <w:r w:rsidRPr="003945A0">
        <w:rPr>
          <w:rFonts w:ascii="Times New Roman" w:eastAsia="宋体" w:hAnsi="Times New Roman" w:cs="Times New Roman"/>
          <w:bCs/>
          <w:sz w:val="24"/>
        </w:rPr>
        <w:t>，基本恢复正常增长水平。</w:t>
      </w:r>
    </w:p>
    <w:p w:rsidR="000D3481" w:rsidRPr="003945A0" w:rsidRDefault="003945A0" w:rsidP="000D3481">
      <w:pPr>
        <w:pStyle w:val="11"/>
        <w:spacing w:before="156" w:after="156"/>
        <w:ind w:firstLine="482"/>
        <w:rPr>
          <w:rFonts w:cs="Times New Roman"/>
          <w:b/>
          <w:bCs/>
        </w:rPr>
      </w:pPr>
      <w:r w:rsidRPr="003945A0">
        <w:rPr>
          <w:rFonts w:cs="Times New Roman"/>
          <w:b/>
          <w:bCs/>
        </w:rPr>
        <w:t>3</w:t>
      </w:r>
      <w:r w:rsidRPr="003945A0">
        <w:rPr>
          <w:rFonts w:cs="Times New Roman"/>
          <w:b/>
          <w:bCs/>
        </w:rPr>
        <w:t>、结合上述事项，以及房地产调控政策、新增住宅开发面积等，对发行人面临的应收账款风险、主营业务风险进行有针对性的充分披露和揭示</w:t>
      </w:r>
    </w:p>
    <w:p w:rsidR="000D3481" w:rsidRDefault="000D3481" w:rsidP="00776F91">
      <w:pPr>
        <w:pStyle w:val="11"/>
        <w:spacing w:before="156" w:after="156"/>
        <w:rPr>
          <w:rFonts w:cs="Times New Roman"/>
          <w:bCs/>
          <w:iCs/>
          <w:lang w:bidi="en-US"/>
        </w:rPr>
      </w:pPr>
      <w:r w:rsidRPr="00FE23AE">
        <w:rPr>
          <w:rFonts w:cs="Times New Roman" w:hint="eastAsia"/>
          <w:bCs/>
          <w:iCs/>
          <w:lang w:bidi="en-US"/>
        </w:rPr>
        <w:t>发行人已在招股</w:t>
      </w:r>
      <w:r w:rsidRPr="00F43503">
        <w:rPr>
          <w:rFonts w:ascii="宋体" w:hAnsi="宋体" w:cs="Times New Roman" w:hint="eastAsia"/>
          <w:bCs/>
          <w:iCs/>
          <w:lang w:bidi="en-US"/>
        </w:rPr>
        <w:t>说明书“第四节</w:t>
      </w:r>
      <w:r w:rsidRPr="00F43503">
        <w:rPr>
          <w:rFonts w:ascii="宋体" w:hAnsi="宋体" w:cs="Times New Roman"/>
          <w:bCs/>
          <w:iCs/>
          <w:lang w:bidi="en-US"/>
        </w:rPr>
        <w:t xml:space="preserve"> 风险因素”之“</w:t>
      </w:r>
      <w:r w:rsidRPr="000D3481">
        <w:rPr>
          <w:rFonts w:ascii="宋体" w:hAnsi="宋体" w:cs="Times New Roman" w:hint="eastAsia"/>
          <w:bCs/>
          <w:iCs/>
          <w:lang w:bidi="en-US"/>
        </w:rPr>
        <w:t>五、财务风险</w:t>
      </w:r>
      <w:r w:rsidRPr="00F43503">
        <w:rPr>
          <w:rFonts w:ascii="宋体" w:hAnsi="宋体" w:cs="Times New Roman"/>
          <w:bCs/>
          <w:iCs/>
          <w:lang w:bidi="en-US"/>
        </w:rPr>
        <w:t>”之“（</w:t>
      </w:r>
      <w:r w:rsidRPr="00F43503">
        <w:rPr>
          <w:rFonts w:ascii="宋体" w:hAnsi="宋体" w:cs="Times New Roman" w:hint="eastAsia"/>
          <w:bCs/>
          <w:iCs/>
          <w:lang w:bidi="en-US"/>
        </w:rPr>
        <w:t>三</w:t>
      </w:r>
      <w:r w:rsidRPr="00F43503">
        <w:rPr>
          <w:rFonts w:ascii="宋体" w:hAnsi="宋体" w:cs="Times New Roman"/>
          <w:bCs/>
          <w:iCs/>
          <w:lang w:bidi="en-US"/>
        </w:rPr>
        <w:t>）</w:t>
      </w:r>
      <w:r w:rsidRPr="000D3481">
        <w:rPr>
          <w:rFonts w:ascii="宋体" w:hAnsi="宋体" w:cs="Times New Roman" w:hint="eastAsia"/>
          <w:bCs/>
          <w:iCs/>
          <w:lang w:bidi="en-US"/>
        </w:rPr>
        <w:t>（二）应收账款坏账的风险</w:t>
      </w:r>
      <w:r w:rsidRPr="00F43503">
        <w:rPr>
          <w:rFonts w:ascii="宋体" w:hAnsi="宋体" w:cs="Times New Roman"/>
          <w:bCs/>
          <w:iCs/>
          <w:lang w:bidi="en-US"/>
        </w:rPr>
        <w:t>”补充披露</w:t>
      </w:r>
      <w:r w:rsidRPr="00FE23AE">
        <w:rPr>
          <w:rFonts w:cs="Times New Roman"/>
          <w:bCs/>
          <w:iCs/>
          <w:lang w:bidi="en-US"/>
        </w:rPr>
        <w:t>如下：</w:t>
      </w:r>
    </w:p>
    <w:p w:rsidR="00B209D7" w:rsidRPr="00B209D7" w:rsidRDefault="00B209D7" w:rsidP="00B209D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lang w:bidi="en-US"/>
        </w:rPr>
      </w:pPr>
      <w:r w:rsidRPr="00B209D7">
        <w:rPr>
          <w:rFonts w:ascii="Times New Roman" w:eastAsia="宋体" w:hAnsi="Times New Roman" w:cs="Times New Roman"/>
          <w:bCs/>
          <w:iCs/>
          <w:sz w:val="24"/>
          <w:szCs w:val="24"/>
          <w:lang w:bidi="en-US"/>
        </w:rPr>
        <w:t>报告期内，公司应收账款账面价值分别为</w:t>
      </w:r>
      <w:r w:rsidRPr="00B209D7">
        <w:rPr>
          <w:rFonts w:ascii="Times New Roman" w:eastAsia="宋体" w:hAnsi="Times New Roman" w:cs="Times New Roman"/>
          <w:bCs/>
          <w:iCs/>
          <w:sz w:val="24"/>
          <w:szCs w:val="24"/>
          <w:lang w:bidi="en-US"/>
        </w:rPr>
        <w:t>9,217.23</w:t>
      </w:r>
      <w:r w:rsidRPr="00B209D7">
        <w:rPr>
          <w:rFonts w:ascii="Times New Roman" w:eastAsia="宋体" w:hAnsi="Times New Roman" w:cs="Times New Roman"/>
          <w:bCs/>
          <w:iCs/>
          <w:sz w:val="24"/>
          <w:szCs w:val="24"/>
          <w:lang w:bidi="en-US"/>
        </w:rPr>
        <w:t>万元、</w:t>
      </w:r>
      <w:r w:rsidRPr="00B209D7">
        <w:rPr>
          <w:rFonts w:ascii="Times New Roman" w:eastAsia="宋体" w:hAnsi="Times New Roman" w:cs="Times New Roman"/>
          <w:bCs/>
          <w:iCs/>
          <w:sz w:val="24"/>
          <w:szCs w:val="24"/>
          <w:lang w:bidi="en-US"/>
        </w:rPr>
        <w:t>19,941.49</w:t>
      </w:r>
      <w:r w:rsidRPr="00B209D7">
        <w:rPr>
          <w:rFonts w:ascii="Times New Roman" w:eastAsia="宋体" w:hAnsi="Times New Roman" w:cs="Times New Roman"/>
          <w:bCs/>
          <w:iCs/>
          <w:sz w:val="24"/>
          <w:szCs w:val="24"/>
          <w:lang w:bidi="en-US"/>
        </w:rPr>
        <w:t>万元和</w:t>
      </w:r>
      <w:r w:rsidRPr="00B209D7">
        <w:rPr>
          <w:rFonts w:ascii="楷体" w:eastAsia="楷体" w:hAnsi="楷体" w:cs="Times New Roman"/>
          <w:b/>
          <w:bCs/>
          <w:iCs/>
          <w:kern w:val="0"/>
          <w:sz w:val="24"/>
          <w:szCs w:val="24"/>
          <w:lang w:bidi="en-US"/>
        </w:rPr>
        <w:t>29,903.53万元</w:t>
      </w:r>
      <w:r w:rsidRPr="00B209D7">
        <w:rPr>
          <w:rFonts w:ascii="Times New Roman" w:eastAsia="宋体" w:hAnsi="Times New Roman" w:cs="Times New Roman"/>
          <w:bCs/>
          <w:iCs/>
          <w:sz w:val="24"/>
          <w:szCs w:val="24"/>
          <w:lang w:bidi="en-US"/>
        </w:rPr>
        <w:t>，占同期营业收入的比例分别为</w:t>
      </w:r>
      <w:r w:rsidRPr="00B209D7">
        <w:rPr>
          <w:rFonts w:ascii="Times New Roman" w:eastAsia="宋体" w:hAnsi="Times New Roman" w:cs="Times New Roman"/>
          <w:bCs/>
          <w:iCs/>
          <w:sz w:val="24"/>
          <w:szCs w:val="24"/>
          <w:lang w:bidi="en-US"/>
        </w:rPr>
        <w:t>38.17%</w:t>
      </w:r>
      <w:r w:rsidRPr="00B209D7">
        <w:rPr>
          <w:rFonts w:ascii="Times New Roman" w:eastAsia="宋体" w:hAnsi="Times New Roman" w:cs="Times New Roman"/>
          <w:bCs/>
          <w:iCs/>
          <w:sz w:val="24"/>
          <w:szCs w:val="24"/>
          <w:lang w:bidi="en-US"/>
        </w:rPr>
        <w:t>、</w:t>
      </w:r>
      <w:r w:rsidRPr="00B209D7">
        <w:rPr>
          <w:rFonts w:ascii="Times New Roman" w:eastAsia="宋体" w:hAnsi="Times New Roman" w:cs="Times New Roman"/>
          <w:bCs/>
          <w:iCs/>
          <w:sz w:val="24"/>
          <w:szCs w:val="24"/>
          <w:lang w:bidi="en-US"/>
        </w:rPr>
        <w:t>74.79%</w:t>
      </w:r>
      <w:r w:rsidRPr="00B209D7">
        <w:rPr>
          <w:rFonts w:ascii="Times New Roman" w:eastAsia="宋体" w:hAnsi="Times New Roman" w:cs="Times New Roman"/>
          <w:bCs/>
          <w:iCs/>
          <w:sz w:val="24"/>
          <w:szCs w:val="24"/>
          <w:lang w:bidi="en-US"/>
        </w:rPr>
        <w:t>和</w:t>
      </w:r>
      <w:r w:rsidRPr="00B209D7">
        <w:rPr>
          <w:rFonts w:ascii="楷体" w:eastAsia="楷体" w:hAnsi="楷体" w:cs="Times New Roman"/>
          <w:b/>
          <w:bCs/>
          <w:iCs/>
          <w:kern w:val="0"/>
          <w:sz w:val="24"/>
          <w:szCs w:val="24"/>
          <w:lang w:bidi="en-US"/>
        </w:rPr>
        <w:t>93.98%</w:t>
      </w:r>
      <w:r w:rsidRPr="00B209D7">
        <w:rPr>
          <w:rFonts w:ascii="Times New Roman" w:eastAsia="宋体" w:hAnsi="Times New Roman" w:cs="Times New Roman"/>
          <w:bCs/>
          <w:iCs/>
          <w:sz w:val="24"/>
          <w:szCs w:val="24"/>
          <w:lang w:bidi="en-US"/>
        </w:rPr>
        <w:t>。一方面，随着公司业务规模的增加，应收账款余额增幅较快，</w:t>
      </w:r>
      <w:r w:rsidRPr="00B209D7">
        <w:rPr>
          <w:rFonts w:ascii="Times New Roman" w:eastAsia="宋体" w:hAnsi="Times New Roman" w:cs="Times New Roman"/>
          <w:bCs/>
          <w:iCs/>
          <w:sz w:val="24"/>
          <w:szCs w:val="24"/>
          <w:lang w:bidi="en-US"/>
        </w:rPr>
        <w:t>2018</w:t>
      </w:r>
      <w:r w:rsidRPr="00B209D7">
        <w:rPr>
          <w:rFonts w:ascii="Times New Roman" w:eastAsia="宋体" w:hAnsi="Times New Roman" w:cs="Times New Roman"/>
          <w:bCs/>
          <w:iCs/>
          <w:sz w:val="24"/>
          <w:szCs w:val="24"/>
          <w:lang w:bidi="en-US"/>
        </w:rPr>
        <w:t>年、</w:t>
      </w:r>
      <w:r w:rsidRPr="00B209D7">
        <w:rPr>
          <w:rFonts w:ascii="Times New Roman" w:eastAsia="宋体" w:hAnsi="Times New Roman" w:cs="Times New Roman"/>
          <w:bCs/>
          <w:iCs/>
          <w:sz w:val="24"/>
          <w:szCs w:val="24"/>
          <w:lang w:bidi="en-US"/>
        </w:rPr>
        <w:t>2019</w:t>
      </w:r>
      <w:r w:rsidRPr="00B209D7">
        <w:rPr>
          <w:rFonts w:ascii="Times New Roman" w:eastAsia="宋体" w:hAnsi="Times New Roman" w:cs="Times New Roman"/>
          <w:bCs/>
          <w:iCs/>
          <w:sz w:val="24"/>
          <w:szCs w:val="24"/>
          <w:lang w:bidi="en-US"/>
        </w:rPr>
        <w:t>年</w:t>
      </w:r>
      <w:r w:rsidRPr="00B209D7">
        <w:rPr>
          <w:rFonts w:ascii="楷体" w:eastAsia="楷体" w:hAnsi="楷体" w:cs="Times New Roman" w:hint="eastAsia"/>
          <w:b/>
          <w:bCs/>
          <w:iCs/>
          <w:kern w:val="0"/>
          <w:sz w:val="24"/>
          <w:szCs w:val="24"/>
          <w:lang w:bidi="en-US"/>
        </w:rPr>
        <w:t>、2</w:t>
      </w:r>
      <w:r w:rsidRPr="00B209D7">
        <w:rPr>
          <w:rFonts w:ascii="楷体" w:eastAsia="楷体" w:hAnsi="楷体" w:cs="Times New Roman"/>
          <w:b/>
          <w:bCs/>
          <w:iCs/>
          <w:kern w:val="0"/>
          <w:sz w:val="24"/>
          <w:szCs w:val="24"/>
          <w:lang w:bidi="en-US"/>
        </w:rPr>
        <w:t>020</w:t>
      </w:r>
      <w:r w:rsidRPr="00B209D7">
        <w:rPr>
          <w:rFonts w:ascii="楷体" w:eastAsia="楷体" w:hAnsi="楷体" w:cs="Times New Roman" w:hint="eastAsia"/>
          <w:b/>
          <w:bCs/>
          <w:iCs/>
          <w:kern w:val="0"/>
          <w:sz w:val="24"/>
          <w:szCs w:val="24"/>
          <w:lang w:bidi="en-US"/>
        </w:rPr>
        <w:t>年</w:t>
      </w:r>
      <w:r w:rsidRPr="00B209D7">
        <w:rPr>
          <w:rFonts w:ascii="Times New Roman" w:eastAsia="宋体" w:hAnsi="Times New Roman" w:cs="Times New Roman"/>
          <w:bCs/>
          <w:iCs/>
          <w:sz w:val="24"/>
          <w:szCs w:val="24"/>
          <w:lang w:bidi="en-US"/>
        </w:rPr>
        <w:t>，应收账款账面价值增幅同比分别达到</w:t>
      </w:r>
      <w:r w:rsidRPr="00B209D7">
        <w:rPr>
          <w:rFonts w:ascii="Times New Roman" w:eastAsia="宋体" w:hAnsi="Times New Roman" w:cs="Times New Roman"/>
          <w:bCs/>
          <w:iCs/>
          <w:sz w:val="24"/>
          <w:szCs w:val="24"/>
          <w:lang w:bidi="en-US"/>
        </w:rPr>
        <w:t>184.67%</w:t>
      </w:r>
      <w:r w:rsidRPr="00B209D7">
        <w:rPr>
          <w:rFonts w:ascii="Times New Roman" w:eastAsia="宋体" w:hAnsi="Times New Roman" w:cs="Times New Roman"/>
          <w:bCs/>
          <w:iCs/>
          <w:sz w:val="24"/>
          <w:szCs w:val="24"/>
          <w:lang w:bidi="en-US"/>
        </w:rPr>
        <w:t>、</w:t>
      </w:r>
      <w:r w:rsidRPr="00B209D7">
        <w:rPr>
          <w:rFonts w:ascii="Times New Roman" w:eastAsia="宋体" w:hAnsi="Times New Roman" w:cs="Times New Roman"/>
          <w:bCs/>
          <w:iCs/>
          <w:sz w:val="24"/>
          <w:szCs w:val="24"/>
          <w:lang w:bidi="en-US"/>
        </w:rPr>
        <w:t>116.35%</w:t>
      </w:r>
      <w:r w:rsidRPr="00B209D7">
        <w:rPr>
          <w:rFonts w:ascii="Times New Roman" w:eastAsia="宋体" w:hAnsi="Times New Roman" w:cs="Times New Roman" w:hint="eastAsia"/>
          <w:bCs/>
          <w:iCs/>
          <w:sz w:val="24"/>
          <w:szCs w:val="24"/>
          <w:lang w:bidi="en-US"/>
        </w:rPr>
        <w:t>、</w:t>
      </w:r>
      <w:r w:rsidRPr="00B209D7">
        <w:rPr>
          <w:rFonts w:ascii="楷体" w:eastAsia="楷体" w:hAnsi="楷体" w:cs="Times New Roman"/>
          <w:b/>
          <w:bCs/>
          <w:iCs/>
          <w:kern w:val="0"/>
          <w:sz w:val="24"/>
          <w:szCs w:val="24"/>
          <w:lang w:bidi="en-US"/>
        </w:rPr>
        <w:t>49.96%</w:t>
      </w:r>
      <w:r w:rsidRPr="00B209D7">
        <w:rPr>
          <w:rFonts w:ascii="Times New Roman" w:eastAsia="宋体" w:hAnsi="Times New Roman" w:cs="Times New Roman"/>
          <w:bCs/>
          <w:iCs/>
          <w:sz w:val="24"/>
          <w:szCs w:val="24"/>
          <w:lang w:bidi="en-US"/>
        </w:rPr>
        <w:t>，另一方面，账</w:t>
      </w:r>
      <w:proofErr w:type="gramStart"/>
      <w:r w:rsidRPr="00B209D7">
        <w:rPr>
          <w:rFonts w:ascii="Times New Roman" w:eastAsia="宋体" w:hAnsi="Times New Roman" w:cs="Times New Roman"/>
          <w:bCs/>
          <w:iCs/>
          <w:sz w:val="24"/>
          <w:szCs w:val="24"/>
          <w:lang w:bidi="en-US"/>
        </w:rPr>
        <w:t>龄结构</w:t>
      </w:r>
      <w:proofErr w:type="gramEnd"/>
      <w:r w:rsidRPr="00B209D7">
        <w:rPr>
          <w:rFonts w:ascii="Times New Roman" w:eastAsia="宋体" w:hAnsi="Times New Roman" w:cs="Times New Roman"/>
          <w:bCs/>
          <w:iCs/>
          <w:sz w:val="24"/>
          <w:szCs w:val="24"/>
          <w:lang w:bidi="en-US"/>
        </w:rPr>
        <w:t>有所延长，报告期各期末，公司账龄一年以上应收账款金额分别为</w:t>
      </w:r>
      <w:r w:rsidRPr="00B209D7">
        <w:rPr>
          <w:rFonts w:ascii="Times New Roman" w:eastAsia="宋体" w:hAnsi="Times New Roman" w:cs="Times New Roman"/>
          <w:bCs/>
          <w:iCs/>
          <w:sz w:val="24"/>
          <w:szCs w:val="24"/>
          <w:lang w:bidi="en-US"/>
        </w:rPr>
        <w:t>584.20</w:t>
      </w:r>
      <w:r w:rsidRPr="00B209D7">
        <w:rPr>
          <w:rFonts w:ascii="Times New Roman" w:eastAsia="宋体" w:hAnsi="Times New Roman" w:cs="Times New Roman"/>
          <w:bCs/>
          <w:iCs/>
          <w:sz w:val="24"/>
          <w:szCs w:val="24"/>
          <w:lang w:bidi="en-US"/>
        </w:rPr>
        <w:t>万元、</w:t>
      </w:r>
      <w:r w:rsidRPr="00B209D7">
        <w:rPr>
          <w:rFonts w:ascii="Times New Roman" w:eastAsia="宋体" w:hAnsi="Times New Roman" w:cs="Times New Roman"/>
          <w:bCs/>
          <w:iCs/>
          <w:sz w:val="24"/>
          <w:szCs w:val="24"/>
          <w:lang w:bidi="en-US"/>
        </w:rPr>
        <w:t>3,609.20</w:t>
      </w:r>
      <w:r w:rsidRPr="00B209D7">
        <w:rPr>
          <w:rFonts w:ascii="Times New Roman" w:eastAsia="宋体" w:hAnsi="Times New Roman" w:cs="Times New Roman"/>
          <w:bCs/>
          <w:iCs/>
          <w:sz w:val="24"/>
          <w:szCs w:val="24"/>
          <w:lang w:bidi="en-US"/>
        </w:rPr>
        <w:t>万元和</w:t>
      </w:r>
      <w:r w:rsidRPr="00B209D7">
        <w:rPr>
          <w:rFonts w:ascii="楷体" w:eastAsia="楷体" w:hAnsi="楷体" w:cs="Times New Roman"/>
          <w:b/>
          <w:bCs/>
          <w:iCs/>
          <w:kern w:val="0"/>
          <w:sz w:val="24"/>
          <w:szCs w:val="24"/>
          <w:lang w:bidi="en-US"/>
        </w:rPr>
        <w:t>7,918.76万元</w:t>
      </w:r>
      <w:r w:rsidRPr="00B209D7">
        <w:rPr>
          <w:rFonts w:ascii="Times New Roman" w:eastAsia="宋体" w:hAnsi="Times New Roman" w:cs="Times New Roman"/>
          <w:bCs/>
          <w:iCs/>
          <w:sz w:val="24"/>
          <w:szCs w:val="24"/>
          <w:lang w:bidi="en-US"/>
        </w:rPr>
        <w:t>，占各期末应收账款余额比例分别为</w:t>
      </w:r>
      <w:r w:rsidRPr="00B209D7">
        <w:rPr>
          <w:rFonts w:ascii="Times New Roman" w:eastAsia="宋体" w:hAnsi="Times New Roman" w:cs="Times New Roman"/>
          <w:bCs/>
          <w:iCs/>
          <w:sz w:val="24"/>
          <w:szCs w:val="24"/>
          <w:lang w:bidi="en-US"/>
        </w:rPr>
        <w:t>5.99%</w:t>
      </w:r>
      <w:r w:rsidRPr="00B209D7">
        <w:rPr>
          <w:rFonts w:ascii="Times New Roman" w:eastAsia="宋体" w:hAnsi="Times New Roman" w:cs="Times New Roman"/>
          <w:bCs/>
          <w:iCs/>
          <w:sz w:val="24"/>
          <w:szCs w:val="24"/>
          <w:lang w:bidi="en-US"/>
        </w:rPr>
        <w:t>、</w:t>
      </w:r>
      <w:r w:rsidRPr="00B209D7">
        <w:rPr>
          <w:rFonts w:ascii="Times New Roman" w:eastAsia="宋体" w:hAnsi="Times New Roman" w:cs="Times New Roman"/>
          <w:bCs/>
          <w:iCs/>
          <w:sz w:val="24"/>
          <w:szCs w:val="24"/>
          <w:lang w:bidi="en-US"/>
        </w:rPr>
        <w:t>17.00%</w:t>
      </w:r>
      <w:r w:rsidRPr="00B209D7">
        <w:rPr>
          <w:rFonts w:ascii="Times New Roman" w:eastAsia="宋体" w:hAnsi="Times New Roman" w:cs="Times New Roman"/>
          <w:bCs/>
          <w:iCs/>
          <w:sz w:val="24"/>
          <w:szCs w:val="24"/>
          <w:lang w:bidi="en-US"/>
        </w:rPr>
        <w:t>和</w:t>
      </w:r>
      <w:r w:rsidRPr="00B209D7">
        <w:rPr>
          <w:rFonts w:ascii="楷体" w:eastAsia="楷体" w:hAnsi="楷体" w:cs="Times New Roman"/>
          <w:b/>
          <w:bCs/>
          <w:iCs/>
          <w:kern w:val="0"/>
          <w:sz w:val="24"/>
          <w:szCs w:val="24"/>
          <w:lang w:bidi="en-US"/>
        </w:rPr>
        <w:t>24.26%</w:t>
      </w:r>
      <w:r w:rsidRPr="00B209D7">
        <w:rPr>
          <w:rFonts w:ascii="Times New Roman" w:eastAsia="宋体" w:hAnsi="Times New Roman" w:cs="Times New Roman"/>
          <w:bCs/>
          <w:iCs/>
          <w:sz w:val="24"/>
          <w:szCs w:val="24"/>
          <w:lang w:bidi="en-US"/>
        </w:rPr>
        <w:t>，，</w:t>
      </w:r>
      <w:proofErr w:type="gramStart"/>
      <w:r w:rsidRPr="00B209D7">
        <w:rPr>
          <w:rFonts w:ascii="Times New Roman" w:eastAsia="宋体" w:hAnsi="Times New Roman" w:cs="Times New Roman"/>
          <w:bCs/>
          <w:iCs/>
          <w:sz w:val="24"/>
          <w:szCs w:val="24"/>
          <w:lang w:bidi="en-US"/>
        </w:rPr>
        <w:t>占比较</w:t>
      </w:r>
      <w:proofErr w:type="gramEnd"/>
      <w:r w:rsidRPr="00B209D7">
        <w:rPr>
          <w:rFonts w:ascii="Times New Roman" w:eastAsia="宋体" w:hAnsi="Times New Roman" w:cs="Times New Roman"/>
          <w:bCs/>
          <w:iCs/>
          <w:sz w:val="24"/>
          <w:szCs w:val="24"/>
          <w:lang w:bidi="en-US"/>
        </w:rPr>
        <w:t>高。同时，报告期各期末，公司存在账龄三年以上的应收</w:t>
      </w:r>
      <w:r w:rsidRPr="00B209D7">
        <w:rPr>
          <w:rFonts w:ascii="Times New Roman" w:eastAsia="宋体" w:hAnsi="Times New Roman" w:cs="Times New Roman"/>
          <w:bCs/>
          <w:iCs/>
          <w:sz w:val="24"/>
          <w:lang w:bidi="en-US"/>
        </w:rPr>
        <w:t>账款情形，该类应收账款回款风险相对较大，存在一定的回款风险。</w:t>
      </w:r>
      <w:r w:rsidRPr="00B209D7">
        <w:rPr>
          <w:rFonts w:ascii="Times New Roman" w:eastAsia="宋体" w:hAnsi="Times New Roman" w:cs="Times New Roman" w:hint="eastAsia"/>
          <w:bCs/>
          <w:iCs/>
          <w:sz w:val="24"/>
          <w:lang w:bidi="en-US"/>
        </w:rPr>
        <w:t>截止目前，</w:t>
      </w:r>
      <w:r w:rsidRPr="00B209D7">
        <w:rPr>
          <w:rFonts w:ascii="Times New Roman" w:eastAsia="宋体" w:hAnsi="Times New Roman" w:cs="Times New Roman"/>
          <w:bCs/>
          <w:iCs/>
          <w:sz w:val="24"/>
          <w:lang w:bidi="en-US"/>
        </w:rPr>
        <w:t>公司</w:t>
      </w:r>
      <w:r w:rsidRPr="00B209D7">
        <w:rPr>
          <w:rFonts w:ascii="Times New Roman" w:eastAsia="宋体" w:hAnsi="Times New Roman" w:cs="Times New Roman" w:hint="eastAsia"/>
          <w:bCs/>
          <w:iCs/>
          <w:sz w:val="24"/>
          <w:lang w:bidi="en-US"/>
        </w:rPr>
        <w:t>仍然</w:t>
      </w:r>
      <w:r w:rsidRPr="00B209D7">
        <w:rPr>
          <w:rFonts w:ascii="Times New Roman" w:eastAsia="宋体" w:hAnsi="Times New Roman" w:cs="Times New Roman"/>
          <w:bCs/>
          <w:iCs/>
          <w:sz w:val="24"/>
          <w:lang w:bidi="en-US"/>
        </w:rPr>
        <w:t>存在账龄一年以上应收账款未能收回的</w:t>
      </w:r>
      <w:r w:rsidRPr="00B209D7">
        <w:rPr>
          <w:rFonts w:ascii="Times New Roman" w:eastAsia="宋体" w:hAnsi="Times New Roman" w:cs="Times New Roman" w:hint="eastAsia"/>
          <w:bCs/>
          <w:iCs/>
          <w:sz w:val="24"/>
          <w:lang w:bidi="en-US"/>
        </w:rPr>
        <w:t>情况，</w:t>
      </w:r>
      <w:proofErr w:type="gramStart"/>
      <w:r w:rsidRPr="00B209D7">
        <w:rPr>
          <w:rFonts w:ascii="Times New Roman" w:eastAsia="宋体" w:hAnsi="Times New Roman" w:cs="Times New Roman" w:hint="eastAsia"/>
          <w:bCs/>
          <w:iCs/>
          <w:sz w:val="24"/>
          <w:lang w:bidi="en-US"/>
        </w:rPr>
        <w:t>且报告</w:t>
      </w:r>
      <w:proofErr w:type="gramEnd"/>
      <w:r w:rsidRPr="00B209D7">
        <w:rPr>
          <w:rFonts w:ascii="Times New Roman" w:eastAsia="宋体" w:hAnsi="Times New Roman" w:cs="Times New Roman" w:hint="eastAsia"/>
          <w:bCs/>
          <w:iCs/>
          <w:sz w:val="24"/>
          <w:lang w:bidi="en-US"/>
        </w:rPr>
        <w:t>期内逐年增长，主要原因包括客户</w:t>
      </w:r>
      <w:r w:rsidRPr="00B209D7">
        <w:rPr>
          <w:rFonts w:ascii="Times New Roman" w:eastAsia="宋体" w:hAnsi="Times New Roman" w:cs="Times New Roman"/>
          <w:bCs/>
          <w:iCs/>
          <w:sz w:val="24"/>
          <w:lang w:bidi="en-US"/>
        </w:rPr>
        <w:t>内部付款审批程序较长</w:t>
      </w:r>
      <w:r w:rsidRPr="00B209D7">
        <w:rPr>
          <w:rFonts w:ascii="Times New Roman" w:eastAsia="宋体" w:hAnsi="Times New Roman" w:cs="Times New Roman" w:hint="eastAsia"/>
          <w:bCs/>
          <w:iCs/>
          <w:sz w:val="24"/>
          <w:lang w:bidi="en-US"/>
        </w:rPr>
        <w:t>、受</w:t>
      </w:r>
      <w:r w:rsidRPr="00B209D7">
        <w:rPr>
          <w:rFonts w:ascii="Times New Roman" w:eastAsia="宋体" w:hAnsi="Times New Roman" w:cs="Times New Roman"/>
          <w:bCs/>
          <w:iCs/>
          <w:sz w:val="24"/>
          <w:lang w:bidi="en-US"/>
        </w:rPr>
        <w:t>房地产行业调控政策</w:t>
      </w:r>
      <w:r w:rsidRPr="00B209D7">
        <w:rPr>
          <w:rFonts w:ascii="Times New Roman" w:eastAsia="宋体" w:hAnsi="Times New Roman" w:cs="Times New Roman" w:hint="eastAsia"/>
          <w:bCs/>
          <w:iCs/>
          <w:sz w:val="24"/>
          <w:lang w:bidi="en-US"/>
        </w:rPr>
        <w:t>影响而阶段性资金面收紧以及</w:t>
      </w:r>
      <w:r w:rsidRPr="00B209D7">
        <w:rPr>
          <w:rFonts w:ascii="Times New Roman" w:eastAsia="宋体" w:hAnsi="Times New Roman" w:cs="Times New Roman" w:hint="eastAsia"/>
          <w:bCs/>
          <w:iCs/>
          <w:sz w:val="24"/>
          <w:lang w:bidi="en-US"/>
        </w:rPr>
        <w:t>2020</w:t>
      </w:r>
      <w:r w:rsidRPr="00B209D7">
        <w:rPr>
          <w:rFonts w:ascii="Times New Roman" w:eastAsia="宋体" w:hAnsi="Times New Roman" w:cs="Times New Roman" w:hint="eastAsia"/>
          <w:bCs/>
          <w:iCs/>
          <w:sz w:val="24"/>
          <w:lang w:bidi="en-US"/>
        </w:rPr>
        <w:t>年疫情因素影响，存在一定的回款风险。</w:t>
      </w:r>
    </w:p>
    <w:p w:rsidR="00B209D7" w:rsidRPr="00B209D7" w:rsidRDefault="00B209D7" w:rsidP="00B209D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32"/>
          <w:szCs w:val="32"/>
          <w:lang w:bidi="en-US"/>
        </w:rPr>
      </w:pPr>
      <w:r w:rsidRPr="00B209D7">
        <w:rPr>
          <w:rFonts w:ascii="Times New Roman" w:eastAsia="宋体" w:hAnsi="Times New Roman" w:cs="Times New Roman"/>
          <w:bCs/>
          <w:iCs/>
          <w:sz w:val="24"/>
          <w:lang w:bidi="en-US"/>
        </w:rPr>
        <w:t>报告期各期，公司</w:t>
      </w:r>
      <w:proofErr w:type="gramStart"/>
      <w:r w:rsidRPr="00B209D7">
        <w:rPr>
          <w:rFonts w:ascii="Times New Roman" w:eastAsia="宋体" w:hAnsi="Times New Roman" w:cs="Times New Roman"/>
          <w:bCs/>
          <w:iCs/>
          <w:sz w:val="24"/>
          <w:lang w:bidi="en-US"/>
        </w:rPr>
        <w:t>对保利</w:t>
      </w:r>
      <w:proofErr w:type="gramEnd"/>
      <w:r w:rsidRPr="00B209D7">
        <w:rPr>
          <w:rFonts w:ascii="Times New Roman" w:eastAsia="宋体" w:hAnsi="Times New Roman" w:cs="Times New Roman"/>
          <w:bCs/>
          <w:iCs/>
          <w:sz w:val="24"/>
          <w:lang w:bidi="en-US"/>
        </w:rPr>
        <w:t>的应收账款余额分别为</w:t>
      </w:r>
      <w:r w:rsidRPr="00B209D7">
        <w:rPr>
          <w:rFonts w:ascii="Times New Roman" w:eastAsia="宋体" w:hAnsi="Times New Roman" w:cs="Times New Roman"/>
          <w:bCs/>
          <w:iCs/>
          <w:sz w:val="24"/>
          <w:lang w:bidi="en-US"/>
        </w:rPr>
        <w:t>3,610.27</w:t>
      </w:r>
      <w:r w:rsidRPr="00B209D7">
        <w:rPr>
          <w:rFonts w:ascii="Times New Roman" w:eastAsia="宋体" w:hAnsi="Times New Roman" w:cs="Times New Roman"/>
          <w:bCs/>
          <w:iCs/>
          <w:sz w:val="24"/>
          <w:lang w:bidi="en-US"/>
        </w:rPr>
        <w:t>万元、</w:t>
      </w:r>
      <w:r w:rsidRPr="00B209D7">
        <w:rPr>
          <w:rFonts w:ascii="Times New Roman" w:eastAsia="宋体" w:hAnsi="Times New Roman" w:cs="Times New Roman"/>
          <w:bCs/>
          <w:iCs/>
          <w:kern w:val="0"/>
          <w:sz w:val="24"/>
          <w:szCs w:val="24"/>
          <w:lang w:bidi="en-US"/>
        </w:rPr>
        <w:t>9,382.07</w:t>
      </w:r>
      <w:r w:rsidRPr="00B209D7">
        <w:rPr>
          <w:rFonts w:ascii="Times New Roman" w:eastAsia="宋体" w:hAnsi="Times New Roman" w:cs="Times New Roman"/>
          <w:bCs/>
          <w:iCs/>
          <w:sz w:val="24"/>
          <w:lang w:bidi="en-US"/>
        </w:rPr>
        <w:t>万元和</w:t>
      </w:r>
      <w:r w:rsidRPr="00B209D7">
        <w:rPr>
          <w:rFonts w:ascii="楷体" w:eastAsia="楷体" w:hAnsi="楷体" w:cs="Times New Roman"/>
          <w:b/>
          <w:bCs/>
          <w:iCs/>
          <w:kern w:val="0"/>
          <w:sz w:val="24"/>
          <w:szCs w:val="24"/>
          <w:lang w:bidi="en-US"/>
        </w:rPr>
        <w:t>15,873.62万元</w:t>
      </w:r>
      <w:r w:rsidRPr="00B209D7">
        <w:rPr>
          <w:rFonts w:ascii="Times New Roman" w:eastAsia="宋体" w:hAnsi="Times New Roman" w:cs="Times New Roman"/>
          <w:bCs/>
          <w:iCs/>
          <w:sz w:val="24"/>
          <w:lang w:bidi="en-US"/>
        </w:rPr>
        <w:t>，占当期应收账款余额的比例分比为</w:t>
      </w:r>
      <w:r w:rsidRPr="00B209D7">
        <w:rPr>
          <w:rFonts w:ascii="Times New Roman" w:eastAsia="宋体" w:hAnsi="Times New Roman" w:cs="Times New Roman"/>
          <w:bCs/>
          <w:iCs/>
          <w:sz w:val="24"/>
          <w:lang w:bidi="en-US"/>
        </w:rPr>
        <w:t>37.02%</w:t>
      </w:r>
      <w:r w:rsidRPr="00B209D7">
        <w:rPr>
          <w:rFonts w:ascii="Times New Roman" w:eastAsia="宋体" w:hAnsi="Times New Roman" w:cs="Times New Roman"/>
          <w:bCs/>
          <w:iCs/>
          <w:sz w:val="24"/>
          <w:lang w:bidi="en-US"/>
        </w:rPr>
        <w:t>、</w:t>
      </w:r>
      <w:r w:rsidRPr="00B209D7">
        <w:rPr>
          <w:rFonts w:ascii="Times New Roman" w:eastAsia="宋体" w:hAnsi="Times New Roman" w:cs="Times New Roman"/>
          <w:bCs/>
          <w:iCs/>
          <w:sz w:val="24"/>
          <w:lang w:bidi="en-US"/>
        </w:rPr>
        <w:t>44.18%</w:t>
      </w:r>
      <w:r w:rsidRPr="00B209D7">
        <w:rPr>
          <w:rFonts w:ascii="Times New Roman" w:eastAsia="宋体" w:hAnsi="Times New Roman" w:cs="Times New Roman"/>
          <w:bCs/>
          <w:iCs/>
          <w:sz w:val="24"/>
          <w:lang w:bidi="en-US"/>
        </w:rPr>
        <w:t>和</w:t>
      </w:r>
      <w:r w:rsidRPr="00B209D7">
        <w:rPr>
          <w:rFonts w:ascii="楷体" w:eastAsia="楷体" w:hAnsi="楷体" w:cs="Times New Roman"/>
          <w:b/>
          <w:bCs/>
          <w:iCs/>
          <w:kern w:val="0"/>
          <w:sz w:val="24"/>
          <w:szCs w:val="24"/>
          <w:lang w:bidi="en-US"/>
        </w:rPr>
        <w:t>48.63%</w:t>
      </w:r>
      <w:r w:rsidRPr="00B209D7">
        <w:rPr>
          <w:rFonts w:ascii="Times New Roman" w:eastAsia="宋体" w:hAnsi="Times New Roman" w:cs="Times New Roman"/>
          <w:bCs/>
          <w:iCs/>
          <w:sz w:val="24"/>
          <w:lang w:bidi="en-US"/>
        </w:rPr>
        <w:t>，</w:t>
      </w:r>
      <w:r w:rsidRPr="00B209D7">
        <w:rPr>
          <w:rFonts w:ascii="Times New Roman" w:eastAsia="宋体" w:hAnsi="Times New Roman" w:cs="Times New Roman"/>
          <w:bCs/>
          <w:iCs/>
          <w:sz w:val="24"/>
          <w:lang w:bidi="en-US"/>
        </w:rPr>
        <w:lastRenderedPageBreak/>
        <w:t>整体</w:t>
      </w:r>
      <w:proofErr w:type="gramStart"/>
      <w:r w:rsidRPr="00B209D7">
        <w:rPr>
          <w:rFonts w:ascii="Times New Roman" w:eastAsia="宋体" w:hAnsi="Times New Roman" w:cs="Times New Roman"/>
          <w:bCs/>
          <w:iCs/>
          <w:sz w:val="24"/>
          <w:lang w:bidi="en-US"/>
        </w:rPr>
        <w:t>占比较</w:t>
      </w:r>
      <w:proofErr w:type="gramEnd"/>
      <w:r w:rsidRPr="00B209D7">
        <w:rPr>
          <w:rFonts w:ascii="Times New Roman" w:eastAsia="宋体" w:hAnsi="Times New Roman" w:cs="Times New Roman"/>
          <w:bCs/>
          <w:iCs/>
          <w:sz w:val="24"/>
          <w:lang w:bidi="en-US"/>
        </w:rPr>
        <w:t>高</w:t>
      </w:r>
      <w:r w:rsidRPr="00B209D7">
        <w:rPr>
          <w:rFonts w:ascii="Times New Roman" w:eastAsia="宋体" w:hAnsi="Times New Roman" w:cs="Times New Roman"/>
          <w:bCs/>
          <w:sz w:val="24"/>
        </w:rPr>
        <w:t>。</w:t>
      </w:r>
    </w:p>
    <w:p w:rsidR="00B209D7" w:rsidRPr="00B209D7" w:rsidRDefault="00B209D7" w:rsidP="00B209D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B209D7">
        <w:rPr>
          <w:rFonts w:ascii="Times New Roman" w:eastAsia="宋体" w:hAnsi="Times New Roman" w:cs="Times New Roman"/>
          <w:bCs/>
          <w:iCs/>
          <w:sz w:val="24"/>
          <w:szCs w:val="24"/>
          <w:lang w:bidi="en-US"/>
        </w:rPr>
        <w:t>公司客户主要为房地产开发商，随着公司的收入规模不断扩大，未来如果客户出现财务状况恶化导致其无法按期付款的情况或者公司的应收</w:t>
      </w:r>
      <w:proofErr w:type="gramStart"/>
      <w:r w:rsidRPr="00B209D7">
        <w:rPr>
          <w:rFonts w:ascii="Times New Roman" w:eastAsia="宋体" w:hAnsi="Times New Roman" w:cs="Times New Roman"/>
          <w:bCs/>
          <w:iCs/>
          <w:sz w:val="24"/>
          <w:szCs w:val="24"/>
          <w:lang w:bidi="en-US"/>
        </w:rPr>
        <w:t>账款管</w:t>
      </w:r>
      <w:proofErr w:type="gramEnd"/>
      <w:r w:rsidRPr="00B209D7">
        <w:rPr>
          <w:rFonts w:ascii="Times New Roman" w:eastAsia="宋体" w:hAnsi="Times New Roman" w:cs="Times New Roman"/>
          <w:bCs/>
          <w:iCs/>
          <w:sz w:val="24"/>
          <w:szCs w:val="24"/>
          <w:lang w:bidi="en-US"/>
        </w:rPr>
        <w:t>控措施不力，将会使本公司面临坏账损失的风险，并对公司的资金周转和利润水平产生一定的不利影响。</w:t>
      </w:r>
    </w:p>
    <w:p w:rsidR="00776F91" w:rsidRDefault="000D3481" w:rsidP="00776F91">
      <w:pPr>
        <w:pStyle w:val="11"/>
        <w:spacing w:before="156" w:after="156"/>
        <w:rPr>
          <w:rFonts w:cs="Times New Roman"/>
          <w:bCs/>
          <w:iCs/>
          <w:lang w:bidi="en-US"/>
        </w:rPr>
      </w:pPr>
      <w:r w:rsidRPr="00FE23AE">
        <w:rPr>
          <w:rFonts w:cs="Times New Roman" w:hint="eastAsia"/>
          <w:bCs/>
          <w:iCs/>
          <w:lang w:bidi="en-US"/>
        </w:rPr>
        <w:t>发行人已在招股</w:t>
      </w:r>
      <w:r w:rsidRPr="00F43503">
        <w:rPr>
          <w:rFonts w:ascii="宋体" w:hAnsi="宋体" w:cs="Times New Roman" w:hint="eastAsia"/>
          <w:bCs/>
          <w:iCs/>
          <w:lang w:bidi="en-US"/>
        </w:rPr>
        <w:t>说明书“第四节</w:t>
      </w:r>
      <w:r w:rsidRPr="00F43503">
        <w:rPr>
          <w:rFonts w:ascii="宋体" w:hAnsi="宋体" w:cs="Times New Roman"/>
          <w:bCs/>
          <w:iCs/>
          <w:lang w:bidi="en-US"/>
        </w:rPr>
        <w:t xml:space="preserve"> 风险因素”之“</w:t>
      </w:r>
      <w:r w:rsidRPr="00F43503">
        <w:rPr>
          <w:rFonts w:ascii="宋体" w:hAnsi="宋体" w:cs="Times New Roman" w:hint="eastAsia"/>
          <w:bCs/>
          <w:iCs/>
          <w:lang w:bidi="en-US"/>
        </w:rPr>
        <w:t>三</w:t>
      </w:r>
      <w:r w:rsidRPr="00F43503">
        <w:rPr>
          <w:rFonts w:ascii="宋体" w:hAnsi="宋体" w:cs="Times New Roman"/>
          <w:bCs/>
          <w:iCs/>
          <w:lang w:bidi="en-US"/>
        </w:rPr>
        <w:t>、</w:t>
      </w:r>
      <w:r w:rsidRPr="00F43503">
        <w:rPr>
          <w:rFonts w:ascii="宋体" w:hAnsi="宋体" w:cs="Times New Roman" w:hint="eastAsia"/>
          <w:bCs/>
          <w:iCs/>
          <w:lang w:bidi="en-US"/>
        </w:rPr>
        <w:t>经营风险</w:t>
      </w:r>
      <w:r w:rsidRPr="00F43503">
        <w:rPr>
          <w:rFonts w:ascii="宋体" w:hAnsi="宋体" w:cs="Times New Roman"/>
          <w:bCs/>
          <w:iCs/>
          <w:lang w:bidi="en-US"/>
        </w:rPr>
        <w:t>”之“（</w:t>
      </w:r>
      <w:r w:rsidRPr="00F43503">
        <w:rPr>
          <w:rFonts w:ascii="宋体" w:hAnsi="宋体" w:cs="Times New Roman" w:hint="eastAsia"/>
          <w:bCs/>
          <w:iCs/>
          <w:lang w:bidi="en-US"/>
        </w:rPr>
        <w:t>三</w:t>
      </w:r>
      <w:r w:rsidRPr="00F43503">
        <w:rPr>
          <w:rFonts w:ascii="宋体" w:hAnsi="宋体" w:cs="Times New Roman"/>
          <w:bCs/>
          <w:iCs/>
          <w:lang w:bidi="en-US"/>
        </w:rPr>
        <w:t>）</w:t>
      </w:r>
      <w:r w:rsidRPr="00F43503">
        <w:rPr>
          <w:rFonts w:ascii="宋体" w:hAnsi="宋体" w:cs="Times New Roman" w:hint="eastAsia"/>
          <w:bCs/>
          <w:iCs/>
          <w:lang w:bidi="en-US"/>
        </w:rPr>
        <w:t>房地产行业调控的风险</w:t>
      </w:r>
      <w:r w:rsidRPr="00F43503">
        <w:rPr>
          <w:rFonts w:ascii="宋体" w:hAnsi="宋体" w:cs="Times New Roman"/>
          <w:bCs/>
          <w:iCs/>
          <w:lang w:bidi="en-US"/>
        </w:rPr>
        <w:t>”补充披露</w:t>
      </w:r>
      <w:r w:rsidRPr="00FE23AE">
        <w:rPr>
          <w:rFonts w:cs="Times New Roman"/>
          <w:bCs/>
          <w:iCs/>
          <w:lang w:bidi="en-US"/>
        </w:rPr>
        <w:t>如下：</w:t>
      </w:r>
    </w:p>
    <w:p w:rsidR="00B209D7" w:rsidRPr="00B209D7" w:rsidRDefault="00B209D7" w:rsidP="00B209D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B209D7">
        <w:rPr>
          <w:rFonts w:ascii="Times New Roman" w:eastAsia="宋体" w:hAnsi="Times New Roman" w:cs="Times New Roman" w:hint="eastAsia"/>
          <w:bCs/>
          <w:iCs/>
          <w:sz w:val="24"/>
          <w:szCs w:val="24"/>
          <w:lang w:bidi="en-US"/>
        </w:rPr>
        <w:t>公司所属的建筑设计行业与房地产行业密切相关。房地产行业具有一定的周期性，受宏观经济形势、产业政策调控影响明显。近年来，我国政府针对房地产行业出台了一系列调控政策，如“新国五条”，</w:t>
      </w:r>
      <w:r w:rsidRPr="00B209D7">
        <w:rPr>
          <w:rFonts w:ascii="Times New Roman" w:eastAsia="宋体" w:hAnsi="Times New Roman" w:cs="Times New Roman" w:hint="eastAsia"/>
          <w:bCs/>
          <w:iCs/>
          <w:sz w:val="24"/>
          <w:szCs w:val="24"/>
          <w:lang w:bidi="en-US"/>
        </w:rPr>
        <w:t>2018</w:t>
      </w:r>
      <w:r w:rsidRPr="00B209D7">
        <w:rPr>
          <w:rFonts w:ascii="Times New Roman" w:eastAsia="宋体" w:hAnsi="Times New Roman" w:cs="Times New Roman" w:hint="eastAsia"/>
          <w:bCs/>
          <w:iCs/>
          <w:sz w:val="24"/>
          <w:szCs w:val="24"/>
          <w:lang w:bidi="en-US"/>
        </w:rPr>
        <w:t>年</w:t>
      </w:r>
      <w:r w:rsidRPr="00B209D7">
        <w:rPr>
          <w:rFonts w:ascii="Times New Roman" w:eastAsia="宋体" w:hAnsi="Times New Roman" w:cs="Times New Roman" w:hint="eastAsia"/>
          <w:bCs/>
          <w:iCs/>
          <w:sz w:val="24"/>
          <w:szCs w:val="24"/>
          <w:lang w:bidi="en-US"/>
        </w:rPr>
        <w:t>4</w:t>
      </w:r>
      <w:r w:rsidRPr="00B209D7">
        <w:rPr>
          <w:rFonts w:ascii="Times New Roman" w:eastAsia="宋体" w:hAnsi="Times New Roman" w:cs="Times New Roman" w:hint="eastAsia"/>
          <w:bCs/>
          <w:iCs/>
          <w:sz w:val="24"/>
          <w:szCs w:val="24"/>
          <w:lang w:bidi="en-US"/>
        </w:rPr>
        <w:t>月央行、银保监会、证监会、</w:t>
      </w:r>
      <w:r w:rsidRPr="00B209D7">
        <w:rPr>
          <w:rFonts w:ascii="Times New Roman" w:eastAsia="宋体" w:hAnsi="Times New Roman" w:cs="Times New Roman"/>
          <w:bCs/>
          <w:iCs/>
          <w:sz w:val="24"/>
          <w:szCs w:val="24"/>
          <w:lang w:bidi="en-US"/>
        </w:rPr>
        <w:t>外汇局联合发布《关于规范金融机构资产管理业务的指导意见》（</w:t>
      </w:r>
      <w:r w:rsidRPr="00B209D7">
        <w:rPr>
          <w:rFonts w:ascii="Times New Roman" w:eastAsia="宋体" w:hAnsi="Times New Roman" w:cs="Times New Roman"/>
          <w:bCs/>
          <w:iCs/>
          <w:sz w:val="24"/>
          <w:szCs w:val="24"/>
          <w:lang w:bidi="en-US"/>
        </w:rPr>
        <w:t>“</w:t>
      </w:r>
      <w:r w:rsidRPr="00B209D7">
        <w:rPr>
          <w:rFonts w:ascii="Times New Roman" w:eastAsia="宋体" w:hAnsi="Times New Roman" w:cs="Times New Roman"/>
          <w:bCs/>
          <w:iCs/>
          <w:sz w:val="24"/>
          <w:szCs w:val="24"/>
          <w:lang w:bidi="en-US"/>
        </w:rPr>
        <w:t>资管新规</w:t>
      </w:r>
      <w:r w:rsidRPr="00B209D7">
        <w:rPr>
          <w:rFonts w:ascii="Times New Roman" w:eastAsia="宋体" w:hAnsi="Times New Roman" w:cs="Times New Roman"/>
          <w:bCs/>
          <w:iCs/>
          <w:sz w:val="24"/>
          <w:szCs w:val="24"/>
          <w:lang w:bidi="en-US"/>
        </w:rPr>
        <w:t>”</w:t>
      </w:r>
      <w:r w:rsidRPr="00B209D7">
        <w:rPr>
          <w:rFonts w:ascii="Times New Roman" w:eastAsia="宋体" w:hAnsi="Times New Roman" w:cs="Times New Roman"/>
          <w:bCs/>
          <w:iCs/>
          <w:sz w:val="24"/>
          <w:szCs w:val="24"/>
          <w:lang w:bidi="en-US"/>
        </w:rPr>
        <w:t>），</w:t>
      </w:r>
      <w:r w:rsidRPr="00B209D7">
        <w:rPr>
          <w:rFonts w:ascii="Times New Roman" w:eastAsia="宋体" w:hAnsi="Times New Roman" w:cs="Times New Roman"/>
          <w:bCs/>
          <w:iCs/>
          <w:sz w:val="24"/>
          <w:szCs w:val="24"/>
          <w:lang w:bidi="en-US"/>
        </w:rPr>
        <w:t>2019</w:t>
      </w:r>
      <w:r w:rsidRPr="00B209D7">
        <w:rPr>
          <w:rFonts w:ascii="Times New Roman" w:eastAsia="宋体" w:hAnsi="Times New Roman" w:cs="Times New Roman"/>
          <w:bCs/>
          <w:iCs/>
          <w:sz w:val="24"/>
          <w:szCs w:val="24"/>
          <w:lang w:bidi="en-US"/>
        </w:rPr>
        <w:t>年</w:t>
      </w:r>
      <w:r w:rsidRPr="00B209D7">
        <w:rPr>
          <w:rFonts w:ascii="Times New Roman" w:eastAsia="宋体" w:hAnsi="Times New Roman" w:cs="Times New Roman"/>
          <w:bCs/>
          <w:iCs/>
          <w:sz w:val="24"/>
          <w:szCs w:val="24"/>
          <w:lang w:bidi="en-US"/>
        </w:rPr>
        <w:t>5</w:t>
      </w:r>
      <w:r w:rsidRPr="00B209D7">
        <w:rPr>
          <w:rFonts w:ascii="Times New Roman" w:eastAsia="宋体" w:hAnsi="Times New Roman" w:cs="Times New Roman"/>
          <w:bCs/>
          <w:iCs/>
          <w:sz w:val="24"/>
          <w:szCs w:val="24"/>
          <w:lang w:bidi="en-US"/>
        </w:rPr>
        <w:t>月银保监会发布《关于开展</w:t>
      </w:r>
      <w:r w:rsidRPr="00B209D7">
        <w:rPr>
          <w:rFonts w:ascii="Times New Roman" w:eastAsia="宋体" w:hAnsi="Times New Roman" w:cs="Times New Roman"/>
          <w:bCs/>
          <w:iCs/>
          <w:sz w:val="24"/>
          <w:szCs w:val="24"/>
          <w:lang w:bidi="en-US"/>
        </w:rPr>
        <w:t>“</w:t>
      </w:r>
      <w:r w:rsidRPr="00B209D7">
        <w:rPr>
          <w:rFonts w:ascii="Times New Roman" w:eastAsia="宋体" w:hAnsi="Times New Roman" w:cs="Times New Roman"/>
          <w:bCs/>
          <w:iCs/>
          <w:sz w:val="24"/>
          <w:szCs w:val="24"/>
          <w:lang w:bidi="en-US"/>
        </w:rPr>
        <w:t>巩固治乱象成果</w:t>
      </w:r>
      <w:r w:rsidRPr="00B209D7">
        <w:rPr>
          <w:rFonts w:ascii="Times New Roman" w:eastAsia="宋体" w:hAnsi="Times New Roman" w:cs="Times New Roman"/>
          <w:bCs/>
          <w:iCs/>
          <w:sz w:val="24"/>
          <w:szCs w:val="24"/>
          <w:lang w:bidi="en-US"/>
        </w:rPr>
        <w:t xml:space="preserve"> </w:t>
      </w:r>
      <w:r w:rsidRPr="00B209D7">
        <w:rPr>
          <w:rFonts w:ascii="Times New Roman" w:eastAsia="宋体" w:hAnsi="Times New Roman" w:cs="Times New Roman"/>
          <w:bCs/>
          <w:iCs/>
          <w:sz w:val="24"/>
          <w:szCs w:val="24"/>
          <w:lang w:bidi="en-US"/>
        </w:rPr>
        <w:t>促进合规建设</w:t>
      </w:r>
      <w:r w:rsidRPr="00B209D7">
        <w:rPr>
          <w:rFonts w:ascii="Times New Roman" w:eastAsia="宋体" w:hAnsi="Times New Roman" w:cs="Times New Roman"/>
          <w:bCs/>
          <w:iCs/>
          <w:sz w:val="24"/>
          <w:szCs w:val="24"/>
          <w:lang w:bidi="en-US"/>
        </w:rPr>
        <w:t>”</w:t>
      </w:r>
      <w:r w:rsidRPr="00B209D7">
        <w:rPr>
          <w:rFonts w:ascii="Times New Roman" w:eastAsia="宋体" w:hAnsi="Times New Roman" w:cs="Times New Roman"/>
          <w:bCs/>
          <w:iCs/>
          <w:sz w:val="24"/>
          <w:szCs w:val="24"/>
          <w:lang w:bidi="en-US"/>
        </w:rPr>
        <w:t>工作的通知》（</w:t>
      </w:r>
      <w:r w:rsidRPr="00B209D7">
        <w:rPr>
          <w:rFonts w:ascii="Times New Roman" w:eastAsia="宋体" w:hAnsi="Times New Roman" w:cs="Times New Roman"/>
          <w:bCs/>
          <w:iCs/>
          <w:sz w:val="24"/>
          <w:szCs w:val="24"/>
          <w:lang w:bidi="en-US"/>
        </w:rPr>
        <w:t>“23</w:t>
      </w:r>
      <w:r w:rsidRPr="00B209D7">
        <w:rPr>
          <w:rFonts w:ascii="Times New Roman" w:eastAsia="宋体" w:hAnsi="Times New Roman" w:cs="Times New Roman"/>
          <w:bCs/>
          <w:iCs/>
          <w:sz w:val="24"/>
          <w:szCs w:val="24"/>
          <w:lang w:bidi="en-US"/>
        </w:rPr>
        <w:t>号文</w:t>
      </w:r>
      <w:r w:rsidRPr="00B209D7">
        <w:rPr>
          <w:rFonts w:ascii="Times New Roman" w:eastAsia="宋体" w:hAnsi="Times New Roman" w:cs="Times New Roman"/>
          <w:bCs/>
          <w:iCs/>
          <w:sz w:val="24"/>
          <w:szCs w:val="24"/>
          <w:lang w:bidi="en-US"/>
        </w:rPr>
        <w:t>”</w:t>
      </w:r>
      <w:r w:rsidRPr="00B209D7">
        <w:rPr>
          <w:rFonts w:ascii="Times New Roman" w:eastAsia="宋体" w:hAnsi="Times New Roman" w:cs="Times New Roman"/>
          <w:bCs/>
          <w:iCs/>
          <w:sz w:val="24"/>
          <w:szCs w:val="24"/>
          <w:lang w:bidi="en-US"/>
        </w:rPr>
        <w:t>）等，上述政策从限制房地产企业融资规模、增加保障性住房和普通商品住房有效供给、抑制投资投机性购房需求、促进供应土地的及时开发利用等多个方面进行调控。同时，政府推出的限购、提高交易税费等短期调控政策，也直接影响了商品住宅的短期需求，一定程度上造成了房地产市场成交量的下降。这些经济政策都会对公司业务发展构成一定影响。在上述政策背景下，</w:t>
      </w:r>
      <w:r w:rsidRPr="00B209D7">
        <w:rPr>
          <w:rFonts w:ascii="Times New Roman" w:eastAsia="宋体" w:hAnsi="Times New Roman" w:cs="Times New Roman"/>
          <w:bCs/>
          <w:iCs/>
          <w:sz w:val="24"/>
          <w:szCs w:val="24"/>
          <w:lang w:bidi="en-US"/>
        </w:rPr>
        <w:t>2019</w:t>
      </w:r>
      <w:r w:rsidRPr="00B209D7">
        <w:rPr>
          <w:rFonts w:ascii="Times New Roman" w:eastAsia="宋体" w:hAnsi="Times New Roman" w:cs="Times New Roman"/>
          <w:bCs/>
          <w:iCs/>
          <w:sz w:val="24"/>
          <w:szCs w:val="24"/>
          <w:lang w:bidi="en-US"/>
        </w:rPr>
        <w:t>年度公司实现营业收入</w:t>
      </w:r>
      <w:r w:rsidRPr="00B209D7">
        <w:rPr>
          <w:rFonts w:ascii="Times New Roman" w:eastAsia="宋体" w:hAnsi="Times New Roman" w:cs="Times New Roman"/>
          <w:bCs/>
          <w:iCs/>
          <w:sz w:val="24"/>
          <w:szCs w:val="24"/>
          <w:lang w:bidi="en-US"/>
        </w:rPr>
        <w:t>26,664.14</w:t>
      </w:r>
      <w:r w:rsidRPr="00B209D7">
        <w:rPr>
          <w:rFonts w:ascii="Times New Roman" w:eastAsia="宋体" w:hAnsi="Times New Roman" w:cs="Times New Roman" w:hint="eastAsia"/>
          <w:bCs/>
          <w:iCs/>
          <w:sz w:val="24"/>
          <w:szCs w:val="24"/>
          <w:lang w:bidi="en-US"/>
        </w:rPr>
        <w:t>万元，净利润</w:t>
      </w:r>
      <w:r w:rsidRPr="00B209D7">
        <w:rPr>
          <w:rFonts w:ascii="Times New Roman" w:eastAsia="宋体" w:hAnsi="Times New Roman" w:cs="Times New Roman" w:hint="eastAsia"/>
          <w:bCs/>
          <w:iCs/>
          <w:sz w:val="24"/>
          <w:szCs w:val="24"/>
          <w:lang w:bidi="en-US"/>
        </w:rPr>
        <w:t>6,366.53</w:t>
      </w:r>
      <w:r w:rsidRPr="00B209D7">
        <w:rPr>
          <w:rFonts w:ascii="Times New Roman" w:eastAsia="宋体" w:hAnsi="Times New Roman" w:cs="Times New Roman" w:hint="eastAsia"/>
          <w:bCs/>
          <w:iCs/>
          <w:sz w:val="24"/>
          <w:szCs w:val="24"/>
          <w:lang w:bidi="en-US"/>
        </w:rPr>
        <w:t>万元，增速有所放缓，同时当年经营回款情况有所下降，当年应收账款及应收票据占营业收入比例</w:t>
      </w:r>
      <w:r w:rsidRPr="00B209D7">
        <w:rPr>
          <w:rFonts w:ascii="Times New Roman" w:eastAsia="宋体" w:hAnsi="Times New Roman" w:cs="Times New Roman" w:hint="eastAsia"/>
          <w:bCs/>
          <w:iCs/>
          <w:sz w:val="24"/>
          <w:szCs w:val="24"/>
          <w:lang w:bidi="en-US"/>
        </w:rPr>
        <w:t>80.71%</w:t>
      </w:r>
      <w:r w:rsidRPr="00B209D7">
        <w:rPr>
          <w:rFonts w:ascii="Times New Roman" w:eastAsia="宋体" w:hAnsi="Times New Roman" w:cs="Times New Roman" w:hint="eastAsia"/>
          <w:bCs/>
          <w:iCs/>
          <w:sz w:val="24"/>
          <w:szCs w:val="24"/>
          <w:lang w:bidi="en-US"/>
        </w:rPr>
        <w:t>，较以前年度有所上升。</w:t>
      </w:r>
    </w:p>
    <w:p w:rsidR="00B209D7" w:rsidRPr="00B209D7" w:rsidRDefault="00B209D7" w:rsidP="00B209D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B209D7">
        <w:rPr>
          <w:rFonts w:ascii="Times New Roman" w:eastAsia="宋体" w:hAnsi="Times New Roman" w:cs="Times New Roman" w:hint="eastAsia"/>
          <w:bCs/>
          <w:iCs/>
          <w:sz w:val="24"/>
          <w:szCs w:val="24"/>
          <w:lang w:bidi="en-US"/>
        </w:rPr>
        <w:t>2020</w:t>
      </w:r>
      <w:r w:rsidRPr="00B209D7">
        <w:rPr>
          <w:rFonts w:ascii="Times New Roman" w:eastAsia="宋体" w:hAnsi="Times New Roman" w:cs="Times New Roman" w:hint="eastAsia"/>
          <w:bCs/>
          <w:iCs/>
          <w:sz w:val="24"/>
          <w:szCs w:val="24"/>
          <w:lang w:bidi="en-US"/>
        </w:rPr>
        <w:t>年前三季度，我国住宅新开工面积共计</w:t>
      </w:r>
      <w:r w:rsidRPr="00B209D7">
        <w:rPr>
          <w:rFonts w:ascii="Times New Roman" w:eastAsia="宋体" w:hAnsi="Times New Roman" w:cs="Times New Roman" w:hint="eastAsia"/>
          <w:bCs/>
          <w:iCs/>
          <w:sz w:val="24"/>
          <w:szCs w:val="24"/>
          <w:lang w:bidi="en-US"/>
        </w:rPr>
        <w:t>117,193</w:t>
      </w:r>
      <w:r w:rsidRPr="00B209D7">
        <w:rPr>
          <w:rFonts w:ascii="Times New Roman" w:eastAsia="宋体" w:hAnsi="Times New Roman" w:cs="Times New Roman" w:hint="eastAsia"/>
          <w:bCs/>
          <w:iCs/>
          <w:sz w:val="24"/>
          <w:szCs w:val="24"/>
          <w:lang w:bidi="en-US"/>
        </w:rPr>
        <w:t>万平方米，较</w:t>
      </w:r>
      <w:r w:rsidRPr="00B209D7">
        <w:rPr>
          <w:rFonts w:ascii="Times New Roman" w:eastAsia="宋体" w:hAnsi="Times New Roman" w:cs="Times New Roman" w:hint="eastAsia"/>
          <w:bCs/>
          <w:iCs/>
          <w:sz w:val="24"/>
          <w:szCs w:val="24"/>
          <w:lang w:bidi="en-US"/>
        </w:rPr>
        <w:t>2019</w:t>
      </w:r>
      <w:r w:rsidRPr="00B209D7">
        <w:rPr>
          <w:rFonts w:ascii="Times New Roman" w:eastAsia="宋体" w:hAnsi="Times New Roman" w:cs="Times New Roman" w:hint="eastAsia"/>
          <w:bCs/>
          <w:iCs/>
          <w:sz w:val="24"/>
          <w:szCs w:val="24"/>
          <w:lang w:bidi="en-US"/>
        </w:rPr>
        <w:t>年前三季度下降</w:t>
      </w:r>
      <w:r w:rsidRPr="00B209D7">
        <w:rPr>
          <w:rFonts w:ascii="Times New Roman" w:eastAsia="宋体" w:hAnsi="Times New Roman" w:cs="Times New Roman" w:hint="eastAsia"/>
          <w:bCs/>
          <w:iCs/>
          <w:sz w:val="24"/>
          <w:szCs w:val="24"/>
          <w:lang w:bidi="en-US"/>
        </w:rPr>
        <w:t>4.18%</w:t>
      </w:r>
      <w:r w:rsidRPr="00B209D7">
        <w:rPr>
          <w:rFonts w:ascii="Times New Roman" w:eastAsia="宋体" w:hAnsi="Times New Roman" w:cs="Times New Roman" w:hint="eastAsia"/>
          <w:bCs/>
          <w:iCs/>
          <w:sz w:val="24"/>
          <w:szCs w:val="24"/>
          <w:lang w:bidi="en-US"/>
        </w:rPr>
        <w:t>。其中，受新冠疫情影响，</w:t>
      </w:r>
      <w:r w:rsidRPr="00B209D7">
        <w:rPr>
          <w:rFonts w:ascii="Times New Roman" w:eastAsia="宋体" w:hAnsi="Times New Roman" w:cs="Times New Roman" w:hint="eastAsia"/>
          <w:bCs/>
          <w:iCs/>
          <w:sz w:val="24"/>
          <w:szCs w:val="24"/>
          <w:lang w:bidi="en-US"/>
        </w:rPr>
        <w:t>2020</w:t>
      </w:r>
      <w:r w:rsidRPr="00B209D7">
        <w:rPr>
          <w:rFonts w:ascii="Times New Roman" w:eastAsia="宋体" w:hAnsi="Times New Roman" w:cs="Times New Roman" w:hint="eastAsia"/>
          <w:bCs/>
          <w:iCs/>
          <w:sz w:val="24"/>
          <w:szCs w:val="24"/>
          <w:lang w:bidi="en-US"/>
        </w:rPr>
        <w:t>年第一季度住宅新开工面积</w:t>
      </w:r>
      <w:r w:rsidRPr="00B209D7">
        <w:rPr>
          <w:rFonts w:ascii="Times New Roman" w:eastAsia="宋体" w:hAnsi="Times New Roman" w:cs="Times New Roman" w:hint="eastAsia"/>
          <w:bCs/>
          <w:iCs/>
          <w:sz w:val="24"/>
          <w:szCs w:val="24"/>
          <w:lang w:bidi="en-US"/>
        </w:rPr>
        <w:t>20,799</w:t>
      </w:r>
      <w:r w:rsidRPr="00B209D7">
        <w:rPr>
          <w:rFonts w:ascii="Times New Roman" w:eastAsia="宋体" w:hAnsi="Times New Roman" w:cs="Times New Roman" w:hint="eastAsia"/>
          <w:bCs/>
          <w:iCs/>
          <w:sz w:val="24"/>
          <w:szCs w:val="24"/>
          <w:lang w:bidi="en-US"/>
        </w:rPr>
        <w:t>万平方米，较</w:t>
      </w:r>
      <w:r w:rsidRPr="00B209D7">
        <w:rPr>
          <w:rFonts w:ascii="Times New Roman" w:eastAsia="宋体" w:hAnsi="Times New Roman" w:cs="Times New Roman"/>
          <w:bCs/>
          <w:iCs/>
          <w:sz w:val="24"/>
          <w:szCs w:val="24"/>
          <w:lang w:bidi="en-US"/>
        </w:rPr>
        <w:t>2</w:t>
      </w:r>
      <w:r w:rsidRPr="00B209D7">
        <w:rPr>
          <w:rFonts w:ascii="Times New Roman" w:eastAsia="宋体" w:hAnsi="Times New Roman" w:cs="Times New Roman" w:hint="eastAsia"/>
          <w:bCs/>
          <w:iCs/>
          <w:sz w:val="24"/>
          <w:szCs w:val="24"/>
          <w:lang w:bidi="en-US"/>
        </w:rPr>
        <w:t>019</w:t>
      </w:r>
      <w:r w:rsidRPr="00B209D7">
        <w:rPr>
          <w:rFonts w:ascii="Times New Roman" w:eastAsia="宋体" w:hAnsi="Times New Roman" w:cs="Times New Roman" w:hint="eastAsia"/>
          <w:bCs/>
          <w:iCs/>
          <w:sz w:val="24"/>
          <w:szCs w:val="24"/>
          <w:lang w:bidi="en-US"/>
        </w:rPr>
        <w:t>年同期下降</w:t>
      </w:r>
      <w:r w:rsidRPr="00B209D7">
        <w:rPr>
          <w:rFonts w:ascii="Times New Roman" w:eastAsia="宋体" w:hAnsi="Times New Roman" w:cs="Times New Roman" w:hint="eastAsia"/>
          <w:bCs/>
          <w:iCs/>
          <w:sz w:val="24"/>
          <w:szCs w:val="24"/>
          <w:lang w:bidi="en-US"/>
        </w:rPr>
        <w:t>26.94%</w:t>
      </w:r>
      <w:r w:rsidRPr="00B209D7">
        <w:rPr>
          <w:rFonts w:ascii="Times New Roman" w:eastAsia="宋体" w:hAnsi="Times New Roman" w:cs="Times New Roman" w:hint="eastAsia"/>
          <w:bCs/>
          <w:iCs/>
          <w:sz w:val="24"/>
          <w:szCs w:val="24"/>
          <w:lang w:bidi="en-US"/>
        </w:rPr>
        <w:t>。随着国内普遍复产复工，第二季度及第三季度住宅新开工面积分别为</w:t>
      </w:r>
      <w:r w:rsidRPr="00B209D7">
        <w:rPr>
          <w:rFonts w:ascii="Times New Roman" w:eastAsia="宋体" w:hAnsi="Times New Roman" w:cs="Times New Roman" w:hint="eastAsia"/>
          <w:bCs/>
          <w:iCs/>
          <w:sz w:val="24"/>
          <w:szCs w:val="24"/>
          <w:lang w:bidi="en-US"/>
        </w:rPr>
        <w:t>50,784</w:t>
      </w:r>
      <w:r w:rsidRPr="00B209D7">
        <w:rPr>
          <w:rFonts w:ascii="Times New Roman" w:eastAsia="宋体" w:hAnsi="Times New Roman" w:cs="Times New Roman" w:hint="eastAsia"/>
          <w:bCs/>
          <w:iCs/>
          <w:sz w:val="24"/>
          <w:szCs w:val="24"/>
          <w:lang w:bidi="en-US"/>
        </w:rPr>
        <w:t>万平方米及</w:t>
      </w:r>
      <w:r w:rsidRPr="00B209D7">
        <w:rPr>
          <w:rFonts w:ascii="Times New Roman" w:eastAsia="宋体" w:hAnsi="Times New Roman" w:cs="Times New Roman" w:hint="eastAsia"/>
          <w:bCs/>
          <w:iCs/>
          <w:sz w:val="24"/>
          <w:szCs w:val="24"/>
          <w:lang w:bidi="en-US"/>
        </w:rPr>
        <w:t>45,610</w:t>
      </w:r>
      <w:r w:rsidRPr="00B209D7">
        <w:rPr>
          <w:rFonts w:ascii="Times New Roman" w:eastAsia="宋体" w:hAnsi="Times New Roman" w:cs="Times New Roman" w:hint="eastAsia"/>
          <w:bCs/>
          <w:iCs/>
          <w:sz w:val="24"/>
          <w:szCs w:val="24"/>
          <w:lang w:bidi="en-US"/>
        </w:rPr>
        <w:t>万平方米，较</w:t>
      </w:r>
      <w:r w:rsidRPr="00B209D7">
        <w:rPr>
          <w:rFonts w:ascii="Times New Roman" w:eastAsia="宋体" w:hAnsi="Times New Roman" w:cs="Times New Roman" w:hint="eastAsia"/>
          <w:bCs/>
          <w:iCs/>
          <w:sz w:val="24"/>
          <w:szCs w:val="24"/>
          <w:lang w:bidi="en-US"/>
        </w:rPr>
        <w:t>2019</w:t>
      </w:r>
      <w:r w:rsidRPr="00B209D7">
        <w:rPr>
          <w:rFonts w:ascii="Times New Roman" w:eastAsia="宋体" w:hAnsi="Times New Roman" w:cs="Times New Roman" w:hint="eastAsia"/>
          <w:bCs/>
          <w:iCs/>
          <w:sz w:val="24"/>
          <w:szCs w:val="24"/>
          <w:lang w:bidi="en-US"/>
        </w:rPr>
        <w:t>年同期分别增长</w:t>
      </w:r>
      <w:r w:rsidRPr="00B209D7">
        <w:rPr>
          <w:rFonts w:ascii="Times New Roman" w:eastAsia="宋体" w:hAnsi="Times New Roman" w:cs="Times New Roman" w:hint="eastAsia"/>
          <w:bCs/>
          <w:iCs/>
          <w:sz w:val="24"/>
          <w:szCs w:val="24"/>
          <w:lang w:bidi="en-US"/>
        </w:rPr>
        <w:t>2.53%</w:t>
      </w:r>
      <w:r w:rsidRPr="00B209D7">
        <w:rPr>
          <w:rFonts w:ascii="Times New Roman" w:eastAsia="宋体" w:hAnsi="Times New Roman" w:cs="Times New Roman" w:hint="eastAsia"/>
          <w:bCs/>
          <w:iCs/>
          <w:sz w:val="24"/>
          <w:szCs w:val="24"/>
          <w:lang w:bidi="en-US"/>
        </w:rPr>
        <w:t>及</w:t>
      </w:r>
      <w:r w:rsidRPr="00B209D7">
        <w:rPr>
          <w:rFonts w:ascii="Times New Roman" w:eastAsia="宋体" w:hAnsi="Times New Roman" w:cs="Times New Roman" w:hint="eastAsia"/>
          <w:bCs/>
          <w:iCs/>
          <w:sz w:val="24"/>
          <w:szCs w:val="24"/>
          <w:lang w:bidi="en-US"/>
        </w:rPr>
        <w:t>2.93%</w:t>
      </w:r>
      <w:r w:rsidRPr="00B209D7">
        <w:rPr>
          <w:rFonts w:ascii="Times New Roman" w:eastAsia="宋体" w:hAnsi="Times New Roman" w:cs="Times New Roman" w:hint="eastAsia"/>
          <w:bCs/>
          <w:iCs/>
          <w:sz w:val="24"/>
          <w:szCs w:val="24"/>
          <w:lang w:bidi="en-US"/>
        </w:rPr>
        <w:t>，基本恢复正常增长水平。住宅新开工面积可能发生的不利变化会对公司经营业绩造成影响。</w:t>
      </w:r>
    </w:p>
    <w:p w:rsidR="00B209D7" w:rsidRPr="00B209D7" w:rsidRDefault="00B209D7" w:rsidP="00B209D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B209D7">
        <w:rPr>
          <w:rFonts w:ascii="Times New Roman" w:eastAsia="宋体" w:hAnsi="Times New Roman" w:cs="Times New Roman" w:hint="eastAsia"/>
          <w:bCs/>
          <w:iCs/>
          <w:sz w:val="24"/>
          <w:szCs w:val="24"/>
          <w:lang w:bidi="en-US"/>
        </w:rPr>
        <w:t>同时，</w:t>
      </w:r>
      <w:r w:rsidRPr="00B209D7">
        <w:rPr>
          <w:rFonts w:ascii="Times New Roman" w:eastAsia="宋体" w:hAnsi="Times New Roman" w:cs="Times New Roman"/>
          <w:bCs/>
          <w:iCs/>
          <w:sz w:val="24"/>
          <w:szCs w:val="24"/>
          <w:lang w:bidi="en-US"/>
        </w:rPr>
        <w:t>2020</w:t>
      </w:r>
      <w:r w:rsidRPr="00B209D7">
        <w:rPr>
          <w:rFonts w:ascii="Times New Roman" w:eastAsia="宋体" w:hAnsi="Times New Roman" w:cs="Times New Roman"/>
          <w:bCs/>
          <w:iCs/>
          <w:sz w:val="24"/>
          <w:szCs w:val="24"/>
          <w:lang w:bidi="en-US"/>
        </w:rPr>
        <w:t>年</w:t>
      </w:r>
      <w:r w:rsidRPr="00B209D7">
        <w:rPr>
          <w:rFonts w:ascii="Times New Roman" w:eastAsia="宋体" w:hAnsi="Times New Roman" w:cs="Times New Roman"/>
          <w:bCs/>
          <w:iCs/>
          <w:sz w:val="24"/>
          <w:szCs w:val="24"/>
          <w:lang w:bidi="en-US"/>
        </w:rPr>
        <w:t>8</w:t>
      </w:r>
      <w:r w:rsidRPr="00B209D7">
        <w:rPr>
          <w:rFonts w:ascii="Times New Roman" w:eastAsia="宋体" w:hAnsi="Times New Roman" w:cs="Times New Roman"/>
          <w:bCs/>
          <w:iCs/>
          <w:sz w:val="24"/>
          <w:szCs w:val="24"/>
          <w:lang w:bidi="en-US"/>
        </w:rPr>
        <w:t>月，</w:t>
      </w:r>
      <w:r w:rsidRPr="00B209D7">
        <w:rPr>
          <w:rFonts w:ascii="Times New Roman" w:eastAsia="宋体" w:hAnsi="Times New Roman" w:cs="Times New Roman" w:hint="eastAsia"/>
          <w:bCs/>
          <w:iCs/>
          <w:sz w:val="24"/>
          <w:szCs w:val="24"/>
          <w:lang w:bidi="en-US"/>
        </w:rPr>
        <w:t>监管部门出台房地产融资新</w:t>
      </w:r>
      <w:proofErr w:type="gramStart"/>
      <w:r w:rsidRPr="00B209D7">
        <w:rPr>
          <w:rFonts w:ascii="Times New Roman" w:eastAsia="宋体" w:hAnsi="Times New Roman" w:cs="Times New Roman" w:hint="eastAsia"/>
          <w:bCs/>
          <w:iCs/>
          <w:sz w:val="24"/>
          <w:szCs w:val="24"/>
          <w:lang w:bidi="en-US"/>
        </w:rPr>
        <w:t>规</w:t>
      </w:r>
      <w:proofErr w:type="gramEnd"/>
      <w:r w:rsidRPr="00B209D7">
        <w:rPr>
          <w:rFonts w:ascii="Times New Roman" w:eastAsia="宋体" w:hAnsi="Times New Roman" w:cs="Times New Roman" w:hint="eastAsia"/>
          <w:bCs/>
          <w:iCs/>
          <w:sz w:val="24"/>
          <w:szCs w:val="24"/>
          <w:lang w:bidi="en-US"/>
        </w:rPr>
        <w:t>，设置“三道红线”控制房地产企业有息债务的增长，旨在保障地产行业的持续健康发展，通过</w:t>
      </w:r>
      <w:proofErr w:type="gramStart"/>
      <w:r w:rsidRPr="00B209D7">
        <w:rPr>
          <w:rFonts w:ascii="Times New Roman" w:eastAsia="宋体" w:hAnsi="Times New Roman" w:cs="Times New Roman" w:hint="eastAsia"/>
          <w:bCs/>
          <w:iCs/>
          <w:sz w:val="24"/>
          <w:szCs w:val="24"/>
          <w:lang w:bidi="en-US"/>
        </w:rPr>
        <w:t>控制房企</w:t>
      </w:r>
      <w:r w:rsidRPr="00B209D7">
        <w:rPr>
          <w:rFonts w:ascii="Times New Roman" w:eastAsia="宋体" w:hAnsi="Times New Roman" w:cs="Times New Roman" w:hint="eastAsia"/>
          <w:bCs/>
          <w:iCs/>
          <w:sz w:val="24"/>
          <w:szCs w:val="24"/>
          <w:lang w:bidi="en-US"/>
        </w:rPr>
        <w:lastRenderedPageBreak/>
        <w:t>有息</w:t>
      </w:r>
      <w:proofErr w:type="gramEnd"/>
      <w:r w:rsidRPr="00B209D7">
        <w:rPr>
          <w:rFonts w:ascii="Times New Roman" w:eastAsia="宋体" w:hAnsi="Times New Roman" w:cs="Times New Roman" w:hint="eastAsia"/>
          <w:bCs/>
          <w:iCs/>
          <w:sz w:val="24"/>
          <w:szCs w:val="24"/>
          <w:lang w:bidi="en-US"/>
        </w:rPr>
        <w:t>负债规模增长速度，对地产行业融资供给进行结构性调控。其中，公司报告期内的主要客户，保利、</w:t>
      </w:r>
      <w:proofErr w:type="gramStart"/>
      <w:r w:rsidRPr="00B209D7">
        <w:rPr>
          <w:rFonts w:ascii="Times New Roman" w:eastAsia="宋体" w:hAnsi="Times New Roman" w:cs="Times New Roman" w:hint="eastAsia"/>
          <w:bCs/>
          <w:iCs/>
          <w:sz w:val="24"/>
          <w:szCs w:val="24"/>
          <w:lang w:bidi="en-US"/>
        </w:rPr>
        <w:t>世</w:t>
      </w:r>
      <w:proofErr w:type="gramEnd"/>
      <w:r w:rsidRPr="00B209D7">
        <w:rPr>
          <w:rFonts w:ascii="Times New Roman" w:eastAsia="宋体" w:hAnsi="Times New Roman" w:cs="Times New Roman" w:hint="eastAsia"/>
          <w:bCs/>
          <w:iCs/>
          <w:sz w:val="24"/>
          <w:szCs w:val="24"/>
          <w:lang w:bidi="en-US"/>
        </w:rPr>
        <w:t>茂归入绿色档，未触及红线，其他客户例如绿地、阳光城、北辰等，根据触及红线数量的不同，相应被归入</w:t>
      </w:r>
      <w:r w:rsidRPr="00B209D7">
        <w:rPr>
          <w:rFonts w:ascii="Times New Roman" w:eastAsia="宋体" w:hAnsi="Times New Roman" w:cs="Times New Roman"/>
          <w:bCs/>
          <w:iCs/>
          <w:sz w:val="24"/>
          <w:szCs w:val="24"/>
          <w:lang w:bidi="en-US"/>
        </w:rPr>
        <w:t>黄</w:t>
      </w:r>
      <w:r w:rsidRPr="00B209D7">
        <w:rPr>
          <w:rFonts w:ascii="Times New Roman" w:eastAsia="宋体" w:hAnsi="Times New Roman" w:cs="Times New Roman" w:hint="eastAsia"/>
          <w:bCs/>
          <w:iCs/>
          <w:sz w:val="24"/>
          <w:szCs w:val="24"/>
          <w:lang w:bidi="en-US"/>
        </w:rPr>
        <w:t>、</w:t>
      </w:r>
      <w:r w:rsidRPr="00B209D7">
        <w:rPr>
          <w:rFonts w:ascii="Times New Roman" w:eastAsia="宋体" w:hAnsi="Times New Roman" w:cs="Times New Roman"/>
          <w:bCs/>
          <w:iCs/>
          <w:sz w:val="24"/>
          <w:szCs w:val="24"/>
          <w:lang w:bidi="en-US"/>
        </w:rPr>
        <w:t>橙</w:t>
      </w:r>
      <w:r w:rsidRPr="00B209D7">
        <w:rPr>
          <w:rFonts w:ascii="Times New Roman" w:eastAsia="宋体" w:hAnsi="Times New Roman" w:cs="Times New Roman" w:hint="eastAsia"/>
          <w:bCs/>
          <w:iCs/>
          <w:sz w:val="24"/>
          <w:szCs w:val="24"/>
          <w:lang w:bidi="en-US"/>
        </w:rPr>
        <w:t>、</w:t>
      </w:r>
      <w:r w:rsidRPr="00B209D7">
        <w:rPr>
          <w:rFonts w:ascii="Times New Roman" w:eastAsia="宋体" w:hAnsi="Times New Roman" w:cs="Times New Roman"/>
          <w:bCs/>
          <w:iCs/>
          <w:sz w:val="24"/>
          <w:szCs w:val="24"/>
          <w:lang w:bidi="en-US"/>
        </w:rPr>
        <w:t>红</w:t>
      </w:r>
      <w:r w:rsidRPr="00B209D7">
        <w:rPr>
          <w:rFonts w:ascii="Times New Roman" w:eastAsia="宋体" w:hAnsi="Times New Roman" w:cs="Times New Roman" w:hint="eastAsia"/>
          <w:bCs/>
          <w:iCs/>
          <w:sz w:val="24"/>
          <w:szCs w:val="24"/>
          <w:lang w:bidi="en-US"/>
        </w:rPr>
        <w:t>三</w:t>
      </w:r>
      <w:r w:rsidRPr="00B209D7">
        <w:rPr>
          <w:rFonts w:ascii="Times New Roman" w:eastAsia="宋体" w:hAnsi="Times New Roman" w:cs="Times New Roman"/>
          <w:bCs/>
          <w:iCs/>
          <w:sz w:val="24"/>
          <w:szCs w:val="24"/>
          <w:lang w:bidi="en-US"/>
        </w:rPr>
        <w:t>档</w:t>
      </w:r>
      <w:r w:rsidRPr="00B209D7">
        <w:rPr>
          <w:rFonts w:ascii="Times New Roman" w:eastAsia="宋体" w:hAnsi="Times New Roman" w:cs="Times New Roman" w:hint="eastAsia"/>
          <w:bCs/>
          <w:iCs/>
          <w:sz w:val="24"/>
          <w:szCs w:val="24"/>
          <w:lang w:bidi="en-US"/>
        </w:rPr>
        <w:t>。在上述融资政策调整预期下，可能会导致该等客户的融资难度有所增加，从而给公司带来应收账款回款周期延长、发生坏账损失的可能性增加等经营风险。若公司上述主要客户未能较好地应对包括“三道红线”在内的房地产宏观调控政策，将会对</w:t>
      </w:r>
      <w:r w:rsidRPr="00B209D7">
        <w:rPr>
          <w:rFonts w:ascii="Times New Roman" w:eastAsia="宋体" w:hAnsi="Times New Roman" w:cs="Times New Roman"/>
          <w:bCs/>
          <w:iCs/>
          <w:sz w:val="24"/>
          <w:szCs w:val="24"/>
          <w:lang w:bidi="en-US"/>
        </w:rPr>
        <w:t>公司的经营业绩构成冲击。</w:t>
      </w:r>
      <w:r w:rsidRPr="00B209D7">
        <w:rPr>
          <w:rFonts w:ascii="Times New Roman" w:eastAsia="宋体" w:hAnsi="Times New Roman" w:cs="Times New Roman"/>
          <w:bCs/>
          <w:iCs/>
          <w:sz w:val="24"/>
          <w:szCs w:val="24"/>
          <w:lang w:bidi="en-US"/>
        </w:rPr>
        <w:t>2020</w:t>
      </w:r>
      <w:r w:rsidRPr="00B209D7">
        <w:rPr>
          <w:rFonts w:ascii="Times New Roman" w:eastAsia="宋体" w:hAnsi="Times New Roman" w:cs="Times New Roman"/>
          <w:bCs/>
          <w:iCs/>
          <w:sz w:val="24"/>
          <w:szCs w:val="24"/>
          <w:lang w:bidi="en-US"/>
        </w:rPr>
        <w:t>年</w:t>
      </w:r>
      <w:r w:rsidRPr="00B209D7">
        <w:rPr>
          <w:rFonts w:ascii="Times New Roman" w:eastAsia="宋体" w:hAnsi="Times New Roman" w:cs="Times New Roman"/>
          <w:bCs/>
          <w:iCs/>
          <w:sz w:val="24"/>
          <w:szCs w:val="24"/>
          <w:lang w:bidi="en-US"/>
        </w:rPr>
        <w:t>12</w:t>
      </w:r>
      <w:r w:rsidRPr="00B209D7">
        <w:rPr>
          <w:rFonts w:ascii="Times New Roman" w:eastAsia="宋体" w:hAnsi="Times New Roman" w:cs="Times New Roman"/>
          <w:bCs/>
          <w:iCs/>
          <w:sz w:val="24"/>
          <w:szCs w:val="24"/>
          <w:lang w:bidi="en-US"/>
        </w:rPr>
        <w:t>月</w:t>
      </w:r>
      <w:r w:rsidRPr="00B209D7">
        <w:rPr>
          <w:rFonts w:ascii="Times New Roman" w:eastAsia="宋体" w:hAnsi="Times New Roman" w:cs="Times New Roman"/>
          <w:bCs/>
          <w:iCs/>
          <w:sz w:val="24"/>
          <w:szCs w:val="24"/>
          <w:lang w:bidi="en-US"/>
        </w:rPr>
        <w:t>31</w:t>
      </w:r>
      <w:r w:rsidRPr="00B209D7">
        <w:rPr>
          <w:rFonts w:ascii="Times New Roman" w:eastAsia="宋体" w:hAnsi="Times New Roman" w:cs="Times New Roman"/>
          <w:bCs/>
          <w:iCs/>
          <w:sz w:val="24"/>
          <w:szCs w:val="24"/>
          <w:lang w:bidi="en-US"/>
        </w:rPr>
        <w:t>日，央行、银保监会公布《关于建立银行业金融机构房地产贷款集中度管理制度的通知》，分档设置房地产贷款余额占比和个人住房贷款余额占比两个上限，从资金供给端进一步限制，进而可能会对下游房地产行业及公司业绩带来一定不利影响。</w:t>
      </w:r>
    </w:p>
    <w:p w:rsidR="00B209D7" w:rsidRPr="00B209D7" w:rsidRDefault="00B209D7" w:rsidP="00B209D7">
      <w:pPr>
        <w:autoSpaceDE w:val="0"/>
        <w:autoSpaceDN w:val="0"/>
        <w:adjustRightInd w:val="0"/>
        <w:spacing w:beforeLines="50" w:before="156" w:afterLines="50" w:after="156" w:line="360" w:lineRule="auto"/>
        <w:ind w:firstLineChars="200" w:firstLine="480"/>
        <w:rPr>
          <w:rFonts w:ascii="Times New Roman" w:eastAsia="宋体" w:hAnsi="Times New Roman" w:cs="Times New Roman"/>
          <w:bCs/>
          <w:iCs/>
          <w:sz w:val="24"/>
          <w:szCs w:val="24"/>
          <w:lang w:bidi="en-US"/>
        </w:rPr>
      </w:pPr>
      <w:r w:rsidRPr="00B209D7">
        <w:rPr>
          <w:rFonts w:ascii="Times New Roman" w:eastAsia="宋体" w:hAnsi="Times New Roman" w:cs="Times New Roman" w:hint="eastAsia"/>
          <w:bCs/>
          <w:iCs/>
          <w:sz w:val="24"/>
          <w:szCs w:val="24"/>
          <w:lang w:bidi="en-US"/>
        </w:rPr>
        <w:t>目前，房地产行业调控政策已趋于稳定，但若政府进一步加大对房地产市场调控，可能导致房地产开发企业调整长期经营部署、减少土地投资、推迟项目开发、延长付款周期，对公司现有业务的推进、未来市场的开拓以及资金的及时回收造成不利影响，进而使得公司业绩增速有所放缓、经营活动现金流量有所下降。</w:t>
      </w:r>
    </w:p>
    <w:p w:rsidR="00776F91" w:rsidRPr="009C0832" w:rsidRDefault="00776F91" w:rsidP="00E449CC">
      <w:pPr>
        <w:pStyle w:val="a4"/>
        <w:spacing w:before="156" w:after="156"/>
      </w:pPr>
      <w:r w:rsidRPr="009C0832">
        <w:rPr>
          <w:rFonts w:hint="eastAsia"/>
        </w:rPr>
        <w:t>【中介机构核查意见】</w:t>
      </w:r>
    </w:p>
    <w:p w:rsidR="00776F91" w:rsidRPr="009C0832" w:rsidRDefault="00776F91" w:rsidP="00903E66">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t>（</w:t>
      </w:r>
      <w:proofErr w:type="spellStart"/>
      <w:r w:rsidRPr="009C0832">
        <w:rPr>
          <w:rFonts w:ascii="宋体" w:eastAsia="Times New Roman" w:hAnsi="宋体" w:cs="Times New Roman"/>
          <w:b/>
          <w:color w:val="000000"/>
          <w:kern w:val="0"/>
          <w:sz w:val="24"/>
          <w:szCs w:val="24"/>
          <w:lang w:bidi="en-US"/>
        </w:rPr>
        <w:t>一）核查过程</w:t>
      </w:r>
      <w:proofErr w:type="spellEnd"/>
    </w:p>
    <w:p w:rsidR="00776F91" w:rsidRPr="009C0832" w:rsidRDefault="00776F91" w:rsidP="00903E66">
      <w:pPr>
        <w:spacing w:beforeLines="50" w:before="156" w:afterLines="50" w:after="156" w:line="360" w:lineRule="auto"/>
        <w:ind w:firstLineChars="200" w:firstLine="480"/>
        <w:rPr>
          <w:rFonts w:ascii="宋体" w:eastAsia="PMingLiU" w:hAnsi="宋体" w:cs="宋体"/>
          <w:color w:val="000000"/>
          <w:kern w:val="0"/>
          <w:sz w:val="24"/>
          <w:szCs w:val="24"/>
          <w:u w:color="000000"/>
          <w:lang w:eastAsia="zh-TW" w:bidi="en-US"/>
        </w:rPr>
      </w:pPr>
      <w:r w:rsidRPr="009C0832">
        <w:rPr>
          <w:rFonts w:ascii="Times New Roman" w:eastAsia="宋体" w:hAnsi="Times New Roman" w:cs="Times New Roman"/>
          <w:kern w:val="0"/>
          <w:sz w:val="24"/>
          <w:szCs w:val="24"/>
          <w:lang w:val="zh-TW"/>
        </w:rPr>
        <w:t>保荐机构、</w:t>
      </w:r>
      <w:r w:rsidR="00D63A86" w:rsidRPr="00D63A86">
        <w:rPr>
          <w:rFonts w:ascii="Times New Roman" w:eastAsia="宋体" w:hAnsi="Times New Roman" w:cs="Times New Roman"/>
          <w:kern w:val="0"/>
          <w:sz w:val="24"/>
          <w:szCs w:val="24"/>
          <w:lang w:val="zh-TW"/>
        </w:rPr>
        <w:t>申报会计师</w:t>
      </w:r>
      <w:r w:rsidRPr="009C0832">
        <w:rPr>
          <w:rFonts w:ascii="Times New Roman" w:eastAsia="宋体" w:hAnsi="Times New Roman" w:cs="Times New Roman" w:hint="eastAsia"/>
          <w:kern w:val="0"/>
          <w:sz w:val="24"/>
          <w:szCs w:val="24"/>
          <w:lang w:val="zh-TW"/>
        </w:rPr>
        <w:t>执行了如下核查程序：</w:t>
      </w:r>
    </w:p>
    <w:p w:rsidR="00776F91" w:rsidRPr="00756C9A" w:rsidRDefault="00776F91" w:rsidP="00903E66">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756C9A">
        <w:rPr>
          <w:rFonts w:ascii="Times New Roman" w:eastAsia="宋体" w:hAnsi="Times New Roman" w:cs="Times New Roman"/>
          <w:color w:val="000000"/>
          <w:kern w:val="0"/>
          <w:sz w:val="24"/>
          <w:szCs w:val="24"/>
          <w:u w:color="000000"/>
          <w:lang w:bidi="en-US"/>
        </w:rPr>
        <w:t>1</w:t>
      </w:r>
      <w:r w:rsidRPr="00756C9A">
        <w:rPr>
          <w:rFonts w:ascii="Times New Roman" w:eastAsia="宋体" w:hAnsi="Times New Roman" w:cs="Times New Roman"/>
          <w:color w:val="000000"/>
          <w:kern w:val="0"/>
          <w:sz w:val="24"/>
          <w:szCs w:val="24"/>
          <w:u w:color="000000"/>
          <w:lang w:bidi="en-US"/>
        </w:rPr>
        <w:t>、</w:t>
      </w:r>
      <w:r w:rsidR="00756C9A" w:rsidRPr="00756C9A">
        <w:rPr>
          <w:rFonts w:ascii="Times New Roman" w:eastAsia="宋体" w:hAnsi="Times New Roman" w:cs="Times New Roman"/>
          <w:color w:val="000000"/>
          <w:kern w:val="0"/>
          <w:sz w:val="24"/>
          <w:szCs w:val="24"/>
          <w:u w:color="000000"/>
          <w:lang w:bidi="en-US"/>
        </w:rPr>
        <w:t>查询发行人主要客户的信用评级报告、年度报告、公开披露信息等，了解相关客户的信用状况、资金状况、偿债能力变化情况，对是否存在回款风险较大、资金链紧张的客户以及相关坏账准备计提是否充分进行了分析；</w:t>
      </w:r>
    </w:p>
    <w:p w:rsidR="00756C9A" w:rsidRPr="00756C9A" w:rsidRDefault="00756C9A" w:rsidP="00903E66">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756C9A">
        <w:rPr>
          <w:rFonts w:ascii="Times New Roman" w:eastAsia="宋体" w:hAnsi="Times New Roman" w:cs="Times New Roman"/>
          <w:color w:val="000000"/>
          <w:kern w:val="0"/>
          <w:sz w:val="24"/>
          <w:szCs w:val="24"/>
          <w:u w:color="000000"/>
          <w:lang w:bidi="en-US"/>
        </w:rPr>
        <w:t>2</w:t>
      </w:r>
      <w:r w:rsidRPr="00756C9A">
        <w:rPr>
          <w:rFonts w:ascii="Times New Roman" w:eastAsia="宋体" w:hAnsi="Times New Roman" w:cs="Times New Roman"/>
          <w:color w:val="000000"/>
          <w:kern w:val="0"/>
          <w:sz w:val="24"/>
          <w:szCs w:val="24"/>
          <w:u w:color="000000"/>
          <w:lang w:bidi="en-US"/>
        </w:rPr>
        <w:t>、查询了同行业可比公司的公开披露信息，将发行人截至目前的期后回款情况与同行业可比公司进行比较，分析合理性，对发行人是否面临较大的回款风险及对经营业绩的影响进行了分析；</w:t>
      </w:r>
    </w:p>
    <w:p w:rsidR="00756C9A" w:rsidRPr="00756C9A" w:rsidRDefault="00756C9A" w:rsidP="00903E66">
      <w:pPr>
        <w:spacing w:beforeLines="50" w:before="156" w:afterLines="50" w:after="156" w:line="360" w:lineRule="auto"/>
        <w:ind w:firstLineChars="200" w:firstLine="480"/>
        <w:rPr>
          <w:rFonts w:ascii="Times New Roman" w:eastAsia="宋体" w:hAnsi="Times New Roman" w:cs="Times New Roman"/>
          <w:sz w:val="24"/>
          <w:szCs w:val="24"/>
        </w:rPr>
      </w:pPr>
      <w:r w:rsidRPr="00756C9A">
        <w:rPr>
          <w:rFonts w:ascii="Times New Roman" w:eastAsia="宋体" w:hAnsi="Times New Roman" w:cs="Times New Roman"/>
          <w:sz w:val="24"/>
          <w:szCs w:val="24"/>
        </w:rPr>
        <w:t>3</w:t>
      </w:r>
      <w:r w:rsidRPr="00756C9A">
        <w:rPr>
          <w:rFonts w:ascii="Times New Roman" w:eastAsia="宋体" w:hAnsi="Times New Roman" w:cs="Times New Roman"/>
          <w:sz w:val="24"/>
          <w:szCs w:val="24"/>
        </w:rPr>
        <w:t>、查询了发行人截至目前的应收账款明细情况，对于一年以上的形成原因进行了分析；</w:t>
      </w:r>
    </w:p>
    <w:p w:rsidR="00756C9A" w:rsidRPr="00756C9A" w:rsidRDefault="00756C9A" w:rsidP="00903E66">
      <w:pPr>
        <w:spacing w:beforeLines="50" w:before="156" w:afterLines="50" w:after="156" w:line="360" w:lineRule="auto"/>
        <w:ind w:firstLineChars="200" w:firstLine="480"/>
        <w:rPr>
          <w:rFonts w:ascii="Times New Roman" w:eastAsia="宋体" w:hAnsi="Times New Roman" w:cs="Times New Roman"/>
          <w:color w:val="000000"/>
          <w:kern w:val="0"/>
          <w:sz w:val="24"/>
          <w:szCs w:val="24"/>
          <w:u w:color="000000"/>
          <w:lang w:bidi="en-US"/>
        </w:rPr>
      </w:pPr>
      <w:r w:rsidRPr="00756C9A">
        <w:rPr>
          <w:rFonts w:ascii="Times New Roman" w:eastAsia="宋体" w:hAnsi="Times New Roman" w:cs="Times New Roman"/>
          <w:sz w:val="24"/>
          <w:szCs w:val="24"/>
        </w:rPr>
        <w:t>4</w:t>
      </w:r>
      <w:r w:rsidRPr="00756C9A">
        <w:rPr>
          <w:rFonts w:ascii="Times New Roman" w:eastAsia="宋体" w:hAnsi="Times New Roman" w:cs="Times New Roman"/>
          <w:sz w:val="24"/>
          <w:szCs w:val="24"/>
        </w:rPr>
        <w:t>、结合房地产调控政策、新增住宅开发面积等，对发行人面临的应收账款风险、主营业务风险进行有针对性的分析。</w:t>
      </w:r>
    </w:p>
    <w:p w:rsidR="00776F91" w:rsidRPr="009C0832" w:rsidRDefault="00776F91" w:rsidP="00903E66">
      <w:pPr>
        <w:spacing w:beforeLines="50" w:before="156" w:afterLines="50" w:after="156" w:line="360" w:lineRule="auto"/>
        <w:ind w:firstLineChars="200" w:firstLine="482"/>
        <w:jc w:val="left"/>
        <w:outlineLvl w:val="2"/>
        <w:rPr>
          <w:rFonts w:ascii="宋体" w:eastAsia="Times New Roman" w:hAnsi="宋体" w:cs="Times New Roman"/>
          <w:b/>
          <w:color w:val="000000"/>
          <w:kern w:val="0"/>
          <w:sz w:val="24"/>
          <w:szCs w:val="24"/>
          <w:lang w:bidi="en-US"/>
        </w:rPr>
      </w:pPr>
      <w:r w:rsidRPr="009C0832">
        <w:rPr>
          <w:rFonts w:ascii="宋体" w:eastAsia="Times New Roman" w:hAnsi="宋体" w:cs="Times New Roman"/>
          <w:b/>
          <w:color w:val="000000"/>
          <w:kern w:val="0"/>
          <w:sz w:val="24"/>
          <w:szCs w:val="24"/>
          <w:lang w:bidi="en-US"/>
        </w:rPr>
        <w:lastRenderedPageBreak/>
        <w:t>（</w:t>
      </w:r>
      <w:proofErr w:type="spellStart"/>
      <w:r w:rsidRPr="009C0832">
        <w:rPr>
          <w:rFonts w:ascii="宋体" w:eastAsia="Times New Roman" w:hAnsi="宋体" w:cs="Times New Roman" w:hint="eastAsia"/>
          <w:b/>
          <w:color w:val="000000"/>
          <w:kern w:val="0"/>
          <w:sz w:val="24"/>
          <w:szCs w:val="24"/>
          <w:lang w:bidi="en-US"/>
        </w:rPr>
        <w:t>二</w:t>
      </w:r>
      <w:r w:rsidRPr="009C0832">
        <w:rPr>
          <w:rFonts w:ascii="宋体" w:eastAsia="Times New Roman" w:hAnsi="宋体" w:cs="Times New Roman"/>
          <w:b/>
          <w:color w:val="000000"/>
          <w:kern w:val="0"/>
          <w:sz w:val="24"/>
          <w:szCs w:val="24"/>
          <w:lang w:bidi="en-US"/>
        </w:rPr>
        <w:t>）核查</w:t>
      </w:r>
      <w:r w:rsidRPr="009C0832">
        <w:rPr>
          <w:rFonts w:ascii="宋体" w:eastAsia="Times New Roman" w:hAnsi="宋体" w:cs="Times New Roman" w:hint="eastAsia"/>
          <w:b/>
          <w:color w:val="000000"/>
          <w:kern w:val="0"/>
          <w:sz w:val="24"/>
          <w:szCs w:val="24"/>
          <w:lang w:bidi="en-US"/>
        </w:rPr>
        <w:t>意见</w:t>
      </w:r>
      <w:proofErr w:type="spellEnd"/>
    </w:p>
    <w:p w:rsidR="00776F91" w:rsidRPr="009C0832" w:rsidRDefault="00776F91" w:rsidP="00903E66">
      <w:pPr>
        <w:spacing w:beforeLines="50" w:before="156" w:afterLines="50" w:after="156" w:line="360" w:lineRule="auto"/>
        <w:ind w:firstLineChars="200" w:firstLine="480"/>
        <w:rPr>
          <w:rFonts w:ascii="宋体" w:eastAsia="宋体" w:hAnsi="宋体" w:cs="Times New Roman"/>
          <w:sz w:val="24"/>
          <w:szCs w:val="24"/>
        </w:rPr>
      </w:pPr>
      <w:r w:rsidRPr="009C0832">
        <w:rPr>
          <w:rFonts w:ascii="Times New Roman" w:eastAsia="宋体" w:hAnsi="Times New Roman" w:cs="Times New Roman"/>
          <w:kern w:val="0"/>
          <w:sz w:val="24"/>
          <w:szCs w:val="24"/>
          <w:lang w:val="zh-TW"/>
        </w:rPr>
        <w:t>保荐机构、</w:t>
      </w:r>
      <w:r w:rsidR="00D63A86" w:rsidRPr="00D63A86">
        <w:rPr>
          <w:rFonts w:ascii="Times New Roman" w:eastAsia="宋体" w:hAnsi="Times New Roman" w:cs="Times New Roman"/>
          <w:kern w:val="0"/>
          <w:sz w:val="24"/>
          <w:szCs w:val="24"/>
          <w:lang w:val="zh-TW"/>
        </w:rPr>
        <w:t>申报会计师</w:t>
      </w:r>
      <w:r w:rsidRPr="009C0832">
        <w:rPr>
          <w:rFonts w:ascii="宋体" w:eastAsia="宋体" w:hAnsi="宋体" w:cs="Times New Roman" w:hint="eastAsia"/>
          <w:sz w:val="24"/>
          <w:szCs w:val="24"/>
        </w:rPr>
        <w:t>核查意见如下</w:t>
      </w:r>
      <w:r w:rsidRPr="009C0832">
        <w:rPr>
          <w:rFonts w:ascii="宋体" w:eastAsia="宋体" w:hAnsi="宋体" w:cs="Times New Roman"/>
          <w:sz w:val="24"/>
          <w:szCs w:val="24"/>
        </w:rPr>
        <w:t>：</w:t>
      </w:r>
    </w:p>
    <w:p w:rsidR="00756C9A" w:rsidRDefault="00776F91" w:rsidP="00903E66">
      <w:pPr>
        <w:spacing w:beforeLines="50" w:before="156" w:afterLines="50" w:after="156" w:line="360" w:lineRule="auto"/>
        <w:ind w:firstLineChars="200" w:firstLine="480"/>
        <w:rPr>
          <w:rFonts w:ascii="Times New Roman" w:eastAsia="宋体" w:hAnsi="Times New Roman" w:cs="Times New Roman"/>
          <w:sz w:val="24"/>
          <w:szCs w:val="24"/>
        </w:rPr>
      </w:pPr>
      <w:r w:rsidRPr="009C0832">
        <w:rPr>
          <w:rFonts w:ascii="Times New Roman" w:eastAsia="宋体" w:hAnsi="Times New Roman" w:cs="Times New Roman" w:hint="eastAsia"/>
          <w:sz w:val="24"/>
          <w:szCs w:val="24"/>
        </w:rPr>
        <w:t>1</w:t>
      </w:r>
      <w:r w:rsidRPr="009C0832">
        <w:rPr>
          <w:rFonts w:ascii="Times New Roman" w:eastAsia="宋体" w:hAnsi="Times New Roman" w:cs="Times New Roman" w:hint="eastAsia"/>
          <w:sz w:val="24"/>
          <w:szCs w:val="24"/>
        </w:rPr>
        <w:t>、</w:t>
      </w:r>
      <w:r w:rsidR="00756C9A" w:rsidRPr="00756C9A">
        <w:rPr>
          <w:rFonts w:ascii="Times New Roman" w:eastAsia="宋体" w:hAnsi="Times New Roman" w:cs="Times New Roman" w:hint="eastAsia"/>
          <w:sz w:val="24"/>
          <w:szCs w:val="24"/>
        </w:rPr>
        <w:t>发行人主要客户经营情况正常，资信情况良好，资金状况及偿债能力总体保持稳定，符合行业特性，未出现资金链及信用情况严重恶化的情形，亦不存在明显偿债风险</w:t>
      </w:r>
      <w:r w:rsidR="00756C9A">
        <w:rPr>
          <w:rFonts w:ascii="Times New Roman" w:eastAsia="宋体" w:hAnsi="Times New Roman" w:cs="Times New Roman" w:hint="eastAsia"/>
          <w:sz w:val="24"/>
          <w:szCs w:val="24"/>
        </w:rPr>
        <w:t>，不存在</w:t>
      </w:r>
      <w:r w:rsidR="00756C9A" w:rsidRPr="00756C9A">
        <w:rPr>
          <w:rFonts w:ascii="Times New Roman" w:eastAsia="宋体" w:hAnsi="Times New Roman" w:cs="Times New Roman"/>
          <w:sz w:val="24"/>
          <w:szCs w:val="24"/>
        </w:rPr>
        <w:t>回款风险较大、资金链</w:t>
      </w:r>
      <w:r w:rsidR="00756C9A">
        <w:rPr>
          <w:rFonts w:ascii="Times New Roman" w:eastAsia="宋体" w:hAnsi="Times New Roman" w:cs="Times New Roman" w:hint="eastAsia"/>
          <w:sz w:val="24"/>
          <w:szCs w:val="24"/>
        </w:rPr>
        <w:t>严重</w:t>
      </w:r>
      <w:r w:rsidR="00756C9A" w:rsidRPr="00756C9A">
        <w:rPr>
          <w:rFonts w:ascii="Times New Roman" w:eastAsia="宋体" w:hAnsi="Times New Roman" w:cs="Times New Roman"/>
          <w:sz w:val="24"/>
          <w:szCs w:val="24"/>
        </w:rPr>
        <w:t>紧张</w:t>
      </w:r>
      <w:r w:rsidR="00756C9A">
        <w:rPr>
          <w:rFonts w:ascii="Times New Roman" w:eastAsia="宋体" w:hAnsi="Times New Roman" w:cs="Times New Roman" w:hint="eastAsia"/>
          <w:sz w:val="24"/>
          <w:szCs w:val="24"/>
        </w:rPr>
        <w:t>的客户</w:t>
      </w:r>
      <w:r w:rsidR="00756C9A" w:rsidRPr="00756C9A">
        <w:rPr>
          <w:rFonts w:ascii="Times New Roman" w:eastAsia="宋体" w:hAnsi="Times New Roman" w:cs="Times New Roman" w:hint="eastAsia"/>
          <w:sz w:val="24"/>
          <w:szCs w:val="24"/>
        </w:rPr>
        <w:t>。发行人主要</w:t>
      </w:r>
      <w:r w:rsidR="00756C9A">
        <w:rPr>
          <w:rFonts w:ascii="Times New Roman" w:eastAsia="宋体" w:hAnsi="Times New Roman" w:cs="Times New Roman" w:hint="eastAsia"/>
          <w:sz w:val="24"/>
          <w:szCs w:val="24"/>
        </w:rPr>
        <w:t>客户</w:t>
      </w:r>
      <w:r w:rsidR="00756C9A" w:rsidRPr="00756C9A">
        <w:rPr>
          <w:rFonts w:ascii="Times New Roman" w:eastAsia="宋体" w:hAnsi="Times New Roman" w:cs="Times New Roman" w:hint="eastAsia"/>
          <w:sz w:val="24"/>
          <w:szCs w:val="24"/>
        </w:rPr>
        <w:t>应收账款回收风险较小，坏账准备计提充分</w:t>
      </w:r>
      <w:r w:rsidR="00EA00E4">
        <w:rPr>
          <w:rFonts w:ascii="Times New Roman" w:eastAsia="宋体" w:hAnsi="Times New Roman" w:cs="Times New Roman" w:hint="eastAsia"/>
          <w:sz w:val="24"/>
          <w:szCs w:val="24"/>
        </w:rPr>
        <w:t>，</w:t>
      </w:r>
      <w:r w:rsidR="00EA00E4" w:rsidRPr="00EA00E4">
        <w:rPr>
          <w:rFonts w:ascii="Times New Roman" w:eastAsia="宋体" w:hAnsi="Times New Roman" w:cs="Times New Roman" w:hint="eastAsia"/>
          <w:sz w:val="24"/>
          <w:szCs w:val="24"/>
        </w:rPr>
        <w:t>与同行业</w:t>
      </w:r>
      <w:r w:rsidR="00EA00E4">
        <w:rPr>
          <w:rFonts w:ascii="Times New Roman" w:eastAsia="宋体" w:hAnsi="Times New Roman" w:cs="Times New Roman" w:hint="eastAsia"/>
          <w:sz w:val="24"/>
          <w:szCs w:val="24"/>
        </w:rPr>
        <w:t>可比公司</w:t>
      </w:r>
      <w:r w:rsidR="00EA00E4" w:rsidRPr="00EA00E4">
        <w:rPr>
          <w:rFonts w:ascii="Times New Roman" w:eastAsia="宋体" w:hAnsi="Times New Roman" w:cs="Times New Roman" w:hint="eastAsia"/>
          <w:sz w:val="24"/>
          <w:szCs w:val="24"/>
        </w:rPr>
        <w:t>不存在较大差异</w:t>
      </w:r>
      <w:r w:rsidR="00756C9A" w:rsidRPr="00756C9A">
        <w:rPr>
          <w:rFonts w:ascii="Times New Roman" w:eastAsia="宋体" w:hAnsi="Times New Roman" w:cs="Times New Roman" w:hint="eastAsia"/>
          <w:sz w:val="24"/>
          <w:szCs w:val="24"/>
        </w:rPr>
        <w:t>。</w:t>
      </w:r>
    </w:p>
    <w:p w:rsidR="00756C9A" w:rsidRDefault="00756C9A" w:rsidP="00903E66">
      <w:pPr>
        <w:spacing w:beforeLines="50" w:before="156" w:afterLines="50" w:after="156" w:line="360" w:lineRule="auto"/>
        <w:ind w:firstLineChars="200" w:firstLine="480"/>
        <w:rPr>
          <w:rFonts w:ascii="Times New Roman" w:eastAsia="宋体" w:hAnsi="Times New Roman" w:cs="Times New Roman"/>
          <w:sz w:val="24"/>
          <w:szCs w:val="24"/>
        </w:rPr>
      </w:pPr>
      <w:r w:rsidRPr="00756C9A">
        <w:rPr>
          <w:rFonts w:ascii="Times New Roman" w:eastAsia="宋体" w:hAnsi="Times New Roman" w:cs="Times New Roman"/>
          <w:sz w:val="24"/>
          <w:szCs w:val="24"/>
        </w:rPr>
        <w:t>2</w:t>
      </w:r>
      <w:r>
        <w:rPr>
          <w:rFonts w:ascii="Times New Roman" w:eastAsia="宋体" w:hAnsi="Times New Roman" w:cs="Times New Roman" w:hint="eastAsia"/>
          <w:sz w:val="24"/>
          <w:szCs w:val="24"/>
        </w:rPr>
        <w:t>、发行人</w:t>
      </w:r>
      <w:r w:rsidRPr="00756C9A">
        <w:rPr>
          <w:rFonts w:ascii="Times New Roman" w:eastAsia="宋体" w:hAnsi="Times New Roman" w:cs="Times New Roman" w:hint="eastAsia"/>
          <w:sz w:val="24"/>
          <w:szCs w:val="24"/>
        </w:rPr>
        <w:t>应收账款期后回款情况与同行业可比公司相比，不存在较大差异，应收账款期后回款情况良好，符合行业特点，回款风险较小。</w:t>
      </w:r>
    </w:p>
    <w:p w:rsidR="00756C9A" w:rsidRDefault="00756C9A" w:rsidP="00903E66">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、发行人已</w:t>
      </w:r>
      <w:r w:rsidRPr="00756C9A">
        <w:rPr>
          <w:rFonts w:ascii="Times New Roman" w:eastAsia="宋体" w:hAnsi="Times New Roman" w:cs="Times New Roman"/>
          <w:sz w:val="24"/>
          <w:szCs w:val="24"/>
        </w:rPr>
        <w:t>补充披露截至目前的应收账款逾期情况，</w:t>
      </w:r>
      <w:r>
        <w:rPr>
          <w:rFonts w:ascii="Times New Roman" w:eastAsia="宋体" w:hAnsi="Times New Roman" w:cs="Times New Roman" w:hint="eastAsia"/>
          <w:sz w:val="24"/>
          <w:szCs w:val="24"/>
        </w:rPr>
        <w:t>相关数据真实、准确，原因合理</w:t>
      </w:r>
      <w:r w:rsidRPr="00756C9A">
        <w:rPr>
          <w:rFonts w:ascii="Times New Roman" w:eastAsia="宋体" w:hAnsi="Times New Roman" w:cs="Times New Roman"/>
          <w:sz w:val="24"/>
          <w:szCs w:val="24"/>
        </w:rPr>
        <w:t>；</w:t>
      </w:r>
    </w:p>
    <w:p w:rsidR="00903E66" w:rsidRDefault="00756C9A" w:rsidP="00903E66">
      <w:pPr>
        <w:spacing w:beforeLines="50" w:before="156" w:afterLines="50" w:after="156"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w:t>
      </w:r>
      <w:r w:rsidRPr="00756C9A">
        <w:rPr>
          <w:rFonts w:ascii="Times New Roman" w:eastAsia="宋体" w:hAnsi="Times New Roman" w:cs="Times New Roman"/>
          <w:sz w:val="24"/>
          <w:szCs w:val="24"/>
        </w:rPr>
        <w:t>发行人</w:t>
      </w:r>
      <w:r>
        <w:rPr>
          <w:rFonts w:ascii="Times New Roman" w:eastAsia="宋体" w:hAnsi="Times New Roman" w:cs="Times New Roman" w:hint="eastAsia"/>
          <w:sz w:val="24"/>
          <w:szCs w:val="24"/>
        </w:rPr>
        <w:t>对</w:t>
      </w:r>
      <w:r w:rsidRPr="00756C9A">
        <w:rPr>
          <w:rFonts w:ascii="Times New Roman" w:eastAsia="宋体" w:hAnsi="Times New Roman" w:cs="Times New Roman"/>
          <w:sz w:val="24"/>
          <w:szCs w:val="24"/>
        </w:rPr>
        <w:t>面临的应收账款风险、主营业务风险进行</w:t>
      </w:r>
      <w:r>
        <w:rPr>
          <w:rFonts w:ascii="Times New Roman" w:eastAsia="宋体" w:hAnsi="Times New Roman" w:cs="Times New Roman" w:hint="eastAsia"/>
          <w:sz w:val="24"/>
          <w:szCs w:val="24"/>
        </w:rPr>
        <w:t>了</w:t>
      </w:r>
      <w:r w:rsidRPr="00756C9A">
        <w:rPr>
          <w:rFonts w:ascii="Times New Roman" w:eastAsia="宋体" w:hAnsi="Times New Roman" w:cs="Times New Roman"/>
          <w:sz w:val="24"/>
          <w:szCs w:val="24"/>
        </w:rPr>
        <w:t>有针对性的充分披露和揭示</w:t>
      </w:r>
      <w:r>
        <w:rPr>
          <w:rFonts w:ascii="Times New Roman" w:eastAsia="宋体" w:hAnsi="Times New Roman" w:cs="Times New Roman" w:hint="eastAsia"/>
          <w:sz w:val="24"/>
          <w:szCs w:val="24"/>
        </w:rPr>
        <w:t>，相关表述准确</w:t>
      </w:r>
      <w:r w:rsidRPr="00756C9A">
        <w:rPr>
          <w:rFonts w:ascii="Times New Roman" w:eastAsia="宋体" w:hAnsi="Times New Roman" w:cs="Times New Roman"/>
          <w:sz w:val="24"/>
          <w:szCs w:val="24"/>
        </w:rPr>
        <w:t>。</w:t>
      </w:r>
    </w:p>
    <w:p w:rsidR="00903E66" w:rsidRDefault="00903E66">
      <w:pPr>
        <w:widowControl/>
        <w:jc w:val="left"/>
        <w:rPr>
          <w:rFonts w:ascii="Times New Roman" w:eastAsia="宋体" w:hAnsi="Times New Roman" w:cs="Times New Roman"/>
          <w:sz w:val="24"/>
          <w:szCs w:val="24"/>
        </w:rPr>
      </w:pPr>
      <w:r>
        <w:rPr>
          <w:rFonts w:ascii="Times New Roman" w:eastAsia="宋体" w:hAnsi="Times New Roman" w:cs="Times New Roman"/>
          <w:sz w:val="24"/>
          <w:szCs w:val="24"/>
        </w:rPr>
        <w:br w:type="page"/>
      </w:r>
    </w:p>
    <w:p w:rsidR="00776F91" w:rsidRDefault="00F1426C" w:rsidP="00F1426C">
      <w:pPr>
        <w:spacing w:beforeLines="50" w:before="156" w:afterLines="50" w:after="156" w:line="360" w:lineRule="auto"/>
        <w:ind w:firstLineChars="200" w:firstLine="420"/>
        <w:rPr>
          <w:rFonts w:ascii="宋体" w:eastAsia="宋体" w:hAnsi="宋体" w:cs="宋体"/>
          <w:color w:val="000000"/>
          <w:kern w:val="0"/>
          <w:sz w:val="24"/>
          <w:szCs w:val="24"/>
          <w:u w:color="000000"/>
          <w:lang w:bidi="en-US"/>
        </w:rPr>
      </w:pPr>
      <w:r>
        <w:rPr>
          <w:noProof/>
        </w:rPr>
        <w:lastRenderedPageBreak/>
        <w:drawing>
          <wp:anchor distT="0" distB="0" distL="114300" distR="114300" simplePos="0" relativeHeight="251661312" behindDoc="0" locked="0" layoutInCell="1" allowOverlap="1" wp14:anchorId="78BBAF88" wp14:editId="4A8465F3">
            <wp:simplePos x="0" y="0"/>
            <wp:positionH relativeFrom="column">
              <wp:posOffset>-1098550</wp:posOffset>
            </wp:positionH>
            <wp:positionV relativeFrom="paragraph">
              <wp:posOffset>-891540</wp:posOffset>
            </wp:positionV>
            <wp:extent cx="7558405" cy="8846820"/>
            <wp:effectExtent l="0" t="0" r="0" b="0"/>
            <wp:wrapNone/>
            <wp:docPr id="7" name="图片 7" descr="C:\Users\86173\Desktop\00年报更新申报文件2020年\000反馈\发行人反馈签章页\1 发行人及保荐机构关于审核中心意见落实函的回复（2020年年报数据更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73\Desktop\00年报更新申报文件2020年\000反馈\发行人反馈签章页\1 发行人及保荐机构关于审核中心意见落实函的回复（2020年年报数据更新）.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b="17249"/>
                    <a:stretch/>
                  </pic:blipFill>
                  <pic:spPr bwMode="auto">
                    <a:xfrm>
                      <a:off x="0" y="0"/>
                      <a:ext cx="7558405" cy="884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49CC" w:rsidRDefault="00E449CC">
      <w:pPr>
        <w:widowControl/>
        <w:jc w:val="left"/>
        <w:rPr>
          <w:rFonts w:ascii="楷体" w:eastAsia="楷体" w:hAnsi="楷体" w:cs="Times New Roman"/>
          <w:b/>
          <w:bCs/>
          <w:color w:val="000000"/>
          <w:kern w:val="0"/>
          <w:sz w:val="24"/>
          <w:szCs w:val="24"/>
          <w:lang w:bidi="en-US"/>
        </w:rPr>
      </w:pPr>
      <w:r>
        <w:br w:type="page"/>
      </w:r>
    </w:p>
    <w:p w:rsidR="00E449CC" w:rsidRDefault="00F91D35">
      <w:pPr>
        <w:widowControl/>
        <w:jc w:val="left"/>
        <w:rPr>
          <w:rFonts w:ascii="楷体" w:eastAsia="楷体" w:hAnsi="楷体" w:cs="Times New Roman"/>
          <w:b/>
          <w:bCs/>
          <w:color w:val="000000"/>
          <w:kern w:val="0"/>
          <w:sz w:val="24"/>
          <w:szCs w:val="24"/>
          <w:lang w:bidi="en-US"/>
        </w:rPr>
      </w:pPr>
      <w:bookmarkStart w:id="9" w:name="_GoBack"/>
      <w:r>
        <w:rPr>
          <w:noProof/>
        </w:rPr>
        <w:lastRenderedPageBreak/>
        <w:drawing>
          <wp:anchor distT="0" distB="0" distL="114300" distR="114300" simplePos="0" relativeHeight="251662336" behindDoc="0" locked="0" layoutInCell="1" allowOverlap="1" wp14:editId="41E4B637">
            <wp:simplePos x="0" y="0"/>
            <wp:positionH relativeFrom="column">
              <wp:posOffset>-1153886</wp:posOffset>
            </wp:positionH>
            <wp:positionV relativeFrom="paragraph">
              <wp:posOffset>-925286</wp:posOffset>
            </wp:positionV>
            <wp:extent cx="7554686" cy="8632372"/>
            <wp:effectExtent l="0" t="0" r="0" b="0"/>
            <wp:wrapNone/>
            <wp:docPr id="6" name="图片 6" descr="C:\Users\86173\AppData\Local\Microsoft\Windows\INetCache\Content.Word\1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6173\AppData\Local\Microsoft\Windows\INetCache\Content.Word\1_页面_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b="19266"/>
                    <a:stretch/>
                  </pic:blipFill>
                  <pic:spPr bwMode="auto">
                    <a:xfrm>
                      <a:off x="0" y="0"/>
                      <a:ext cx="7559040" cy="86373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9"/>
      <w:r w:rsidR="00E449CC">
        <w:br w:type="page"/>
      </w:r>
    </w:p>
    <w:p w:rsidR="00776F91" w:rsidRPr="00E449CC" w:rsidRDefault="009F48E6" w:rsidP="00DE1A8E">
      <w:pPr>
        <w:pStyle w:val="a7"/>
        <w:spacing w:before="156" w:after="156"/>
      </w:pPr>
      <w:r>
        <w:rPr>
          <w:noProof/>
          <w:lang w:bidi="ar-SA"/>
        </w:rPr>
        <w:lastRenderedPageBreak/>
        <w:drawing>
          <wp:anchor distT="0" distB="0" distL="114300" distR="114300" simplePos="0" relativeHeight="251664384" behindDoc="0" locked="0" layoutInCell="1" allowOverlap="1" wp14:anchorId="780C9165" wp14:editId="49DAE29B">
            <wp:simplePos x="0" y="0"/>
            <wp:positionH relativeFrom="column">
              <wp:posOffset>-1103812</wp:posOffset>
            </wp:positionH>
            <wp:positionV relativeFrom="paragraph">
              <wp:posOffset>-878477</wp:posOffset>
            </wp:positionV>
            <wp:extent cx="7559040" cy="9227820"/>
            <wp:effectExtent l="0" t="0" r="0" b="0"/>
            <wp:wrapNone/>
            <wp:docPr id="8" name="图片 8" descr="C:\Users\86173\AppData\Local\Microsoft\Windows\INetCache\Content.Word\1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6173\AppData\Local\Microsoft\Windows\INetCache\Content.Word\1_页面_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3747"/>
                    <a:stretch/>
                  </pic:blipFill>
                  <pic:spPr bwMode="auto">
                    <a:xfrm>
                      <a:off x="0" y="0"/>
                      <a:ext cx="7559040" cy="922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76F91" w:rsidRPr="00E449CC" w:rsidSect="004D341C">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3BD" w:rsidRDefault="008813BD" w:rsidP="0093476D">
      <w:r>
        <w:separator/>
      </w:r>
    </w:p>
  </w:endnote>
  <w:endnote w:type="continuationSeparator" w:id="0">
    <w:p w:rsidR="008813BD" w:rsidRDefault="008813BD" w:rsidP="0093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KaiTi">
    <w:altName w:val="汉仪楷体KW"/>
    <w:charset w:val="86"/>
    <w:family w:val="modern"/>
    <w:pitch w:val="fixed"/>
    <w:sig w:usb0="800002BF" w:usb1="38CF7CFA" w:usb2="00000016" w:usb3="00000000" w:csb0="00040001" w:csb1="00000000"/>
  </w:font>
  <w:font w:name="Times New Roman (正文 CS 字体)">
    <w:altName w:val="宋体"/>
    <w:panose1 w:val="00000000000000000000"/>
    <w:charset w:val="00"/>
    <w:family w:val="roman"/>
    <w:notTrueType/>
    <w:pitch w:val="variable"/>
    <w:sig w:usb0="E0002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Times">
    <w:altName w:val="﷽﷽﷽﷽﷽﷽㔀ྸ"/>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726829"/>
      <w:docPartObj>
        <w:docPartGallery w:val="Page Numbers (Bottom of Page)"/>
        <w:docPartUnique/>
      </w:docPartObj>
    </w:sdtPr>
    <w:sdtEndPr/>
    <w:sdtContent>
      <w:p w:rsidR="00E449CC" w:rsidRDefault="00E449CC">
        <w:pPr>
          <w:pStyle w:val="ad"/>
          <w:jc w:val="center"/>
        </w:pPr>
        <w:r w:rsidRPr="00E449CC">
          <w:rPr>
            <w:rFonts w:ascii="Times New Roman" w:hAnsi="Times New Roman" w:cs="Times New Roman"/>
          </w:rPr>
          <w:t>1-</w:t>
        </w:r>
        <w:r w:rsidR="009B691B" w:rsidRPr="00E449CC">
          <w:rPr>
            <w:rFonts w:ascii="Times New Roman" w:hAnsi="Times New Roman" w:cs="Times New Roman"/>
          </w:rPr>
          <w:fldChar w:fldCharType="begin"/>
        </w:r>
        <w:r w:rsidRPr="00E449CC">
          <w:rPr>
            <w:rFonts w:ascii="Times New Roman" w:hAnsi="Times New Roman" w:cs="Times New Roman"/>
          </w:rPr>
          <w:instrText xml:space="preserve"> PAGE   \* MERGEFORMAT </w:instrText>
        </w:r>
        <w:r w:rsidR="009B691B" w:rsidRPr="00E449CC">
          <w:rPr>
            <w:rFonts w:ascii="Times New Roman" w:hAnsi="Times New Roman" w:cs="Times New Roman"/>
          </w:rPr>
          <w:fldChar w:fldCharType="separate"/>
        </w:r>
        <w:r w:rsidR="00BF096A" w:rsidRPr="00BF096A">
          <w:rPr>
            <w:rFonts w:ascii="Times New Roman" w:hAnsi="Times New Roman" w:cs="Times New Roman"/>
            <w:noProof/>
            <w:lang w:val="zh-CN"/>
          </w:rPr>
          <w:t>33</w:t>
        </w:r>
        <w:r w:rsidR="009B691B" w:rsidRPr="00E449CC">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3BD" w:rsidRDefault="008813BD" w:rsidP="0093476D">
      <w:r>
        <w:separator/>
      </w:r>
    </w:p>
  </w:footnote>
  <w:footnote w:type="continuationSeparator" w:id="0">
    <w:p w:rsidR="008813BD" w:rsidRDefault="008813BD" w:rsidP="009347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49CC" w:rsidRDefault="00E449CC" w:rsidP="00E449CC">
    <w:pPr>
      <w:pStyle w:val="ac"/>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050D2"/>
    <w:rsid w:val="00011E34"/>
    <w:rsid w:val="00020AC7"/>
    <w:rsid w:val="00034BBF"/>
    <w:rsid w:val="000372CA"/>
    <w:rsid w:val="0005156D"/>
    <w:rsid w:val="000660E4"/>
    <w:rsid w:val="0007036E"/>
    <w:rsid w:val="0008509A"/>
    <w:rsid w:val="000873D9"/>
    <w:rsid w:val="0009215F"/>
    <w:rsid w:val="000A4BEB"/>
    <w:rsid w:val="000D3481"/>
    <w:rsid w:val="000D4636"/>
    <w:rsid w:val="000D775B"/>
    <w:rsid w:val="000E6F63"/>
    <w:rsid w:val="0010153B"/>
    <w:rsid w:val="0011036E"/>
    <w:rsid w:val="001438EB"/>
    <w:rsid w:val="00145764"/>
    <w:rsid w:val="00175437"/>
    <w:rsid w:val="00190FC0"/>
    <w:rsid w:val="00191209"/>
    <w:rsid w:val="001A1073"/>
    <w:rsid w:val="001B0F42"/>
    <w:rsid w:val="001B30AC"/>
    <w:rsid w:val="001B31C1"/>
    <w:rsid w:val="001B4A8B"/>
    <w:rsid w:val="001B696E"/>
    <w:rsid w:val="002029ED"/>
    <w:rsid w:val="00241BD6"/>
    <w:rsid w:val="00275F27"/>
    <w:rsid w:val="00280130"/>
    <w:rsid w:val="00283A7B"/>
    <w:rsid w:val="002A22DE"/>
    <w:rsid w:val="002C0F8C"/>
    <w:rsid w:val="002C4D3B"/>
    <w:rsid w:val="002D3D3E"/>
    <w:rsid w:val="002D725F"/>
    <w:rsid w:val="002E57FB"/>
    <w:rsid w:val="002E712E"/>
    <w:rsid w:val="00300814"/>
    <w:rsid w:val="0032130F"/>
    <w:rsid w:val="00323AFD"/>
    <w:rsid w:val="00324BB3"/>
    <w:rsid w:val="00331DBE"/>
    <w:rsid w:val="00354135"/>
    <w:rsid w:val="00355604"/>
    <w:rsid w:val="00356538"/>
    <w:rsid w:val="003945A0"/>
    <w:rsid w:val="003B680E"/>
    <w:rsid w:val="003C6D05"/>
    <w:rsid w:val="003E3CC1"/>
    <w:rsid w:val="003F2DE5"/>
    <w:rsid w:val="00405AC8"/>
    <w:rsid w:val="0040739F"/>
    <w:rsid w:val="00416B01"/>
    <w:rsid w:val="0041799B"/>
    <w:rsid w:val="004258F0"/>
    <w:rsid w:val="00437E69"/>
    <w:rsid w:val="0044512C"/>
    <w:rsid w:val="00475C20"/>
    <w:rsid w:val="0048120E"/>
    <w:rsid w:val="00484412"/>
    <w:rsid w:val="004D341C"/>
    <w:rsid w:val="00510166"/>
    <w:rsid w:val="005254DF"/>
    <w:rsid w:val="00552312"/>
    <w:rsid w:val="005664BA"/>
    <w:rsid w:val="00566CF7"/>
    <w:rsid w:val="00585747"/>
    <w:rsid w:val="005A5E26"/>
    <w:rsid w:val="005A7544"/>
    <w:rsid w:val="005B7BDC"/>
    <w:rsid w:val="005E1F85"/>
    <w:rsid w:val="00600015"/>
    <w:rsid w:val="0060423B"/>
    <w:rsid w:val="00604969"/>
    <w:rsid w:val="006148E4"/>
    <w:rsid w:val="006221C0"/>
    <w:rsid w:val="006360F6"/>
    <w:rsid w:val="006475AC"/>
    <w:rsid w:val="006569D1"/>
    <w:rsid w:val="006574DA"/>
    <w:rsid w:val="00682946"/>
    <w:rsid w:val="00687202"/>
    <w:rsid w:val="0069414F"/>
    <w:rsid w:val="006A42A7"/>
    <w:rsid w:val="006B4BDD"/>
    <w:rsid w:val="006E421C"/>
    <w:rsid w:val="006F23AE"/>
    <w:rsid w:val="0070035B"/>
    <w:rsid w:val="00701368"/>
    <w:rsid w:val="00702311"/>
    <w:rsid w:val="00704224"/>
    <w:rsid w:val="00720EAD"/>
    <w:rsid w:val="00726C4E"/>
    <w:rsid w:val="0072730B"/>
    <w:rsid w:val="00734650"/>
    <w:rsid w:val="007370AE"/>
    <w:rsid w:val="007425BF"/>
    <w:rsid w:val="007543B8"/>
    <w:rsid w:val="00756C9A"/>
    <w:rsid w:val="0076520F"/>
    <w:rsid w:val="00770BE8"/>
    <w:rsid w:val="00776F91"/>
    <w:rsid w:val="00793305"/>
    <w:rsid w:val="00797AD6"/>
    <w:rsid w:val="007A73C3"/>
    <w:rsid w:val="007B0788"/>
    <w:rsid w:val="007B3E41"/>
    <w:rsid w:val="007F6B01"/>
    <w:rsid w:val="00820EA9"/>
    <w:rsid w:val="00834D09"/>
    <w:rsid w:val="00837E8F"/>
    <w:rsid w:val="008532BF"/>
    <w:rsid w:val="00870EEF"/>
    <w:rsid w:val="008758D6"/>
    <w:rsid w:val="008813BD"/>
    <w:rsid w:val="00895725"/>
    <w:rsid w:val="008A12DE"/>
    <w:rsid w:val="008A758F"/>
    <w:rsid w:val="008B09E1"/>
    <w:rsid w:val="008D1FEA"/>
    <w:rsid w:val="00903E66"/>
    <w:rsid w:val="00906B74"/>
    <w:rsid w:val="0093476D"/>
    <w:rsid w:val="009458FA"/>
    <w:rsid w:val="009526D1"/>
    <w:rsid w:val="009A5A8F"/>
    <w:rsid w:val="009B1589"/>
    <w:rsid w:val="009B691B"/>
    <w:rsid w:val="009B7347"/>
    <w:rsid w:val="009F48E6"/>
    <w:rsid w:val="00A438E6"/>
    <w:rsid w:val="00A70B63"/>
    <w:rsid w:val="00A836CF"/>
    <w:rsid w:val="00AA11E7"/>
    <w:rsid w:val="00AB0744"/>
    <w:rsid w:val="00AC4E1F"/>
    <w:rsid w:val="00AD1C0C"/>
    <w:rsid w:val="00AD5FE6"/>
    <w:rsid w:val="00AE0724"/>
    <w:rsid w:val="00B050D2"/>
    <w:rsid w:val="00B209D7"/>
    <w:rsid w:val="00B35F65"/>
    <w:rsid w:val="00B470A7"/>
    <w:rsid w:val="00B72095"/>
    <w:rsid w:val="00B76FEC"/>
    <w:rsid w:val="00B87AA8"/>
    <w:rsid w:val="00B9137C"/>
    <w:rsid w:val="00BB647C"/>
    <w:rsid w:val="00BC2AF1"/>
    <w:rsid w:val="00BC6B5B"/>
    <w:rsid w:val="00BD6022"/>
    <w:rsid w:val="00BD7059"/>
    <w:rsid w:val="00BE35C0"/>
    <w:rsid w:val="00BF096A"/>
    <w:rsid w:val="00C2763E"/>
    <w:rsid w:val="00C6611A"/>
    <w:rsid w:val="00C97779"/>
    <w:rsid w:val="00CB2CEC"/>
    <w:rsid w:val="00CB4215"/>
    <w:rsid w:val="00CD0EFE"/>
    <w:rsid w:val="00CF6995"/>
    <w:rsid w:val="00D16F9F"/>
    <w:rsid w:val="00D200B0"/>
    <w:rsid w:val="00D2187F"/>
    <w:rsid w:val="00D235EB"/>
    <w:rsid w:val="00D56E11"/>
    <w:rsid w:val="00D63A86"/>
    <w:rsid w:val="00D824EE"/>
    <w:rsid w:val="00D85E46"/>
    <w:rsid w:val="00D87C5E"/>
    <w:rsid w:val="00D90CEC"/>
    <w:rsid w:val="00DB45CB"/>
    <w:rsid w:val="00DE1A8E"/>
    <w:rsid w:val="00DE6745"/>
    <w:rsid w:val="00DE7305"/>
    <w:rsid w:val="00E06988"/>
    <w:rsid w:val="00E07F67"/>
    <w:rsid w:val="00E11C96"/>
    <w:rsid w:val="00E449CC"/>
    <w:rsid w:val="00E551E1"/>
    <w:rsid w:val="00E71463"/>
    <w:rsid w:val="00E85041"/>
    <w:rsid w:val="00EA00E4"/>
    <w:rsid w:val="00EA17F6"/>
    <w:rsid w:val="00EA79C6"/>
    <w:rsid w:val="00EC00B0"/>
    <w:rsid w:val="00EC1025"/>
    <w:rsid w:val="00ED0DEF"/>
    <w:rsid w:val="00ED161F"/>
    <w:rsid w:val="00ED6053"/>
    <w:rsid w:val="00EE02D6"/>
    <w:rsid w:val="00EE61C1"/>
    <w:rsid w:val="00F1426C"/>
    <w:rsid w:val="00F439DE"/>
    <w:rsid w:val="00F83C47"/>
    <w:rsid w:val="00F91D35"/>
    <w:rsid w:val="00F976EF"/>
    <w:rsid w:val="00FC4118"/>
    <w:rsid w:val="00FE36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0D2"/>
    <w:pPr>
      <w:widowControl w:val="0"/>
      <w:jc w:val="both"/>
    </w:pPr>
    <w:rPr>
      <w:szCs w:val="22"/>
    </w:rPr>
  </w:style>
  <w:style w:type="paragraph" w:styleId="1">
    <w:name w:val="heading 1"/>
    <w:basedOn w:val="a"/>
    <w:next w:val="a"/>
    <w:link w:val="1Char"/>
    <w:uiPriority w:val="9"/>
    <w:qFormat/>
    <w:rsid w:val="00D85E4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AD5FE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0">
    <w:name w:val="样式1"/>
    <w:basedOn w:val="a1"/>
    <w:uiPriority w:val="99"/>
    <w:rsid w:val="00E07F67"/>
    <w:pPr>
      <w:jc w:val="center"/>
    </w:pPr>
    <w:rPr>
      <w:rFonts w:ascii="KaiTi" w:eastAsia="KaiTi" w:cs="Times New Roman (正文 CS 字体)"/>
      <w:b/>
    </w:rPr>
    <w:tblPr>
      <w:jc w:val="center"/>
      <w:tblBorders>
        <w:top w:val="single" w:sz="12" w:space="0" w:color="313196"/>
        <w:left w:val="single" w:sz="4" w:space="0" w:color="313196"/>
        <w:bottom w:val="single" w:sz="12" w:space="0" w:color="313196"/>
        <w:right w:val="single" w:sz="4" w:space="0" w:color="313196"/>
        <w:insideH w:val="single" w:sz="4" w:space="0" w:color="313196"/>
        <w:insideV w:val="single" w:sz="4" w:space="0" w:color="313196"/>
      </w:tblBorders>
    </w:tblPr>
    <w:trPr>
      <w:jc w:val="center"/>
    </w:trPr>
    <w:tcPr>
      <w:vAlign w:val="center"/>
    </w:tcPr>
  </w:style>
  <w:style w:type="paragraph" w:customStyle="1" w:styleId="a3">
    <w:name w:val="答复"/>
    <w:basedOn w:val="a"/>
    <w:qFormat/>
    <w:rsid w:val="00B050D2"/>
    <w:pPr>
      <w:spacing w:beforeLines="50" w:afterLines="50" w:line="360" w:lineRule="auto"/>
      <w:ind w:firstLineChars="200" w:firstLine="482"/>
    </w:pPr>
    <w:rPr>
      <w:rFonts w:ascii="Times New Roman" w:eastAsia="宋体" w:hAnsi="Times New Roman"/>
      <w:b/>
      <w:bCs/>
      <w:sz w:val="24"/>
      <w:szCs w:val="28"/>
      <w:u w:val="double"/>
    </w:rPr>
  </w:style>
  <w:style w:type="paragraph" w:customStyle="1" w:styleId="a4">
    <w:name w:val="【补充】/【说明】"/>
    <w:basedOn w:val="a"/>
    <w:qFormat/>
    <w:rsid w:val="00B050D2"/>
    <w:pPr>
      <w:spacing w:beforeLines="50" w:afterLines="50" w:line="360" w:lineRule="auto"/>
      <w:ind w:firstLineChars="200" w:firstLine="482"/>
      <w:outlineLvl w:val="1"/>
    </w:pPr>
    <w:rPr>
      <w:rFonts w:ascii="宋体" w:eastAsia="宋体" w:hAnsi="宋体" w:cs="Times New Roman"/>
      <w:b/>
      <w:bCs/>
      <w:sz w:val="24"/>
      <w:szCs w:val="24"/>
    </w:rPr>
  </w:style>
  <w:style w:type="paragraph" w:customStyle="1" w:styleId="a5">
    <w:name w:val="问题"/>
    <w:basedOn w:val="a"/>
    <w:qFormat/>
    <w:rsid w:val="00B050D2"/>
    <w:pPr>
      <w:spacing w:beforeLines="50" w:afterLines="50" w:line="360" w:lineRule="auto"/>
      <w:ind w:firstLineChars="200" w:firstLine="482"/>
      <w:outlineLvl w:val="0"/>
    </w:pPr>
    <w:rPr>
      <w:rFonts w:ascii="Times New Roman" w:eastAsia="宋体" w:hAnsi="Times New Roman"/>
      <w:b/>
      <w:bCs/>
      <w:sz w:val="24"/>
      <w:szCs w:val="28"/>
    </w:rPr>
  </w:style>
  <w:style w:type="paragraph" w:customStyle="1" w:styleId="a6">
    <w:name w:val="（问题）"/>
    <w:basedOn w:val="a"/>
    <w:qFormat/>
    <w:rsid w:val="00B050D2"/>
    <w:pPr>
      <w:spacing w:beforeLines="50" w:afterLines="50" w:line="360" w:lineRule="auto"/>
      <w:ind w:firstLineChars="200" w:firstLine="482"/>
      <w:outlineLvl w:val="2"/>
    </w:pPr>
    <w:rPr>
      <w:rFonts w:ascii="黑体" w:eastAsia="黑体" w:hAnsi="黑体" w:cs="Times New Roman"/>
      <w:b/>
      <w:bCs/>
      <w:sz w:val="24"/>
      <w:szCs w:val="24"/>
    </w:rPr>
  </w:style>
  <w:style w:type="paragraph" w:customStyle="1" w:styleId="11">
    <w:name w:val="正文1"/>
    <w:basedOn w:val="a"/>
    <w:qFormat/>
    <w:rsid w:val="00B050D2"/>
    <w:pPr>
      <w:widowControl/>
      <w:autoSpaceDE w:val="0"/>
      <w:autoSpaceDN w:val="0"/>
      <w:adjustRightInd w:val="0"/>
      <w:spacing w:beforeLines="50" w:afterLines="50" w:line="360" w:lineRule="auto"/>
      <w:ind w:firstLineChars="200" w:firstLine="480"/>
    </w:pPr>
    <w:rPr>
      <w:rFonts w:ascii="Times New Roman" w:eastAsia="宋体" w:hAnsi="Times New Roman" w:cs="宋体"/>
      <w:kern w:val="0"/>
      <w:sz w:val="24"/>
      <w:szCs w:val="24"/>
    </w:rPr>
  </w:style>
  <w:style w:type="paragraph" w:customStyle="1" w:styleId="a7">
    <w:name w:val="披露正文"/>
    <w:basedOn w:val="a"/>
    <w:qFormat/>
    <w:rsid w:val="00B050D2"/>
    <w:pPr>
      <w:spacing w:beforeLines="50" w:afterLines="50" w:line="360" w:lineRule="auto"/>
      <w:ind w:firstLineChars="200" w:firstLine="482"/>
    </w:pPr>
    <w:rPr>
      <w:rFonts w:ascii="楷体" w:eastAsia="楷体" w:hAnsi="楷体" w:cs="Times New Roman"/>
      <w:b/>
      <w:bCs/>
      <w:color w:val="000000"/>
      <w:kern w:val="0"/>
      <w:sz w:val="24"/>
      <w:szCs w:val="24"/>
      <w:lang w:bidi="en-US"/>
    </w:rPr>
  </w:style>
  <w:style w:type="table" w:styleId="a8">
    <w:name w:val="Table Grid"/>
    <w:basedOn w:val="a1"/>
    <w:uiPriority w:val="39"/>
    <w:rsid w:val="002C4D3B"/>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核查过程/结论）"/>
    <w:basedOn w:val="a"/>
    <w:qFormat/>
    <w:rsid w:val="002C4D3B"/>
    <w:pPr>
      <w:spacing w:beforeLines="50" w:afterLines="50" w:line="360" w:lineRule="auto"/>
      <w:ind w:firstLineChars="200" w:firstLine="482"/>
      <w:jc w:val="left"/>
      <w:outlineLvl w:val="2"/>
    </w:pPr>
    <w:rPr>
      <w:rFonts w:ascii="宋体" w:eastAsia="Times New Roman" w:hAnsi="宋体" w:cs="Times New Roman"/>
      <w:b/>
      <w:color w:val="000000"/>
      <w:kern w:val="0"/>
      <w:sz w:val="24"/>
      <w:szCs w:val="24"/>
      <w:lang w:bidi="en-US"/>
    </w:rPr>
  </w:style>
  <w:style w:type="paragraph" w:styleId="12">
    <w:name w:val="toc 1"/>
    <w:basedOn w:val="a"/>
    <w:next w:val="a"/>
    <w:autoRedefine/>
    <w:uiPriority w:val="39"/>
    <w:unhideWhenUsed/>
    <w:rsid w:val="00D63A86"/>
    <w:pPr>
      <w:tabs>
        <w:tab w:val="right" w:leader="dot" w:pos="8296"/>
      </w:tabs>
      <w:spacing w:line="360" w:lineRule="auto"/>
      <w:jc w:val="center"/>
    </w:pPr>
    <w:rPr>
      <w:rFonts w:ascii="宋体" w:eastAsia="宋体" w:hAnsi="宋体"/>
      <w:b/>
      <w:bCs/>
      <w:sz w:val="32"/>
      <w:szCs w:val="32"/>
    </w:rPr>
  </w:style>
  <w:style w:type="character" w:styleId="aa">
    <w:name w:val="Hyperlink"/>
    <w:basedOn w:val="a0"/>
    <w:uiPriority w:val="99"/>
    <w:unhideWhenUsed/>
    <w:rsid w:val="009458FA"/>
    <w:rPr>
      <w:color w:val="0563C1" w:themeColor="hyperlink"/>
      <w:u w:val="single"/>
    </w:rPr>
  </w:style>
  <w:style w:type="character" w:customStyle="1" w:styleId="1Char">
    <w:name w:val="标题 1 Char"/>
    <w:basedOn w:val="a0"/>
    <w:link w:val="1"/>
    <w:uiPriority w:val="9"/>
    <w:rsid w:val="00D85E46"/>
    <w:rPr>
      <w:b/>
      <w:bCs/>
      <w:kern w:val="44"/>
      <w:sz w:val="44"/>
      <w:szCs w:val="44"/>
    </w:rPr>
  </w:style>
  <w:style w:type="character" w:customStyle="1" w:styleId="13">
    <w:name w:val="未处理的提及1"/>
    <w:basedOn w:val="a0"/>
    <w:uiPriority w:val="99"/>
    <w:semiHidden/>
    <w:unhideWhenUsed/>
    <w:rsid w:val="00D85E46"/>
    <w:rPr>
      <w:color w:val="605E5C"/>
      <w:shd w:val="clear" w:color="auto" w:fill="E1DFDD"/>
    </w:rPr>
  </w:style>
  <w:style w:type="paragraph" w:styleId="ab">
    <w:name w:val="Revision"/>
    <w:hidden/>
    <w:uiPriority w:val="99"/>
    <w:semiHidden/>
    <w:rsid w:val="00D85E46"/>
    <w:rPr>
      <w:szCs w:val="22"/>
    </w:rPr>
  </w:style>
  <w:style w:type="paragraph" w:styleId="ac">
    <w:name w:val="header"/>
    <w:basedOn w:val="a"/>
    <w:link w:val="Char"/>
    <w:uiPriority w:val="99"/>
    <w:unhideWhenUsed/>
    <w:rsid w:val="0093476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c"/>
    <w:uiPriority w:val="99"/>
    <w:rsid w:val="0093476D"/>
    <w:rPr>
      <w:sz w:val="18"/>
      <w:szCs w:val="18"/>
    </w:rPr>
  </w:style>
  <w:style w:type="paragraph" w:styleId="ad">
    <w:name w:val="footer"/>
    <w:basedOn w:val="a"/>
    <w:link w:val="Char0"/>
    <w:uiPriority w:val="99"/>
    <w:unhideWhenUsed/>
    <w:rsid w:val="0093476D"/>
    <w:pPr>
      <w:tabs>
        <w:tab w:val="center" w:pos="4153"/>
        <w:tab w:val="right" w:pos="8306"/>
      </w:tabs>
      <w:snapToGrid w:val="0"/>
      <w:jc w:val="left"/>
    </w:pPr>
    <w:rPr>
      <w:sz w:val="18"/>
      <w:szCs w:val="18"/>
    </w:rPr>
  </w:style>
  <w:style w:type="character" w:customStyle="1" w:styleId="Char0">
    <w:name w:val="页脚 Char"/>
    <w:basedOn w:val="a0"/>
    <w:link w:val="ad"/>
    <w:uiPriority w:val="99"/>
    <w:rsid w:val="0093476D"/>
    <w:rPr>
      <w:sz w:val="18"/>
      <w:szCs w:val="18"/>
    </w:rPr>
  </w:style>
  <w:style w:type="paragraph" w:styleId="ae">
    <w:name w:val="Balloon Text"/>
    <w:basedOn w:val="a"/>
    <w:link w:val="Char1"/>
    <w:uiPriority w:val="99"/>
    <w:semiHidden/>
    <w:unhideWhenUsed/>
    <w:rsid w:val="0093476D"/>
    <w:rPr>
      <w:sz w:val="18"/>
      <w:szCs w:val="18"/>
    </w:rPr>
  </w:style>
  <w:style w:type="character" w:customStyle="1" w:styleId="Char1">
    <w:name w:val="批注框文本 Char"/>
    <w:basedOn w:val="a0"/>
    <w:link w:val="ae"/>
    <w:uiPriority w:val="99"/>
    <w:semiHidden/>
    <w:rsid w:val="0093476D"/>
    <w:rPr>
      <w:sz w:val="18"/>
      <w:szCs w:val="18"/>
    </w:rPr>
  </w:style>
  <w:style w:type="character" w:styleId="af">
    <w:name w:val="annotation reference"/>
    <w:basedOn w:val="a0"/>
    <w:uiPriority w:val="99"/>
    <w:semiHidden/>
    <w:unhideWhenUsed/>
    <w:rsid w:val="00C6611A"/>
    <w:rPr>
      <w:sz w:val="21"/>
      <w:szCs w:val="21"/>
    </w:rPr>
  </w:style>
  <w:style w:type="paragraph" w:styleId="af0">
    <w:name w:val="annotation text"/>
    <w:basedOn w:val="a"/>
    <w:link w:val="Char2"/>
    <w:uiPriority w:val="99"/>
    <w:semiHidden/>
    <w:unhideWhenUsed/>
    <w:rsid w:val="00C6611A"/>
    <w:pPr>
      <w:jc w:val="left"/>
    </w:pPr>
  </w:style>
  <w:style w:type="character" w:customStyle="1" w:styleId="Char2">
    <w:name w:val="批注文字 Char"/>
    <w:basedOn w:val="a0"/>
    <w:link w:val="af0"/>
    <w:uiPriority w:val="99"/>
    <w:semiHidden/>
    <w:rsid w:val="00C6611A"/>
    <w:rPr>
      <w:szCs w:val="22"/>
    </w:rPr>
  </w:style>
  <w:style w:type="paragraph" w:styleId="af1">
    <w:name w:val="annotation subject"/>
    <w:basedOn w:val="af0"/>
    <w:next w:val="af0"/>
    <w:link w:val="Char3"/>
    <w:uiPriority w:val="99"/>
    <w:semiHidden/>
    <w:unhideWhenUsed/>
    <w:rsid w:val="00C6611A"/>
    <w:rPr>
      <w:b/>
      <w:bCs/>
    </w:rPr>
  </w:style>
  <w:style w:type="character" w:customStyle="1" w:styleId="Char3">
    <w:name w:val="批注主题 Char"/>
    <w:basedOn w:val="Char2"/>
    <w:link w:val="af1"/>
    <w:uiPriority w:val="99"/>
    <w:semiHidden/>
    <w:rsid w:val="00C6611A"/>
    <w:rPr>
      <w:b/>
      <w:bCs/>
      <w:szCs w:val="22"/>
    </w:rPr>
  </w:style>
  <w:style w:type="paragraph" w:styleId="af2">
    <w:name w:val="No Spacing"/>
    <w:aliases w:val="表格正文"/>
    <w:uiPriority w:val="1"/>
    <w:qFormat/>
    <w:rsid w:val="000873D9"/>
    <w:pPr>
      <w:widowControl w:val="0"/>
      <w:snapToGrid w:val="0"/>
      <w:spacing w:beforeLines="30" w:afterLines="30"/>
      <w:jc w:val="both"/>
    </w:pPr>
    <w:rPr>
      <w:rFonts w:ascii="Times New Roman" w:eastAsia="宋体" w:hAnsi="Times New Roman" w:cs="Times New Roman"/>
      <w:szCs w:val="20"/>
    </w:rPr>
  </w:style>
  <w:style w:type="table" w:customStyle="1" w:styleId="5">
    <w:name w:val="网格型5"/>
    <w:basedOn w:val="a1"/>
    <w:next w:val="a8"/>
    <w:uiPriority w:val="39"/>
    <w:rsid w:val="003C6D0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0"/>
    <w:link w:val="2"/>
    <w:uiPriority w:val="9"/>
    <w:semiHidden/>
    <w:rsid w:val="00AD5FE6"/>
    <w:rPr>
      <w:rFonts w:asciiTheme="majorHAnsi" w:eastAsiaTheme="majorEastAsia" w:hAnsiTheme="majorHAnsi" w:cstheme="majorBidi"/>
      <w:b/>
      <w:bCs/>
      <w:sz w:val="32"/>
      <w:szCs w:val="32"/>
    </w:rPr>
  </w:style>
  <w:style w:type="paragraph" w:styleId="af3">
    <w:name w:val="Document Map"/>
    <w:basedOn w:val="a"/>
    <w:link w:val="Char4"/>
    <w:uiPriority w:val="99"/>
    <w:semiHidden/>
    <w:unhideWhenUsed/>
    <w:rsid w:val="00903E66"/>
    <w:rPr>
      <w:rFonts w:ascii="宋体" w:eastAsia="宋体"/>
      <w:sz w:val="18"/>
      <w:szCs w:val="18"/>
    </w:rPr>
  </w:style>
  <w:style w:type="character" w:customStyle="1" w:styleId="Char4">
    <w:name w:val="文档结构图 Char"/>
    <w:basedOn w:val="a0"/>
    <w:link w:val="af3"/>
    <w:uiPriority w:val="99"/>
    <w:semiHidden/>
    <w:rsid w:val="00903E66"/>
    <w:rPr>
      <w:rFonts w:ascii="宋体" w:eastAsia="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379626">
      <w:bodyDiv w:val="1"/>
      <w:marLeft w:val="0"/>
      <w:marRight w:val="0"/>
      <w:marTop w:val="0"/>
      <w:marBottom w:val="0"/>
      <w:divBdr>
        <w:top w:val="none" w:sz="0" w:space="0" w:color="auto"/>
        <w:left w:val="none" w:sz="0" w:space="0" w:color="auto"/>
        <w:bottom w:val="none" w:sz="0" w:space="0" w:color="auto"/>
        <w:right w:val="none" w:sz="0" w:space="0" w:color="auto"/>
      </w:divBdr>
    </w:div>
    <w:div w:id="1180315985">
      <w:bodyDiv w:val="1"/>
      <w:marLeft w:val="0"/>
      <w:marRight w:val="0"/>
      <w:marTop w:val="0"/>
      <w:marBottom w:val="0"/>
      <w:divBdr>
        <w:top w:val="none" w:sz="0" w:space="0" w:color="auto"/>
        <w:left w:val="none" w:sz="0" w:space="0" w:color="auto"/>
        <w:bottom w:val="none" w:sz="0" w:space="0" w:color="auto"/>
        <w:right w:val="none" w:sz="0" w:space="0" w:color="auto"/>
      </w:divBdr>
    </w:div>
    <w:div w:id="1428766077">
      <w:bodyDiv w:val="1"/>
      <w:marLeft w:val="0"/>
      <w:marRight w:val="0"/>
      <w:marTop w:val="0"/>
      <w:marBottom w:val="0"/>
      <w:divBdr>
        <w:top w:val="none" w:sz="0" w:space="0" w:color="auto"/>
        <w:left w:val="none" w:sz="0" w:space="0" w:color="auto"/>
        <w:bottom w:val="none" w:sz="0" w:space="0" w:color="auto"/>
        <w:right w:val="none" w:sz="0" w:space="0" w:color="auto"/>
      </w:divBdr>
    </w:div>
    <w:div w:id="1485856075">
      <w:bodyDiv w:val="1"/>
      <w:marLeft w:val="0"/>
      <w:marRight w:val="0"/>
      <w:marTop w:val="0"/>
      <w:marBottom w:val="0"/>
      <w:divBdr>
        <w:top w:val="none" w:sz="0" w:space="0" w:color="auto"/>
        <w:left w:val="none" w:sz="0" w:space="0" w:color="auto"/>
        <w:bottom w:val="none" w:sz="0" w:space="0" w:color="auto"/>
        <w:right w:val="none" w:sz="0" w:space="0" w:color="auto"/>
      </w:divBdr>
    </w:div>
    <w:div w:id="157142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9A8A7-5665-48B4-B4C1-58D6C2CFE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34</Pages>
  <Words>3502</Words>
  <Characters>19962</Characters>
  <Application>Microsoft Office Word</Application>
  <DocSecurity>0</DocSecurity>
  <Lines>166</Lines>
  <Paragraphs>46</Paragraphs>
  <ScaleCrop>false</ScaleCrop>
  <Company/>
  <LinksUpToDate>false</LinksUpToDate>
  <CharactersWithSpaces>23418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范娴颖</dc:creator>
  <cp:keywords/>
  <dc:description/>
  <cp:lastModifiedBy>rd</cp:lastModifiedBy>
  <cp:revision>153</cp:revision>
  <dcterms:created xsi:type="dcterms:W3CDTF">2020-12-12T04:18:00Z</dcterms:created>
  <dcterms:modified xsi:type="dcterms:W3CDTF">2021-03-28T04:22:00Z</dcterms:modified>
</cp:coreProperties>
</file>