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03" w:rsidRPr="006B07F0" w:rsidRDefault="00F42003" w:rsidP="00F42003">
      <w:pPr>
        <w:tabs>
          <w:tab w:val="left" w:pos="2100"/>
          <w:tab w:val="center" w:pos="4153"/>
        </w:tabs>
        <w:snapToGrid w:val="0"/>
        <w:spacing w:line="400" w:lineRule="atLeast"/>
        <w:jc w:val="center"/>
        <w:rPr>
          <w:rFonts w:ascii="Times New Roman" w:hAnsi="Times New Roman" w:cs="Times New Roman"/>
          <w:b/>
          <w:sz w:val="36"/>
          <w:szCs w:val="36"/>
        </w:rPr>
      </w:pPr>
      <w:bookmarkStart w:id="0" w:name="_Hlk51493510"/>
      <w:bookmarkStart w:id="1" w:name="_GoBack"/>
      <w:bookmarkEnd w:id="1"/>
      <w:r w:rsidRPr="006B07F0">
        <w:rPr>
          <w:rFonts w:ascii="Times New Roman" w:hAnsi="Times New Roman" w:cs="Times New Roman"/>
          <w:b/>
          <w:sz w:val="36"/>
          <w:szCs w:val="36"/>
        </w:rPr>
        <w:t>关于对</w:t>
      </w:r>
      <w:r w:rsidR="006E4A9B" w:rsidRPr="006B07F0">
        <w:rPr>
          <w:rFonts w:ascii="Times New Roman" w:hAnsi="Times New Roman" w:cs="Times New Roman" w:hint="eastAsia"/>
          <w:b/>
          <w:sz w:val="36"/>
          <w:szCs w:val="36"/>
        </w:rPr>
        <w:t>上海霍普建筑设计事务所股份有限公司</w:t>
      </w:r>
    </w:p>
    <w:p w:rsidR="000953C7" w:rsidRPr="006B07F0" w:rsidRDefault="000953C7" w:rsidP="000953C7">
      <w:pPr>
        <w:tabs>
          <w:tab w:val="left" w:pos="2100"/>
          <w:tab w:val="center" w:pos="4153"/>
        </w:tabs>
        <w:snapToGrid w:val="0"/>
        <w:spacing w:line="400" w:lineRule="atLeast"/>
        <w:jc w:val="center"/>
        <w:rPr>
          <w:rFonts w:ascii="Times New Roman" w:hAnsi="Times New Roman" w:cs="Times New Roman"/>
          <w:b/>
          <w:sz w:val="36"/>
          <w:szCs w:val="36"/>
        </w:rPr>
      </w:pPr>
      <w:r w:rsidRPr="006B07F0">
        <w:rPr>
          <w:rFonts w:ascii="Times New Roman" w:hAnsi="Times New Roman" w:cs="Times New Roman"/>
          <w:b/>
          <w:sz w:val="36"/>
          <w:szCs w:val="36"/>
        </w:rPr>
        <w:t>申请首次公开发行股票并在创业板上市的</w:t>
      </w:r>
    </w:p>
    <w:p w:rsidR="00E6306F" w:rsidRPr="006B07F0" w:rsidRDefault="000953C7" w:rsidP="000953C7">
      <w:pPr>
        <w:tabs>
          <w:tab w:val="left" w:pos="2100"/>
          <w:tab w:val="center" w:pos="4153"/>
        </w:tabs>
        <w:snapToGrid w:val="0"/>
        <w:spacing w:line="400" w:lineRule="atLeast"/>
        <w:jc w:val="center"/>
        <w:rPr>
          <w:rFonts w:ascii="Times New Roman" w:hAnsi="Times New Roman" w:cs="Times New Roman"/>
          <w:b/>
          <w:sz w:val="36"/>
          <w:szCs w:val="36"/>
        </w:rPr>
      </w:pPr>
      <w:r w:rsidRPr="006B07F0">
        <w:rPr>
          <w:rFonts w:ascii="Times New Roman" w:hAnsi="Times New Roman" w:cs="Times New Roman"/>
          <w:b/>
          <w:sz w:val="36"/>
          <w:szCs w:val="36"/>
        </w:rPr>
        <w:t>审核中心意见落实函</w:t>
      </w:r>
      <w:r w:rsidR="00F42003" w:rsidRPr="006B07F0">
        <w:rPr>
          <w:rFonts w:ascii="Times New Roman" w:hAnsi="Times New Roman" w:cs="Times New Roman"/>
          <w:b/>
          <w:sz w:val="36"/>
          <w:szCs w:val="36"/>
        </w:rPr>
        <w:t>的回复</w:t>
      </w:r>
      <w:bookmarkEnd w:id="0"/>
    </w:p>
    <w:p w:rsidR="00E6306F" w:rsidRPr="006B07F0" w:rsidRDefault="00E6306F" w:rsidP="00E6306F">
      <w:pPr>
        <w:snapToGrid w:val="0"/>
        <w:spacing w:line="400" w:lineRule="atLeast"/>
        <w:rPr>
          <w:rFonts w:ascii="Times New Roman" w:hAnsi="Times New Roman" w:cs="Times New Roman"/>
          <w:b/>
          <w:szCs w:val="21"/>
        </w:rPr>
      </w:pPr>
    </w:p>
    <w:p w:rsidR="00E6306F" w:rsidRPr="006B07F0" w:rsidRDefault="000903A4" w:rsidP="00E6306F">
      <w:pPr>
        <w:snapToGrid w:val="0"/>
        <w:spacing w:line="400" w:lineRule="atLeast"/>
        <w:jc w:val="right"/>
        <w:rPr>
          <w:rFonts w:ascii="Times New Roman" w:hAnsi="Times New Roman" w:cs="Times New Roman"/>
          <w:bCs/>
          <w:sz w:val="21"/>
          <w:szCs w:val="18"/>
        </w:rPr>
      </w:pPr>
      <w:r w:rsidRPr="006B07F0">
        <w:rPr>
          <w:rFonts w:ascii="Times New Roman" w:hAnsi="Times New Roman" w:cs="Times New Roman"/>
          <w:bCs/>
          <w:sz w:val="21"/>
          <w:szCs w:val="18"/>
        </w:rPr>
        <w:t>信会师函字</w:t>
      </w:r>
      <w:r w:rsidRPr="006B07F0">
        <w:rPr>
          <w:rFonts w:ascii="Times New Roman" w:hAnsi="Times New Roman" w:cs="Times New Roman"/>
          <w:bCs/>
          <w:sz w:val="21"/>
          <w:szCs w:val="18"/>
        </w:rPr>
        <w:t>[202</w:t>
      </w:r>
      <w:r w:rsidR="001E2F08" w:rsidRPr="006B07F0">
        <w:rPr>
          <w:rFonts w:ascii="Times New Roman" w:hAnsi="Times New Roman" w:cs="Times New Roman"/>
          <w:bCs/>
          <w:sz w:val="21"/>
          <w:szCs w:val="18"/>
        </w:rPr>
        <w:t>1</w:t>
      </w:r>
      <w:r w:rsidRPr="006B07F0">
        <w:rPr>
          <w:rFonts w:ascii="Times New Roman" w:hAnsi="Times New Roman" w:cs="Times New Roman"/>
          <w:bCs/>
          <w:sz w:val="21"/>
          <w:szCs w:val="18"/>
        </w:rPr>
        <w:t>]</w:t>
      </w:r>
      <w:r w:rsidRPr="006B07F0">
        <w:rPr>
          <w:rFonts w:ascii="Times New Roman" w:hAnsi="Times New Roman" w:cs="Times New Roman"/>
          <w:bCs/>
          <w:sz w:val="21"/>
          <w:szCs w:val="18"/>
        </w:rPr>
        <w:t>第</w:t>
      </w:r>
      <w:r w:rsidR="00FB76AB" w:rsidRPr="006B07F0">
        <w:rPr>
          <w:rFonts w:ascii="Times New Roman" w:hAnsi="Times New Roman" w:cs="Times New Roman"/>
          <w:bCs/>
          <w:sz w:val="21"/>
          <w:szCs w:val="18"/>
        </w:rPr>
        <w:t>ZA</w:t>
      </w:r>
      <w:r w:rsidR="00242FC8" w:rsidRPr="006B07F0">
        <w:rPr>
          <w:rFonts w:ascii="Times New Roman" w:hAnsi="Times New Roman" w:cs="Times New Roman"/>
          <w:bCs/>
          <w:sz w:val="21"/>
          <w:szCs w:val="18"/>
        </w:rPr>
        <w:t>181</w:t>
      </w:r>
      <w:r w:rsidRPr="006B07F0">
        <w:rPr>
          <w:rFonts w:ascii="Times New Roman" w:hAnsi="Times New Roman" w:cs="Times New Roman"/>
          <w:bCs/>
          <w:sz w:val="21"/>
          <w:szCs w:val="18"/>
        </w:rPr>
        <w:t>号</w:t>
      </w:r>
    </w:p>
    <w:p w:rsidR="00E6306F" w:rsidRPr="006B07F0" w:rsidRDefault="00E6306F" w:rsidP="00E6306F">
      <w:pPr>
        <w:snapToGrid w:val="0"/>
        <w:spacing w:line="400" w:lineRule="atLeast"/>
        <w:rPr>
          <w:rFonts w:ascii="Times New Roman" w:hAnsi="Times New Roman" w:cs="Times New Roman"/>
          <w:b/>
          <w:szCs w:val="21"/>
        </w:rPr>
      </w:pPr>
    </w:p>
    <w:p w:rsidR="00E6306F" w:rsidRPr="006B07F0" w:rsidRDefault="004F0862" w:rsidP="00E6306F">
      <w:pPr>
        <w:snapToGrid w:val="0"/>
        <w:spacing w:line="400" w:lineRule="atLeast"/>
        <w:rPr>
          <w:rFonts w:ascii="Times New Roman" w:hAnsi="Times New Roman" w:cs="Times New Roman"/>
          <w:b/>
        </w:rPr>
      </w:pPr>
      <w:r w:rsidRPr="006B07F0">
        <w:rPr>
          <w:rFonts w:ascii="Times New Roman" w:hAnsi="Times New Roman" w:cs="Times New Roman"/>
          <w:b/>
        </w:rPr>
        <w:t>深圳证券交易所</w:t>
      </w:r>
      <w:r w:rsidR="00E6306F" w:rsidRPr="006B07F0">
        <w:rPr>
          <w:rFonts w:ascii="Times New Roman" w:hAnsi="Times New Roman" w:cs="Times New Roman"/>
          <w:b/>
        </w:rPr>
        <w:t>：</w:t>
      </w:r>
    </w:p>
    <w:p w:rsidR="00E6306F" w:rsidRPr="006B07F0" w:rsidRDefault="00E6306F" w:rsidP="00E6306F">
      <w:pPr>
        <w:autoSpaceDE w:val="0"/>
        <w:autoSpaceDN w:val="0"/>
        <w:adjustRightInd w:val="0"/>
        <w:spacing w:line="400" w:lineRule="atLeast"/>
        <w:ind w:firstLineChars="200" w:firstLine="480"/>
        <w:rPr>
          <w:rFonts w:ascii="Times New Roman" w:hAnsi="Times New Roman" w:cs="Times New Roman"/>
          <w:szCs w:val="21"/>
        </w:rPr>
      </w:pPr>
    </w:p>
    <w:p w:rsidR="00E6306F" w:rsidRPr="006B07F0" w:rsidRDefault="00E6306F" w:rsidP="000953C7">
      <w:pPr>
        <w:autoSpaceDE w:val="0"/>
        <w:autoSpaceDN w:val="0"/>
        <w:adjustRightInd w:val="0"/>
        <w:spacing w:line="400" w:lineRule="atLeast"/>
        <w:ind w:firstLineChars="200" w:firstLine="420"/>
        <w:rPr>
          <w:rFonts w:ascii="Times New Roman" w:hAnsi="Times New Roman" w:cs="Times New Roman"/>
          <w:sz w:val="21"/>
          <w:szCs w:val="21"/>
        </w:rPr>
      </w:pPr>
      <w:r w:rsidRPr="006B07F0">
        <w:rPr>
          <w:rFonts w:ascii="Times New Roman" w:hAnsi="Times New Roman" w:cs="Times New Roman"/>
          <w:sz w:val="21"/>
          <w:szCs w:val="21"/>
        </w:rPr>
        <w:t>贵</w:t>
      </w:r>
      <w:r w:rsidR="004F0862" w:rsidRPr="006B07F0">
        <w:rPr>
          <w:rFonts w:ascii="Times New Roman" w:hAnsi="Times New Roman" w:cs="Times New Roman"/>
          <w:sz w:val="21"/>
          <w:szCs w:val="21"/>
        </w:rPr>
        <w:t>所提出的</w:t>
      </w:r>
      <w:r w:rsidR="000953C7" w:rsidRPr="006B07F0">
        <w:rPr>
          <w:rFonts w:ascii="Times New Roman" w:hAnsi="Times New Roman" w:cs="Times New Roman"/>
          <w:sz w:val="21"/>
          <w:szCs w:val="21"/>
        </w:rPr>
        <w:t>《关于</w:t>
      </w:r>
      <w:r w:rsidR="006E4A9B" w:rsidRPr="006B07F0">
        <w:rPr>
          <w:rFonts w:ascii="Times New Roman" w:hAnsi="Times New Roman" w:cs="Times New Roman" w:hint="eastAsia"/>
          <w:sz w:val="21"/>
          <w:szCs w:val="21"/>
        </w:rPr>
        <w:t>上海霍普建筑设计事务所股份有限公司</w:t>
      </w:r>
      <w:r w:rsidR="000953C7" w:rsidRPr="006B07F0">
        <w:rPr>
          <w:rFonts w:ascii="Times New Roman" w:hAnsi="Times New Roman" w:cs="Times New Roman"/>
          <w:sz w:val="21"/>
          <w:szCs w:val="21"/>
        </w:rPr>
        <w:t>申请首次公开发行股票并在创业板上市的审核中心意见落实函》</w:t>
      </w:r>
      <w:r w:rsidRPr="006B07F0">
        <w:rPr>
          <w:rFonts w:ascii="Times New Roman" w:hAnsi="Times New Roman" w:cs="Times New Roman"/>
          <w:sz w:val="21"/>
          <w:szCs w:val="21"/>
        </w:rPr>
        <w:t>收悉。根据贵</w:t>
      </w:r>
      <w:r w:rsidR="004F0862" w:rsidRPr="006B07F0">
        <w:rPr>
          <w:rFonts w:ascii="Times New Roman" w:hAnsi="Times New Roman" w:cs="Times New Roman"/>
          <w:sz w:val="21"/>
          <w:szCs w:val="21"/>
        </w:rPr>
        <w:t>所</w:t>
      </w:r>
      <w:r w:rsidRPr="006B07F0">
        <w:rPr>
          <w:rFonts w:ascii="Times New Roman" w:hAnsi="Times New Roman" w:cs="Times New Roman"/>
          <w:sz w:val="21"/>
          <w:szCs w:val="21"/>
        </w:rPr>
        <w:t>提出的相关问题，本会计师事务所本着真实、准确、完整的原则进行了逐项回复，具体回复内容如下：</w:t>
      </w:r>
    </w:p>
    <w:p w:rsidR="00B05F4A" w:rsidRPr="006B07F0" w:rsidRDefault="00B05F4A" w:rsidP="000953C7">
      <w:pPr>
        <w:autoSpaceDE w:val="0"/>
        <w:autoSpaceDN w:val="0"/>
        <w:adjustRightInd w:val="0"/>
        <w:spacing w:line="400" w:lineRule="atLeast"/>
        <w:ind w:firstLineChars="200" w:firstLine="420"/>
        <w:rPr>
          <w:rFonts w:ascii="Times New Roman" w:hAnsi="Times New Roman" w:cs="Times New Roman"/>
          <w:sz w:val="21"/>
          <w:szCs w:val="21"/>
        </w:rPr>
      </w:pPr>
    </w:p>
    <w:p w:rsidR="00E6306F" w:rsidRPr="006B07F0" w:rsidRDefault="00E6306F" w:rsidP="009E0936">
      <w:pPr>
        <w:spacing w:line="400" w:lineRule="atLeast"/>
        <w:rPr>
          <w:rFonts w:ascii="Times New Roman" w:hAnsi="Times New Roman" w:cs="Times New Roman"/>
          <w:b/>
          <w:color w:val="000000"/>
          <w:sz w:val="21"/>
          <w:szCs w:val="21"/>
        </w:rPr>
      </w:pPr>
    </w:p>
    <w:p w:rsidR="001E2F08" w:rsidRPr="006B07F0" w:rsidRDefault="001E2F08" w:rsidP="001E2F08">
      <w:pPr>
        <w:spacing w:beforeLines="50" w:before="163" w:afterLines="50" w:after="163" w:line="360" w:lineRule="auto"/>
        <w:ind w:firstLineChars="200" w:firstLine="422"/>
        <w:outlineLvl w:val="0"/>
        <w:rPr>
          <w:rFonts w:cs="Times New Roman"/>
          <w:b/>
          <w:sz w:val="21"/>
          <w:szCs w:val="21"/>
        </w:rPr>
      </w:pPr>
      <w:bookmarkStart w:id="2" w:name="_Toc58669584"/>
      <w:r w:rsidRPr="006B07F0">
        <w:rPr>
          <w:rFonts w:cs="Times New Roman" w:hint="eastAsia"/>
          <w:b/>
          <w:sz w:val="21"/>
          <w:szCs w:val="21"/>
        </w:rPr>
        <w:t>问题</w:t>
      </w:r>
      <w:r w:rsidRPr="006B07F0">
        <w:rPr>
          <w:rFonts w:cs="Times New Roman"/>
          <w:b/>
          <w:sz w:val="21"/>
          <w:szCs w:val="21"/>
        </w:rPr>
        <w:t>2</w:t>
      </w:r>
      <w:bookmarkEnd w:id="2"/>
    </w:p>
    <w:p w:rsidR="001E2F08" w:rsidRPr="006B07F0" w:rsidRDefault="001E2F08" w:rsidP="001E2F08">
      <w:pPr>
        <w:pStyle w:val="ae"/>
        <w:spacing w:before="163" w:after="163"/>
        <w:ind w:firstLine="422"/>
        <w:rPr>
          <w:rFonts w:ascii="宋体" w:eastAsia="宋体" w:hAnsi="宋体"/>
          <w:bCs w:val="0"/>
          <w:sz w:val="21"/>
          <w:szCs w:val="21"/>
        </w:rPr>
      </w:pPr>
      <w:r w:rsidRPr="006B07F0">
        <w:rPr>
          <w:rFonts w:ascii="宋体" w:eastAsia="宋体" w:hAnsi="宋体"/>
          <w:bCs w:val="0"/>
          <w:sz w:val="21"/>
          <w:szCs w:val="21"/>
        </w:rPr>
        <w:t>2.</w:t>
      </w:r>
      <w:r w:rsidRPr="006B07F0">
        <w:rPr>
          <w:rFonts w:ascii="宋体" w:eastAsia="宋体" w:hAnsi="宋体" w:hint="eastAsia"/>
          <w:bCs w:val="0"/>
          <w:sz w:val="21"/>
          <w:szCs w:val="21"/>
        </w:rPr>
        <w:t xml:space="preserve"> 根据申报材料及审核问询回复，报告期内，发行人建筑设计业务按照完工百分比法即合同付款节点约定比例确认收入。发行人认为实施新收入准则不会对公司具体的收入确认方法和收入金额构成影响，对公司生产经营及主要财务指标无实质影响。请发行人结合新收入准则规定的按时段确认收入的三个条件，论证并补充披露发行人建筑设计业务按照完工百分比法即合同付款节点约定比例确认收入是否符合相关规定。</w:t>
      </w:r>
    </w:p>
    <w:p w:rsidR="001E2F08" w:rsidRPr="006B07F0" w:rsidRDefault="001E2F08" w:rsidP="001E2F08">
      <w:pPr>
        <w:pStyle w:val="ae"/>
        <w:spacing w:before="163" w:after="163"/>
        <w:ind w:firstLine="422"/>
        <w:rPr>
          <w:rFonts w:ascii="宋体" w:eastAsia="宋体" w:hAnsi="宋体"/>
          <w:bCs w:val="0"/>
          <w:sz w:val="21"/>
          <w:szCs w:val="21"/>
        </w:rPr>
      </w:pPr>
      <w:r w:rsidRPr="006B07F0">
        <w:rPr>
          <w:rFonts w:ascii="宋体" w:eastAsia="宋体" w:hAnsi="宋体" w:hint="eastAsia"/>
          <w:bCs w:val="0"/>
          <w:sz w:val="21"/>
          <w:szCs w:val="21"/>
        </w:rPr>
        <w:t>请保荐人、申报会计师核查并发表明确意见。</w:t>
      </w:r>
    </w:p>
    <w:p w:rsidR="001E2F08" w:rsidRPr="006B07F0" w:rsidRDefault="001E2F08" w:rsidP="001E2F08">
      <w:pPr>
        <w:spacing w:beforeLines="50" w:before="163" w:afterLines="50" w:after="163" w:line="360" w:lineRule="auto"/>
        <w:ind w:firstLineChars="200" w:firstLine="422"/>
        <w:rPr>
          <w:b/>
          <w:sz w:val="21"/>
          <w:szCs w:val="21"/>
          <w:u w:val="double"/>
        </w:rPr>
      </w:pPr>
      <w:r w:rsidRPr="006B07F0">
        <w:rPr>
          <w:rFonts w:hint="eastAsia"/>
          <w:b/>
          <w:sz w:val="21"/>
          <w:szCs w:val="21"/>
          <w:u w:val="double"/>
        </w:rPr>
        <w:t>答复：</w:t>
      </w:r>
    </w:p>
    <w:p w:rsidR="001E2F08" w:rsidRPr="006B07F0" w:rsidRDefault="001E2F08" w:rsidP="001E2F08">
      <w:pPr>
        <w:pStyle w:val="ad"/>
        <w:spacing w:before="163" w:after="163"/>
        <w:ind w:firstLine="422"/>
        <w:rPr>
          <w:rFonts w:ascii="宋体" w:eastAsia="宋体" w:hAnsi="宋体"/>
          <w:bCs w:val="0"/>
          <w:sz w:val="21"/>
          <w:szCs w:val="21"/>
        </w:rPr>
      </w:pPr>
      <w:r w:rsidRPr="006B07F0">
        <w:rPr>
          <w:rFonts w:ascii="宋体" w:eastAsia="宋体" w:hAnsi="宋体" w:hint="eastAsia"/>
          <w:bCs w:val="0"/>
          <w:sz w:val="21"/>
          <w:szCs w:val="21"/>
        </w:rPr>
        <w:t>（一）结合新收入准则规定的按时段确认收入的三个条件，论证并补充披露发行人建筑设计业务按照完工百分比法即合同付款节点约定比例确认收入是否符合相关规定</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1、发行人在新收入准则下其履约义务属于在某一时段内履行履约义务，发行人收入确认方法符合新收入准则的相关规定</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w:t>
      </w:r>
      <w:r w:rsidRPr="006B07F0">
        <w:rPr>
          <w:rFonts w:cs="Times New Roman"/>
          <w:bCs/>
          <w:sz w:val="21"/>
          <w:szCs w:val="21"/>
        </w:rPr>
        <w:t>1</w:t>
      </w:r>
      <w:r w:rsidRPr="006B07F0">
        <w:rPr>
          <w:rFonts w:cs="Times New Roman" w:hint="eastAsia"/>
          <w:bCs/>
          <w:sz w:val="21"/>
          <w:szCs w:val="21"/>
        </w:rPr>
        <w:t>）结合新收入准则规定的按时段确认收入的三个条件，发行人在新收入准则下其履约义务属于在某一时段内履行履约义务</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lastRenderedPageBreak/>
        <w:t>根据业务合同的约定，发行人向客户提供针对某一地产开发项目的建筑设计服务，该建筑设计服务是合同的履约义务。该履约义务属于在某一时段内履行的履约义务，具体分析如下：</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《企业会计准则</w:t>
      </w:r>
      <w:r w:rsidRPr="006B07F0">
        <w:rPr>
          <w:rFonts w:cs="Times New Roman"/>
          <w:bCs/>
          <w:sz w:val="21"/>
          <w:szCs w:val="21"/>
        </w:rPr>
        <w:t>—14</w:t>
      </w:r>
      <w:r w:rsidRPr="006B07F0">
        <w:rPr>
          <w:rFonts w:cs="Times New Roman" w:hint="eastAsia"/>
          <w:bCs/>
          <w:sz w:val="21"/>
          <w:szCs w:val="21"/>
        </w:rPr>
        <w:t>号收入》第十一条规定：满足下列条件之一的，属于在某一时段内履行履约义务；否则，属于在某一时</w:t>
      </w:r>
      <w:proofErr w:type="gramStart"/>
      <w:r w:rsidRPr="006B07F0">
        <w:rPr>
          <w:rFonts w:cs="Times New Roman" w:hint="eastAsia"/>
          <w:bCs/>
          <w:sz w:val="21"/>
          <w:szCs w:val="21"/>
        </w:rPr>
        <w:t>点履行</w:t>
      </w:r>
      <w:proofErr w:type="gramEnd"/>
      <w:r w:rsidRPr="006B07F0">
        <w:rPr>
          <w:rFonts w:cs="Times New Roman" w:hint="eastAsia"/>
          <w:bCs/>
          <w:sz w:val="21"/>
          <w:szCs w:val="21"/>
        </w:rPr>
        <w:t>履约义务：</w:t>
      </w:r>
      <w:r w:rsidRPr="006B07F0">
        <w:rPr>
          <w:rFonts w:cs="Times New Roman"/>
          <w:bCs/>
          <w:sz w:val="21"/>
          <w:szCs w:val="21"/>
        </w:rPr>
        <w:t xml:space="preserve"> </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bCs/>
          <w:sz w:val="21"/>
          <w:szCs w:val="21"/>
        </w:rPr>
        <w:t>1</w:t>
      </w:r>
      <w:r w:rsidRPr="006B07F0">
        <w:rPr>
          <w:rFonts w:cs="Times New Roman" w:hint="eastAsia"/>
          <w:bCs/>
          <w:sz w:val="21"/>
          <w:szCs w:val="21"/>
        </w:rPr>
        <w:t>）客户在企业履约的同时即取得并消耗企业履约所带来的经济利益。</w:t>
      </w:r>
      <w:r w:rsidRPr="006B07F0">
        <w:rPr>
          <w:rFonts w:cs="Times New Roman"/>
          <w:bCs/>
          <w:sz w:val="21"/>
          <w:szCs w:val="21"/>
        </w:rPr>
        <w:t xml:space="preserve"> </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bCs/>
          <w:sz w:val="21"/>
          <w:szCs w:val="21"/>
        </w:rPr>
        <w:t>2</w:t>
      </w:r>
      <w:r w:rsidRPr="006B07F0">
        <w:rPr>
          <w:rFonts w:cs="Times New Roman" w:hint="eastAsia"/>
          <w:bCs/>
          <w:sz w:val="21"/>
          <w:szCs w:val="21"/>
        </w:rPr>
        <w:t>）客户能够控制企业履约过程中在建的商品。</w:t>
      </w:r>
      <w:r w:rsidRPr="006B07F0">
        <w:rPr>
          <w:rFonts w:cs="Times New Roman"/>
          <w:bCs/>
          <w:sz w:val="21"/>
          <w:szCs w:val="21"/>
        </w:rPr>
        <w:t xml:space="preserve"> </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bCs/>
          <w:sz w:val="21"/>
          <w:szCs w:val="21"/>
        </w:rPr>
        <w:t>3</w:t>
      </w:r>
      <w:r w:rsidRPr="006B07F0">
        <w:rPr>
          <w:rFonts w:cs="Times New Roman" w:hint="eastAsia"/>
          <w:bCs/>
          <w:sz w:val="21"/>
          <w:szCs w:val="21"/>
        </w:rPr>
        <w:t>）企业履约过程中所产出的商品具有不可替代用途，且该企业在整个合同期间内有权就累计至今已完成的履约部分收取款项。具有不可替代用途，是指因合同限制或实际可行性限制，企业不能轻易地将商品用于其他用途。有权就累计至今已完成的履约部分收取款项，是指在由于客户或其他方原因终止合同的情况下，企业有权就累计至今已完成的履约部分收取能够补偿其已发生成本和合理利润的款项，并且该权利具有法律约束力。</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经过对发行人建筑设计业务合同进行评估，发行人识别其履约义务满足上述条件</w:t>
      </w:r>
      <w:r w:rsidRPr="006B07F0">
        <w:rPr>
          <w:rFonts w:cs="Times New Roman"/>
          <w:bCs/>
          <w:sz w:val="21"/>
          <w:szCs w:val="21"/>
        </w:rPr>
        <w:t>3</w:t>
      </w:r>
      <w:r w:rsidRPr="006B07F0">
        <w:rPr>
          <w:rFonts w:cs="Times New Roman" w:hint="eastAsia"/>
          <w:bCs/>
          <w:sz w:val="21"/>
          <w:szCs w:val="21"/>
        </w:rPr>
        <w:t>），即满足其商品具有不可替代用途、及有权就累计至今已完成的履约部分收取款项的条件，具体识别和认定的依据如下：</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bCs/>
          <w:sz w:val="21"/>
          <w:szCs w:val="21"/>
        </w:rPr>
        <w:t>A</w:t>
      </w:r>
      <w:r w:rsidRPr="006B07F0">
        <w:rPr>
          <w:rFonts w:cs="Times New Roman" w:hint="eastAsia"/>
          <w:bCs/>
          <w:sz w:val="21"/>
          <w:szCs w:val="21"/>
        </w:rPr>
        <w:t>、企业履约过程中所产出的商品具有不可替代用途</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发行人为客户提供的建筑设计服务，是针对某一地产开发项目而提供的定制化服务，通常包括对建筑物和附属构筑物设施等进行综合性设计及技术经济分析，提供作为建设依据或参考的设计文件和图纸等。</w:t>
      </w:r>
      <w:r w:rsidRPr="006B07F0">
        <w:rPr>
          <w:rFonts w:cs="Times New Roman"/>
          <w:bCs/>
          <w:sz w:val="21"/>
          <w:szCs w:val="21"/>
        </w:rPr>
        <w:t xml:space="preserve"> </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建筑本身具有个性化的典型特性，每个项目的设计均需要根据特定地块的用地规划、实现建筑物和所处环境的融合、反映市场诉求，对技术性、经济性等多种因素进行综合评判和设计。</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lastRenderedPageBreak/>
        <w:t>因此，发行人建筑设计业务合同约定的设计任务、设计成果，为个性化非标准定制服务，难以轻易地将设计成果用于其他用途；即发行人履约过程所提供的建筑设计劳务具有不可替代用途。</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bCs/>
          <w:sz w:val="21"/>
          <w:szCs w:val="21"/>
        </w:rPr>
        <w:t>B</w:t>
      </w:r>
      <w:r w:rsidRPr="006B07F0">
        <w:rPr>
          <w:rFonts w:cs="Times New Roman" w:hint="eastAsia"/>
          <w:bCs/>
          <w:sz w:val="21"/>
          <w:szCs w:val="21"/>
        </w:rPr>
        <w:t>、企业有权就累计至今已完成的履约部分收取能够补偿其已发生成本和合理利润的款项，并且该权利具有法律约束力</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在发行人与客户签订的业务合同中，明确约定了各阶段环节应收取的款项，同时，针对客户终止合同，通常就发行人</w:t>
      </w:r>
      <w:r w:rsidRPr="006B07F0">
        <w:rPr>
          <w:rFonts w:cs="Times New Roman"/>
          <w:bCs/>
          <w:sz w:val="21"/>
          <w:szCs w:val="21"/>
        </w:rPr>
        <w:t>“</w:t>
      </w:r>
      <w:r w:rsidRPr="006B07F0">
        <w:rPr>
          <w:rFonts w:cs="Times New Roman" w:hint="eastAsia"/>
          <w:bCs/>
          <w:sz w:val="21"/>
          <w:szCs w:val="21"/>
        </w:rPr>
        <w:t>有权就累计至今已完成的履约部分收取款项</w:t>
      </w:r>
      <w:r w:rsidRPr="006B07F0">
        <w:rPr>
          <w:rFonts w:cs="Times New Roman"/>
          <w:bCs/>
          <w:sz w:val="21"/>
          <w:szCs w:val="21"/>
        </w:rPr>
        <w:t>”</w:t>
      </w:r>
      <w:r w:rsidRPr="006B07F0">
        <w:rPr>
          <w:rFonts w:cs="Times New Roman" w:hint="eastAsia"/>
          <w:bCs/>
          <w:sz w:val="21"/>
          <w:szCs w:val="21"/>
        </w:rPr>
        <w:t>进行了明确约定，具体包括：</w:t>
      </w:r>
      <w:r w:rsidRPr="006B07F0">
        <w:rPr>
          <w:rFonts w:cs="Times New Roman"/>
          <w:bCs/>
          <w:sz w:val="21"/>
          <w:szCs w:val="21"/>
        </w:rPr>
        <w:t>“</w:t>
      </w:r>
      <w:r w:rsidRPr="006B07F0">
        <w:rPr>
          <w:rFonts w:cs="Times New Roman" w:hint="eastAsia"/>
          <w:bCs/>
          <w:sz w:val="21"/>
          <w:szCs w:val="21"/>
        </w:rPr>
        <w:t>合同生效后</w:t>
      </w:r>
      <w:r w:rsidRPr="006B07F0">
        <w:rPr>
          <w:rFonts w:cs="Times New Roman"/>
          <w:bCs/>
          <w:sz w:val="21"/>
          <w:szCs w:val="21"/>
        </w:rPr>
        <w:t>,</w:t>
      </w:r>
      <w:r w:rsidRPr="006B07F0">
        <w:rPr>
          <w:rFonts w:cs="Times New Roman" w:hint="eastAsia"/>
          <w:bCs/>
          <w:sz w:val="21"/>
          <w:szCs w:val="21"/>
        </w:rPr>
        <w:t>因甲方原因而终止或解除合同</w:t>
      </w:r>
      <w:r w:rsidRPr="006B07F0">
        <w:rPr>
          <w:rFonts w:cs="Times New Roman"/>
          <w:bCs/>
          <w:sz w:val="21"/>
          <w:szCs w:val="21"/>
        </w:rPr>
        <w:t>,</w:t>
      </w:r>
      <w:r w:rsidRPr="006B07F0">
        <w:rPr>
          <w:rFonts w:cs="Times New Roman" w:hint="eastAsia"/>
          <w:bCs/>
          <w:sz w:val="21"/>
          <w:szCs w:val="21"/>
        </w:rPr>
        <w:t>乙方未开始设计工作的</w:t>
      </w:r>
      <w:r w:rsidRPr="006B07F0">
        <w:rPr>
          <w:rFonts w:cs="Times New Roman"/>
          <w:bCs/>
          <w:sz w:val="21"/>
          <w:szCs w:val="21"/>
        </w:rPr>
        <w:t>,</w:t>
      </w:r>
      <w:r w:rsidRPr="006B07F0">
        <w:rPr>
          <w:rFonts w:cs="Times New Roman" w:hint="eastAsia"/>
          <w:bCs/>
          <w:sz w:val="21"/>
          <w:szCs w:val="21"/>
        </w:rPr>
        <w:t>应退还甲方已付的定金</w:t>
      </w:r>
      <w:r w:rsidRPr="006B07F0">
        <w:rPr>
          <w:rFonts w:cs="Times New Roman"/>
          <w:bCs/>
          <w:sz w:val="21"/>
          <w:szCs w:val="21"/>
        </w:rPr>
        <w:t>;</w:t>
      </w:r>
      <w:r w:rsidRPr="006B07F0">
        <w:rPr>
          <w:rFonts w:cs="Times New Roman" w:hint="eastAsia"/>
          <w:bCs/>
          <w:sz w:val="21"/>
          <w:szCs w:val="21"/>
        </w:rPr>
        <w:t>已开始设计工作的，甲方应根据乙方已进行并经甲方确认的实际工作量支付设计费用</w:t>
      </w:r>
      <w:r w:rsidRPr="006B07F0">
        <w:rPr>
          <w:rFonts w:cs="Times New Roman"/>
          <w:bCs/>
          <w:sz w:val="21"/>
          <w:szCs w:val="21"/>
        </w:rPr>
        <w:t>”</w:t>
      </w:r>
      <w:r w:rsidRPr="006B07F0">
        <w:rPr>
          <w:rFonts w:cs="Times New Roman" w:hint="eastAsia"/>
          <w:bCs/>
          <w:sz w:val="21"/>
          <w:szCs w:val="21"/>
        </w:rPr>
        <w:t>、</w:t>
      </w:r>
      <w:r w:rsidRPr="006B07F0">
        <w:rPr>
          <w:rFonts w:cs="Times New Roman"/>
          <w:bCs/>
          <w:sz w:val="21"/>
          <w:szCs w:val="21"/>
        </w:rPr>
        <w:t>“</w:t>
      </w:r>
      <w:r w:rsidRPr="006B07F0">
        <w:rPr>
          <w:rFonts w:cs="Times New Roman" w:hint="eastAsia"/>
          <w:bCs/>
          <w:sz w:val="21"/>
          <w:szCs w:val="21"/>
        </w:rPr>
        <w:t>当实际工作量不足一半时，按该阶段设计费的一半支付</w:t>
      </w:r>
      <w:r w:rsidRPr="006B07F0">
        <w:rPr>
          <w:rFonts w:cs="Times New Roman"/>
          <w:bCs/>
          <w:sz w:val="21"/>
          <w:szCs w:val="21"/>
        </w:rPr>
        <w:t>;</w:t>
      </w:r>
      <w:r w:rsidRPr="006B07F0">
        <w:rPr>
          <w:rFonts w:cs="Times New Roman" w:hint="eastAsia"/>
          <w:bCs/>
          <w:sz w:val="21"/>
          <w:szCs w:val="21"/>
        </w:rPr>
        <w:t>超过一半时，按该阶段设计费的全部支付</w:t>
      </w:r>
      <w:r w:rsidRPr="006B07F0">
        <w:rPr>
          <w:rFonts w:cs="Times New Roman"/>
          <w:bCs/>
          <w:sz w:val="21"/>
          <w:szCs w:val="21"/>
        </w:rPr>
        <w:t>”</w:t>
      </w:r>
      <w:r w:rsidRPr="006B07F0">
        <w:rPr>
          <w:rFonts w:cs="Times New Roman" w:hint="eastAsia"/>
          <w:bCs/>
          <w:sz w:val="21"/>
          <w:szCs w:val="21"/>
        </w:rPr>
        <w:t>。</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因此，根据签署的业务合同条款约定等，发行人在整个合同期间内有权就累计已完成的履约部分收取款项，并且该权利具有法律约束力，且该等款项能够补偿发行人已经发生的成本和合理利润。</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综上，发行人建筑设计业务履约过程中所提供的劳务具有不可替代用途，且在整个合同期间内有权就累计至今已完成的履约部分收取款项，并且该权利具有法律约束力，所收取款项能够补偿已经发生的成本和合理利润，符合新收入准则下按照</w:t>
      </w:r>
      <w:r w:rsidRPr="006B07F0">
        <w:rPr>
          <w:rFonts w:cs="Times New Roman"/>
          <w:bCs/>
          <w:sz w:val="21"/>
          <w:szCs w:val="21"/>
        </w:rPr>
        <w:t>“</w:t>
      </w:r>
      <w:r w:rsidRPr="006B07F0">
        <w:rPr>
          <w:rFonts w:cs="Times New Roman" w:hint="eastAsia"/>
          <w:bCs/>
          <w:sz w:val="21"/>
          <w:szCs w:val="21"/>
        </w:rPr>
        <w:t>时段法</w:t>
      </w:r>
      <w:r w:rsidRPr="006B07F0">
        <w:rPr>
          <w:rFonts w:cs="Times New Roman"/>
          <w:bCs/>
          <w:sz w:val="21"/>
          <w:szCs w:val="21"/>
        </w:rPr>
        <w:t>”</w:t>
      </w:r>
      <w:r w:rsidRPr="006B07F0">
        <w:rPr>
          <w:rFonts w:cs="Times New Roman" w:hint="eastAsia"/>
          <w:bCs/>
          <w:sz w:val="21"/>
          <w:szCs w:val="21"/>
        </w:rPr>
        <w:t>确认收入的条件。</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w:t>
      </w:r>
      <w:r w:rsidRPr="006B07F0">
        <w:rPr>
          <w:rFonts w:cs="Times New Roman"/>
          <w:bCs/>
          <w:sz w:val="21"/>
          <w:szCs w:val="21"/>
        </w:rPr>
        <w:t>2</w:t>
      </w:r>
      <w:r w:rsidRPr="006B07F0">
        <w:rPr>
          <w:rFonts w:cs="Times New Roman" w:hint="eastAsia"/>
          <w:bCs/>
          <w:sz w:val="21"/>
          <w:szCs w:val="21"/>
        </w:rPr>
        <w:t>）发行人收入确认方法符合新收入准则的相关规定</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发行人主要从事建筑设计业务，具体收入确认方法为：当阶段性工作量完成、向客户交付对应阶段的设计文件并经客户认可后，确认相应收入。在新收入准则下，适用《企业会计准则第</w:t>
      </w:r>
      <w:r w:rsidRPr="006B07F0">
        <w:rPr>
          <w:rFonts w:cs="Times New Roman"/>
          <w:bCs/>
          <w:sz w:val="21"/>
          <w:szCs w:val="21"/>
        </w:rPr>
        <w:t>14</w:t>
      </w:r>
      <w:r w:rsidRPr="006B07F0">
        <w:rPr>
          <w:rFonts w:cs="Times New Roman" w:hint="eastAsia"/>
          <w:bCs/>
          <w:sz w:val="21"/>
          <w:szCs w:val="21"/>
        </w:rPr>
        <w:t>号</w:t>
      </w:r>
      <w:r w:rsidRPr="006B07F0">
        <w:rPr>
          <w:rFonts w:cs="Times New Roman"/>
          <w:bCs/>
          <w:sz w:val="21"/>
          <w:szCs w:val="21"/>
        </w:rPr>
        <w:t>—</w:t>
      </w:r>
      <w:r w:rsidRPr="006B07F0">
        <w:rPr>
          <w:rFonts w:cs="Times New Roman" w:hint="eastAsia"/>
          <w:bCs/>
          <w:sz w:val="21"/>
          <w:szCs w:val="21"/>
        </w:rPr>
        <w:t>收入》（财会【</w:t>
      </w:r>
      <w:r w:rsidRPr="006B07F0">
        <w:rPr>
          <w:rFonts w:cs="Times New Roman"/>
          <w:bCs/>
          <w:sz w:val="21"/>
          <w:szCs w:val="21"/>
        </w:rPr>
        <w:t>2017</w:t>
      </w:r>
      <w:r w:rsidRPr="006B07F0">
        <w:rPr>
          <w:rFonts w:cs="Times New Roman" w:hint="eastAsia"/>
          <w:bCs/>
          <w:sz w:val="21"/>
          <w:szCs w:val="21"/>
        </w:rPr>
        <w:t>】</w:t>
      </w:r>
      <w:r w:rsidRPr="006B07F0">
        <w:rPr>
          <w:rFonts w:cs="Times New Roman"/>
          <w:bCs/>
          <w:sz w:val="21"/>
          <w:szCs w:val="21"/>
        </w:rPr>
        <w:t>22</w:t>
      </w:r>
      <w:r w:rsidRPr="006B07F0">
        <w:rPr>
          <w:rFonts w:cs="Times New Roman" w:hint="eastAsia"/>
          <w:bCs/>
          <w:sz w:val="21"/>
          <w:szCs w:val="21"/>
        </w:rPr>
        <w:t>号），采用五步法确认收入：</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hint="eastAsia"/>
          <w:bCs/>
          <w:sz w:val="21"/>
          <w:szCs w:val="21"/>
        </w:rPr>
        <w:t>①</w:t>
      </w:r>
      <w:r w:rsidRPr="006B07F0">
        <w:rPr>
          <w:rFonts w:cs="Times New Roman"/>
          <w:bCs/>
          <w:sz w:val="21"/>
          <w:szCs w:val="21"/>
        </w:rPr>
        <w:t xml:space="preserve"> </w:t>
      </w:r>
      <w:r w:rsidRPr="006B07F0">
        <w:rPr>
          <w:rFonts w:cs="Times New Roman" w:hint="eastAsia"/>
          <w:bCs/>
          <w:sz w:val="21"/>
          <w:szCs w:val="21"/>
        </w:rPr>
        <w:t>第一步：识别合同。</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合同的五个必要条件：合同已被审批；双方承诺将履行各自的义务；已明确各方的权利和义务；有明确的支付条款；具有商业实质；很可能收回对价。</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lastRenderedPageBreak/>
        <w:t>发行人向客户提供建筑设计服务，会与客户签订独立的业务合同，该合同经双方审批并盖章生效、双方承诺将履行各自的义务。合同条款明确约定了双方的权利和义务、支付条款，合同具有商业实质，发行人因履行该合同、为客户提供建筑设计服务而有权取得的对价很可能收回。综上，发行人与客户签订的业务合同，满足合同的五个必要条件。</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hint="eastAsia"/>
          <w:bCs/>
          <w:sz w:val="21"/>
          <w:szCs w:val="21"/>
        </w:rPr>
        <w:t>②</w:t>
      </w:r>
      <w:r w:rsidRPr="006B07F0">
        <w:rPr>
          <w:rFonts w:cs="Times New Roman"/>
          <w:bCs/>
          <w:sz w:val="21"/>
          <w:szCs w:val="21"/>
        </w:rPr>
        <w:t xml:space="preserve"> </w:t>
      </w:r>
      <w:r w:rsidRPr="006B07F0">
        <w:rPr>
          <w:rFonts w:cs="Times New Roman" w:hint="eastAsia"/>
          <w:bCs/>
          <w:sz w:val="21"/>
          <w:szCs w:val="21"/>
        </w:rPr>
        <w:t>第二步：识别履约义务。</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根据业务合同的约定，发行人向客户提供针对某一地产开发项目的建筑设计服务，该建筑设计服务是合同的履约义务。如前所述，该履约义务属于在某一时段内履行的履约义务。</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hint="eastAsia"/>
          <w:bCs/>
          <w:sz w:val="21"/>
          <w:szCs w:val="21"/>
        </w:rPr>
        <w:t>③</w:t>
      </w:r>
      <w:r w:rsidRPr="006B07F0">
        <w:rPr>
          <w:rFonts w:cs="Times New Roman"/>
          <w:bCs/>
          <w:sz w:val="21"/>
          <w:szCs w:val="21"/>
        </w:rPr>
        <w:t xml:space="preserve"> </w:t>
      </w:r>
      <w:r w:rsidRPr="006B07F0">
        <w:rPr>
          <w:rFonts w:cs="Times New Roman" w:hint="eastAsia"/>
          <w:bCs/>
          <w:sz w:val="21"/>
          <w:szCs w:val="21"/>
        </w:rPr>
        <w:t>第三步：确定交易价格。</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发行人与客户签署的业务合同中明确约定了发行人提供的建筑设计服务的价格，以及业务执行各阶段环节所应收取的价款。</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hint="eastAsia"/>
          <w:bCs/>
          <w:sz w:val="21"/>
          <w:szCs w:val="21"/>
        </w:rPr>
        <w:t>④</w:t>
      </w:r>
      <w:r w:rsidRPr="006B07F0">
        <w:rPr>
          <w:rFonts w:cs="Times New Roman"/>
          <w:bCs/>
          <w:sz w:val="21"/>
          <w:szCs w:val="21"/>
        </w:rPr>
        <w:t xml:space="preserve"> </w:t>
      </w:r>
      <w:r w:rsidRPr="006B07F0">
        <w:rPr>
          <w:rFonts w:cs="Times New Roman" w:hint="eastAsia"/>
          <w:bCs/>
          <w:sz w:val="21"/>
          <w:szCs w:val="21"/>
        </w:rPr>
        <w:t>第四步：分摊交易价格。合同中包含两项或多项履约义务的，企业应当在合同开始日，按照各单项履约义务所承诺商品的单独售价的相对比例，将交易价格分摊至各单项履约义务。企业不得因合同开始日之后单独售价的变动而重新分摊交易价格。</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发行人向客户提供的建筑设计服务是一项完整的单项履约义务，故不涉及交易价格的分摊。</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hint="eastAsia"/>
          <w:bCs/>
          <w:sz w:val="21"/>
          <w:szCs w:val="21"/>
        </w:rPr>
        <w:t>⑤</w:t>
      </w:r>
      <w:r w:rsidRPr="006B07F0">
        <w:rPr>
          <w:rFonts w:cs="Times New Roman"/>
          <w:bCs/>
          <w:sz w:val="21"/>
          <w:szCs w:val="21"/>
        </w:rPr>
        <w:t xml:space="preserve"> </w:t>
      </w:r>
      <w:r w:rsidRPr="006B07F0">
        <w:rPr>
          <w:rFonts w:cs="Times New Roman" w:hint="eastAsia"/>
          <w:bCs/>
          <w:sz w:val="21"/>
          <w:szCs w:val="21"/>
        </w:rPr>
        <w:t>第五步：收入确认时点或期间。</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如前所述，发行人提供的建筑设计服务属于在某一时段内履行的履约义务。</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《企业会计准则</w:t>
      </w:r>
      <w:r w:rsidRPr="006B07F0">
        <w:rPr>
          <w:rFonts w:cs="Times New Roman"/>
          <w:bCs/>
          <w:sz w:val="21"/>
          <w:szCs w:val="21"/>
        </w:rPr>
        <w:t>—14</w:t>
      </w:r>
      <w:r w:rsidRPr="006B07F0">
        <w:rPr>
          <w:rFonts w:cs="Times New Roman" w:hint="eastAsia"/>
          <w:bCs/>
          <w:sz w:val="21"/>
          <w:szCs w:val="21"/>
        </w:rPr>
        <w:t>号收入》第十二条规定：对于在某一时段内履行的履约义务，企业应当在该段时间内按照履约进度确认收入，但是，履约进度不能合理确定的除外。企业应当考虑商品的性质，采用产出法或投入法确定恰当的履约进度。其中，产出法是根据已转移给客户的商品对于客户的价值确定履约进度。</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发行人与客户签订的业务合同中，明确约定了各阶段环节的收款金额、比例，该等阶段环节的收款金额、比例，真实反映了各阶段性成果对于客户的价值量以及相应的履约进度，可识别、可计量，并经双方认可。</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lastRenderedPageBreak/>
        <w:t>因此，当阶段性工作量完成、向客户交付对应阶段的设计文件并经客户认可后，以应收取的合同结算款项确认收入，即按照合同付款节点约定比例作为履约进度确认收入，符合相关规定。</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综上所述，发行人建筑设计业务按照完工百分比法即合同付款节点约定比例确认收入，符合新收入准则的相关规定。</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w:t>
      </w:r>
      <w:r w:rsidRPr="006B07F0">
        <w:rPr>
          <w:rFonts w:cs="Times New Roman"/>
          <w:bCs/>
          <w:sz w:val="21"/>
          <w:szCs w:val="21"/>
        </w:rPr>
        <w:t>3</w:t>
      </w:r>
      <w:r w:rsidRPr="006B07F0">
        <w:rPr>
          <w:rFonts w:cs="Times New Roman" w:hint="eastAsia"/>
          <w:bCs/>
          <w:sz w:val="21"/>
          <w:szCs w:val="21"/>
        </w:rPr>
        <w:t>）发行人按照</w:t>
      </w:r>
      <w:r w:rsidRPr="006B07F0">
        <w:rPr>
          <w:rFonts w:cs="Times New Roman"/>
          <w:bCs/>
          <w:sz w:val="21"/>
          <w:szCs w:val="21"/>
        </w:rPr>
        <w:t>“</w:t>
      </w:r>
      <w:r w:rsidRPr="006B07F0">
        <w:rPr>
          <w:rFonts w:cs="Times New Roman" w:hint="eastAsia"/>
          <w:bCs/>
          <w:sz w:val="21"/>
          <w:szCs w:val="21"/>
        </w:rPr>
        <w:t>时段法</w:t>
      </w:r>
      <w:r w:rsidRPr="006B07F0">
        <w:rPr>
          <w:rFonts w:cs="Times New Roman"/>
          <w:bCs/>
          <w:sz w:val="21"/>
          <w:szCs w:val="21"/>
        </w:rPr>
        <w:t>”</w:t>
      </w:r>
      <w:r w:rsidRPr="006B07F0">
        <w:rPr>
          <w:rFonts w:cs="Times New Roman" w:hint="eastAsia"/>
          <w:bCs/>
          <w:sz w:val="21"/>
          <w:szCs w:val="21"/>
        </w:rPr>
        <w:t>确认履约进度及收入，与同行业可比公司一致</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经查询公开披露资料，采用合同付款节点约定比例确认收入的同行业上市公司华图山鼎（原名：山鼎设计）、建科院以及同行业可比公司（在审企业）深圳奥雅设计股份有限公司、广州山水比德设计股份有限公司、上海尤安建筑设计股份有限公司、深圳市</w:t>
      </w:r>
      <w:proofErr w:type="gramStart"/>
      <w:r w:rsidRPr="006B07F0">
        <w:rPr>
          <w:rFonts w:cs="Times New Roman" w:hint="eastAsia"/>
          <w:bCs/>
          <w:sz w:val="21"/>
          <w:szCs w:val="21"/>
        </w:rPr>
        <w:t>蕾奥规划</w:t>
      </w:r>
      <w:proofErr w:type="gramEnd"/>
      <w:r w:rsidRPr="006B07F0">
        <w:rPr>
          <w:rFonts w:cs="Times New Roman" w:hint="eastAsia"/>
          <w:bCs/>
          <w:sz w:val="21"/>
          <w:szCs w:val="21"/>
        </w:rPr>
        <w:t>设计咨询股份有限公司等，均按照</w:t>
      </w:r>
      <w:r w:rsidRPr="006B07F0">
        <w:rPr>
          <w:rFonts w:cs="Times New Roman"/>
          <w:bCs/>
          <w:sz w:val="21"/>
          <w:szCs w:val="21"/>
        </w:rPr>
        <w:t>“</w:t>
      </w:r>
      <w:r w:rsidRPr="006B07F0">
        <w:rPr>
          <w:rFonts w:cs="Times New Roman" w:hint="eastAsia"/>
          <w:bCs/>
          <w:sz w:val="21"/>
          <w:szCs w:val="21"/>
        </w:rPr>
        <w:t>时段法</w:t>
      </w:r>
      <w:r w:rsidRPr="006B07F0">
        <w:rPr>
          <w:rFonts w:cs="Times New Roman"/>
          <w:bCs/>
          <w:sz w:val="21"/>
          <w:szCs w:val="21"/>
        </w:rPr>
        <w:t>”</w:t>
      </w:r>
      <w:r w:rsidRPr="006B07F0">
        <w:rPr>
          <w:rFonts w:cs="Times New Roman" w:hint="eastAsia"/>
          <w:bCs/>
          <w:sz w:val="21"/>
          <w:szCs w:val="21"/>
        </w:rPr>
        <w:t>确认履约进度及收入，与发行人一致。</w:t>
      </w:r>
    </w:p>
    <w:p w:rsidR="001E2F08" w:rsidRPr="006B07F0" w:rsidRDefault="001E2F08" w:rsidP="001E2F08">
      <w:pPr>
        <w:spacing w:beforeLines="50" w:before="163" w:afterLines="50" w:after="163" w:line="360" w:lineRule="auto"/>
        <w:ind w:firstLine="482"/>
        <w:outlineLvl w:val="1"/>
        <w:rPr>
          <w:rFonts w:cs="Times New Roman"/>
          <w:b/>
          <w:sz w:val="21"/>
          <w:szCs w:val="21"/>
        </w:rPr>
      </w:pPr>
      <w:r w:rsidRPr="006B07F0">
        <w:rPr>
          <w:rFonts w:cs="Times New Roman" w:hint="eastAsia"/>
          <w:b/>
          <w:sz w:val="21"/>
          <w:szCs w:val="21"/>
        </w:rPr>
        <w:t>【中介机构核查意见】</w:t>
      </w:r>
    </w:p>
    <w:p w:rsidR="001E2F08" w:rsidRPr="006B07F0" w:rsidRDefault="001E2F08" w:rsidP="001E2F08">
      <w:pPr>
        <w:spacing w:beforeLines="50" w:before="163" w:afterLines="50" w:after="163" w:line="360" w:lineRule="auto"/>
        <w:ind w:firstLine="482"/>
        <w:outlineLvl w:val="2"/>
        <w:rPr>
          <w:rFonts w:cs="Times New Roman"/>
          <w:b/>
          <w:color w:val="000000"/>
          <w:sz w:val="21"/>
          <w:szCs w:val="21"/>
          <w:lang w:bidi="en-US"/>
        </w:rPr>
      </w:pPr>
      <w:r w:rsidRPr="006B07F0">
        <w:rPr>
          <w:rFonts w:cs="Times New Roman" w:hint="eastAsia"/>
          <w:b/>
          <w:color w:val="000000"/>
          <w:sz w:val="21"/>
          <w:szCs w:val="21"/>
          <w:lang w:bidi="en-US"/>
        </w:rPr>
        <w:t>（一）核查过程</w:t>
      </w:r>
    </w:p>
    <w:p w:rsidR="001E2F08" w:rsidRPr="006B07F0" w:rsidRDefault="001E2F08" w:rsidP="001E2F08">
      <w:pPr>
        <w:spacing w:beforeLines="50" w:before="163" w:afterLines="50" w:after="163" w:line="360" w:lineRule="auto"/>
        <w:ind w:firstLineChars="200" w:firstLine="420"/>
        <w:rPr>
          <w:rFonts w:cs="Times New Roman"/>
          <w:bCs/>
          <w:sz w:val="21"/>
          <w:szCs w:val="21"/>
          <w:lang w:val="zh-TW" w:eastAsia="zh-TW"/>
        </w:rPr>
      </w:pPr>
      <w:r w:rsidRPr="006B07F0">
        <w:rPr>
          <w:rFonts w:cs="Times New Roman" w:hint="eastAsia"/>
          <w:bCs/>
          <w:sz w:val="21"/>
          <w:szCs w:val="21"/>
          <w:lang w:val="zh-TW" w:eastAsia="zh-TW"/>
        </w:rPr>
        <w:t>申报会计师</w:t>
      </w:r>
      <w:r w:rsidRPr="006B07F0">
        <w:rPr>
          <w:rFonts w:cs="Times New Roman" w:hint="eastAsia"/>
          <w:bCs/>
          <w:sz w:val="21"/>
          <w:szCs w:val="21"/>
          <w:lang w:val="zh-TW"/>
        </w:rPr>
        <w:t>执行了如下核查程序：</w:t>
      </w:r>
    </w:p>
    <w:p w:rsidR="001E2F08" w:rsidRPr="006B07F0" w:rsidRDefault="001E2F08" w:rsidP="001E2F08">
      <w:pPr>
        <w:spacing w:beforeLines="50" w:before="163" w:afterLines="50" w:after="163" w:line="360" w:lineRule="auto"/>
        <w:ind w:firstLineChars="200" w:firstLine="420"/>
        <w:rPr>
          <w:bCs/>
          <w:sz w:val="21"/>
          <w:szCs w:val="21"/>
        </w:rPr>
      </w:pPr>
      <w:r w:rsidRPr="006B07F0">
        <w:rPr>
          <w:rFonts w:hint="eastAsia"/>
          <w:bCs/>
          <w:sz w:val="21"/>
          <w:szCs w:val="21"/>
        </w:rPr>
        <w:t>查阅了新收入准则，结合新收入准则规定的按时段确认收入的三个条件，进一步分析论证发行人建筑设计业务按照完工百分比法即合同付款节点约定比例确认收入是否符合相关规定。</w:t>
      </w:r>
    </w:p>
    <w:p w:rsidR="001E2F08" w:rsidRPr="006B07F0" w:rsidRDefault="001E2F08" w:rsidP="001E2F08">
      <w:pPr>
        <w:spacing w:beforeLines="50" w:before="163" w:afterLines="50" w:after="163" w:line="360" w:lineRule="auto"/>
        <w:ind w:firstLine="482"/>
        <w:outlineLvl w:val="2"/>
        <w:rPr>
          <w:rFonts w:cs="Times New Roman"/>
          <w:b/>
          <w:color w:val="000000"/>
          <w:sz w:val="21"/>
          <w:szCs w:val="21"/>
          <w:lang w:bidi="en-US"/>
        </w:rPr>
      </w:pPr>
      <w:r w:rsidRPr="006B07F0">
        <w:rPr>
          <w:rFonts w:cs="Times New Roman" w:hint="eastAsia"/>
          <w:b/>
          <w:color w:val="000000"/>
          <w:sz w:val="21"/>
          <w:szCs w:val="21"/>
          <w:lang w:bidi="en-US"/>
        </w:rPr>
        <w:t>（二）核查意见</w:t>
      </w:r>
    </w:p>
    <w:p w:rsidR="001E2F08" w:rsidRPr="006B07F0" w:rsidRDefault="001E2F08" w:rsidP="001E2F08">
      <w:pPr>
        <w:spacing w:beforeLines="50" w:before="163" w:afterLines="50" w:after="163" w:line="360" w:lineRule="auto"/>
        <w:ind w:firstLineChars="200" w:firstLine="420"/>
        <w:rPr>
          <w:rFonts w:cs="Times New Roman"/>
          <w:bCs/>
          <w:kern w:val="2"/>
          <w:sz w:val="21"/>
          <w:szCs w:val="21"/>
        </w:rPr>
      </w:pPr>
      <w:r w:rsidRPr="006B07F0">
        <w:rPr>
          <w:rFonts w:cs="Times New Roman" w:hint="eastAsia"/>
          <w:bCs/>
          <w:sz w:val="21"/>
          <w:szCs w:val="21"/>
          <w:lang w:val="zh-TW"/>
        </w:rPr>
        <w:t>申报会计师</w:t>
      </w:r>
      <w:r w:rsidRPr="006B07F0">
        <w:rPr>
          <w:rFonts w:cs="Times New Roman" w:hint="eastAsia"/>
          <w:bCs/>
          <w:sz w:val="21"/>
          <w:szCs w:val="21"/>
        </w:rPr>
        <w:t>核查意见如下：</w:t>
      </w:r>
    </w:p>
    <w:p w:rsidR="001E2F08" w:rsidRPr="006B07F0" w:rsidRDefault="001E2F08" w:rsidP="001E2F08">
      <w:pPr>
        <w:spacing w:beforeLines="50" w:before="163" w:afterLines="50" w:after="163" w:line="360" w:lineRule="auto"/>
        <w:ind w:firstLineChars="200" w:firstLine="420"/>
        <w:rPr>
          <w:bCs/>
          <w:sz w:val="21"/>
          <w:szCs w:val="21"/>
        </w:rPr>
      </w:pPr>
      <w:r w:rsidRPr="006B07F0">
        <w:rPr>
          <w:rFonts w:hint="eastAsia"/>
          <w:bCs/>
          <w:sz w:val="21"/>
          <w:szCs w:val="21"/>
        </w:rPr>
        <w:t>发行人建筑设计业务按照完工百分比法即合同付款节点约定比例确认收入符合新收入准则的相关规定。</w:t>
      </w:r>
    </w:p>
    <w:p w:rsidR="001E2F08" w:rsidRPr="006B07F0" w:rsidRDefault="001E2F08" w:rsidP="001E2F08">
      <w:pPr>
        <w:spacing w:beforeLines="50" w:before="163" w:afterLines="50" w:after="163" w:line="360" w:lineRule="auto"/>
        <w:ind w:firstLineChars="200" w:firstLine="420"/>
        <w:rPr>
          <w:bCs/>
          <w:sz w:val="21"/>
          <w:szCs w:val="21"/>
        </w:rPr>
      </w:pPr>
    </w:p>
    <w:p w:rsidR="001E2F08" w:rsidRPr="006B07F0" w:rsidRDefault="001E2F08" w:rsidP="001E2F08">
      <w:pPr>
        <w:spacing w:beforeLines="50" w:before="163" w:afterLines="50" w:after="163" w:line="360" w:lineRule="auto"/>
        <w:ind w:firstLineChars="200" w:firstLine="422"/>
        <w:outlineLvl w:val="0"/>
        <w:rPr>
          <w:rFonts w:cs="Times New Roman"/>
          <w:b/>
          <w:kern w:val="2"/>
          <w:sz w:val="21"/>
          <w:szCs w:val="21"/>
        </w:rPr>
      </w:pPr>
      <w:bookmarkStart w:id="3" w:name="_Toc58669585"/>
      <w:r w:rsidRPr="006B07F0">
        <w:rPr>
          <w:rFonts w:cs="Times New Roman" w:hint="eastAsia"/>
          <w:b/>
          <w:sz w:val="21"/>
          <w:szCs w:val="21"/>
        </w:rPr>
        <w:t>问题</w:t>
      </w:r>
      <w:r w:rsidRPr="006B07F0">
        <w:rPr>
          <w:rFonts w:cs="Times New Roman"/>
          <w:b/>
          <w:sz w:val="21"/>
          <w:szCs w:val="21"/>
        </w:rPr>
        <w:t>3</w:t>
      </w:r>
      <w:bookmarkEnd w:id="3"/>
    </w:p>
    <w:p w:rsidR="001E2F08" w:rsidRPr="006B07F0" w:rsidRDefault="001E2F08" w:rsidP="001E2F08">
      <w:pPr>
        <w:pStyle w:val="ae"/>
        <w:spacing w:before="163" w:after="163"/>
        <w:ind w:firstLine="422"/>
        <w:rPr>
          <w:rFonts w:ascii="宋体" w:eastAsia="宋体" w:hAnsi="宋体"/>
          <w:bCs w:val="0"/>
          <w:sz w:val="21"/>
          <w:szCs w:val="21"/>
        </w:rPr>
      </w:pPr>
      <w:r w:rsidRPr="006B07F0">
        <w:rPr>
          <w:rFonts w:ascii="宋体" w:eastAsia="宋体" w:hAnsi="宋体"/>
          <w:bCs w:val="0"/>
          <w:sz w:val="21"/>
          <w:szCs w:val="21"/>
        </w:rPr>
        <w:t>3.</w:t>
      </w:r>
      <w:r w:rsidRPr="006B07F0">
        <w:rPr>
          <w:rFonts w:ascii="宋体" w:eastAsia="宋体" w:hAnsi="宋体" w:hint="eastAsia"/>
          <w:bCs w:val="0"/>
          <w:sz w:val="21"/>
          <w:szCs w:val="21"/>
        </w:rPr>
        <w:t xml:space="preserve"> 根据申报材料及审核问询回复，报告期内，发行人</w:t>
      </w:r>
      <w:proofErr w:type="gramStart"/>
      <w:r w:rsidRPr="006B07F0">
        <w:rPr>
          <w:rFonts w:ascii="宋体" w:eastAsia="宋体" w:hAnsi="宋体" w:hint="eastAsia"/>
          <w:bCs w:val="0"/>
          <w:sz w:val="21"/>
          <w:szCs w:val="21"/>
        </w:rPr>
        <w:t>对保利</w:t>
      </w:r>
      <w:proofErr w:type="gramEnd"/>
      <w:r w:rsidRPr="006B07F0">
        <w:rPr>
          <w:rFonts w:ascii="宋体" w:eastAsia="宋体" w:hAnsi="宋体" w:hint="eastAsia"/>
          <w:bCs w:val="0"/>
          <w:sz w:val="21"/>
          <w:szCs w:val="21"/>
        </w:rPr>
        <w:t>的收入占比分别为</w:t>
      </w:r>
      <w:r w:rsidRPr="006B07F0">
        <w:rPr>
          <w:rFonts w:ascii="宋体" w:eastAsia="宋体" w:hAnsi="宋体"/>
          <w:bCs w:val="0"/>
          <w:sz w:val="21"/>
          <w:szCs w:val="21"/>
        </w:rPr>
        <w:t>44.97%</w:t>
      </w:r>
      <w:r w:rsidRPr="006B07F0">
        <w:rPr>
          <w:rFonts w:ascii="宋体" w:eastAsia="宋体" w:hAnsi="宋体" w:hint="eastAsia"/>
          <w:bCs w:val="0"/>
          <w:sz w:val="21"/>
          <w:szCs w:val="21"/>
        </w:rPr>
        <w:t>、</w:t>
      </w:r>
      <w:r w:rsidRPr="006B07F0">
        <w:rPr>
          <w:rFonts w:ascii="宋体" w:eastAsia="宋体" w:hAnsi="宋体"/>
          <w:bCs w:val="0"/>
          <w:sz w:val="21"/>
          <w:szCs w:val="21"/>
        </w:rPr>
        <w:lastRenderedPageBreak/>
        <w:t>42.20%</w:t>
      </w:r>
      <w:r w:rsidRPr="006B07F0">
        <w:rPr>
          <w:rFonts w:ascii="宋体" w:eastAsia="宋体" w:hAnsi="宋体" w:hint="eastAsia"/>
          <w:bCs w:val="0"/>
          <w:sz w:val="21"/>
          <w:szCs w:val="21"/>
        </w:rPr>
        <w:t>、</w:t>
      </w:r>
      <w:r w:rsidRPr="006B07F0">
        <w:rPr>
          <w:rFonts w:ascii="宋体" w:eastAsia="宋体" w:hAnsi="宋体"/>
          <w:bCs w:val="0"/>
          <w:sz w:val="21"/>
          <w:szCs w:val="21"/>
        </w:rPr>
        <w:t>46.01%</w:t>
      </w:r>
      <w:r w:rsidRPr="006B07F0">
        <w:rPr>
          <w:rFonts w:ascii="宋体" w:eastAsia="宋体" w:hAnsi="宋体" w:hint="eastAsia"/>
          <w:bCs w:val="0"/>
          <w:sz w:val="21"/>
          <w:szCs w:val="21"/>
        </w:rPr>
        <w:t>和</w:t>
      </w:r>
      <w:r w:rsidRPr="006B07F0">
        <w:rPr>
          <w:rFonts w:ascii="宋体" w:eastAsia="宋体" w:hAnsi="宋体"/>
          <w:bCs w:val="0"/>
          <w:sz w:val="21"/>
          <w:szCs w:val="21"/>
        </w:rPr>
        <w:t>56.03%</w:t>
      </w:r>
      <w:r w:rsidRPr="006B07F0">
        <w:rPr>
          <w:rFonts w:ascii="宋体" w:eastAsia="宋体" w:hAnsi="宋体" w:hint="eastAsia"/>
          <w:bCs w:val="0"/>
          <w:sz w:val="21"/>
          <w:szCs w:val="21"/>
        </w:rPr>
        <w:t>，</w:t>
      </w:r>
      <w:proofErr w:type="gramStart"/>
      <w:r w:rsidRPr="006B07F0">
        <w:rPr>
          <w:rFonts w:ascii="宋体" w:eastAsia="宋体" w:hAnsi="宋体" w:hint="eastAsia"/>
          <w:bCs w:val="0"/>
          <w:sz w:val="21"/>
          <w:szCs w:val="21"/>
        </w:rPr>
        <w:t>占比较</w:t>
      </w:r>
      <w:proofErr w:type="gramEnd"/>
      <w:r w:rsidRPr="006B07F0">
        <w:rPr>
          <w:rFonts w:ascii="宋体" w:eastAsia="宋体" w:hAnsi="宋体" w:hint="eastAsia"/>
          <w:bCs w:val="0"/>
          <w:sz w:val="21"/>
          <w:szCs w:val="21"/>
        </w:rPr>
        <w:t>高；除保利外，发行人前五大客户变动较大。请发行人：（</w:t>
      </w:r>
      <w:r w:rsidRPr="006B07F0">
        <w:rPr>
          <w:rFonts w:ascii="宋体" w:eastAsia="宋体" w:hAnsi="宋体"/>
          <w:bCs w:val="0"/>
          <w:sz w:val="21"/>
          <w:szCs w:val="21"/>
        </w:rPr>
        <w:t>1</w:t>
      </w:r>
      <w:r w:rsidRPr="006B07F0">
        <w:rPr>
          <w:rFonts w:ascii="宋体" w:eastAsia="宋体" w:hAnsi="宋体" w:hint="eastAsia"/>
          <w:bCs w:val="0"/>
          <w:sz w:val="21"/>
          <w:szCs w:val="21"/>
        </w:rPr>
        <w:t>）补充披露报告期内与保利合作项目涉及的区域分布情况，包括但不限于主要城市、城市的一二三四线划分结果、金额等，截至</w:t>
      </w:r>
      <w:r w:rsidRPr="006B07F0">
        <w:rPr>
          <w:rFonts w:ascii="宋体" w:eastAsia="宋体" w:hAnsi="宋体"/>
          <w:bCs w:val="0"/>
          <w:sz w:val="21"/>
          <w:szCs w:val="21"/>
        </w:rPr>
        <w:t>2020</w:t>
      </w:r>
      <w:r w:rsidRPr="006B07F0">
        <w:rPr>
          <w:rFonts w:ascii="宋体" w:eastAsia="宋体" w:hAnsi="宋体" w:hint="eastAsia"/>
          <w:bCs w:val="0"/>
          <w:sz w:val="21"/>
          <w:szCs w:val="21"/>
        </w:rPr>
        <w:t>年</w:t>
      </w:r>
      <w:r w:rsidRPr="006B07F0">
        <w:rPr>
          <w:rFonts w:ascii="宋体" w:eastAsia="宋体" w:hAnsi="宋体"/>
          <w:bCs w:val="0"/>
          <w:sz w:val="21"/>
          <w:szCs w:val="21"/>
        </w:rPr>
        <w:t>6</w:t>
      </w:r>
      <w:r w:rsidRPr="006B07F0">
        <w:rPr>
          <w:rFonts w:ascii="宋体" w:eastAsia="宋体" w:hAnsi="宋体" w:hint="eastAsia"/>
          <w:bCs w:val="0"/>
          <w:sz w:val="21"/>
          <w:szCs w:val="21"/>
        </w:rPr>
        <w:t>月末在手合同金额涉及的主要区域及城市；（</w:t>
      </w:r>
      <w:r w:rsidRPr="006B07F0">
        <w:rPr>
          <w:rFonts w:ascii="宋体" w:eastAsia="宋体" w:hAnsi="宋体"/>
          <w:bCs w:val="0"/>
          <w:sz w:val="21"/>
          <w:szCs w:val="21"/>
        </w:rPr>
        <w:t>2</w:t>
      </w:r>
      <w:r w:rsidRPr="006B07F0">
        <w:rPr>
          <w:rFonts w:ascii="宋体" w:eastAsia="宋体" w:hAnsi="宋体" w:hint="eastAsia"/>
          <w:bCs w:val="0"/>
          <w:sz w:val="21"/>
          <w:szCs w:val="21"/>
        </w:rPr>
        <w:t>）结合在手订单、业务拓展计划等因素，补充披露未来</w:t>
      </w:r>
      <w:proofErr w:type="gramStart"/>
      <w:r w:rsidRPr="006B07F0">
        <w:rPr>
          <w:rFonts w:ascii="宋体" w:eastAsia="宋体" w:hAnsi="宋体" w:hint="eastAsia"/>
          <w:bCs w:val="0"/>
          <w:sz w:val="21"/>
          <w:szCs w:val="21"/>
        </w:rPr>
        <w:t>对保利</w:t>
      </w:r>
      <w:proofErr w:type="gramEnd"/>
      <w:r w:rsidRPr="006B07F0">
        <w:rPr>
          <w:rFonts w:ascii="宋体" w:eastAsia="宋体" w:hAnsi="宋体" w:hint="eastAsia"/>
          <w:bCs w:val="0"/>
          <w:sz w:val="21"/>
          <w:szCs w:val="21"/>
        </w:rPr>
        <w:t>和其他客户的收入预计实现及占比情况，客观、充分披露发行人客户集中度较高特别是第一大客户占比高的风险，并做重大风险提示；（</w:t>
      </w:r>
      <w:r w:rsidRPr="006B07F0">
        <w:rPr>
          <w:rFonts w:ascii="宋体" w:eastAsia="宋体" w:hAnsi="宋体"/>
          <w:bCs w:val="0"/>
          <w:sz w:val="21"/>
          <w:szCs w:val="21"/>
        </w:rPr>
        <w:t>3</w:t>
      </w:r>
      <w:r w:rsidRPr="006B07F0">
        <w:rPr>
          <w:rFonts w:ascii="宋体" w:eastAsia="宋体" w:hAnsi="宋体" w:hint="eastAsia"/>
          <w:bCs w:val="0"/>
          <w:sz w:val="21"/>
          <w:szCs w:val="21"/>
        </w:rPr>
        <w:t>）结合主要客户变动较大、客户经营情况及面临的地域限制等因素，补充披露发行人业务发展的可持续性，房地产调控政策对发行人经营业绩的影响，并做重大风险提示。</w:t>
      </w:r>
    </w:p>
    <w:p w:rsidR="001E2F08" w:rsidRPr="006B07F0" w:rsidRDefault="001E2F08" w:rsidP="001E2F08">
      <w:pPr>
        <w:pStyle w:val="ae"/>
        <w:spacing w:before="163" w:after="163"/>
        <w:ind w:firstLine="422"/>
        <w:rPr>
          <w:rFonts w:ascii="宋体" w:eastAsia="宋体" w:hAnsi="宋体"/>
          <w:bCs w:val="0"/>
          <w:sz w:val="21"/>
          <w:szCs w:val="21"/>
        </w:rPr>
      </w:pPr>
      <w:r w:rsidRPr="006B07F0">
        <w:rPr>
          <w:rFonts w:ascii="宋体" w:eastAsia="宋体" w:hAnsi="宋体" w:hint="eastAsia"/>
          <w:bCs w:val="0"/>
          <w:sz w:val="21"/>
          <w:szCs w:val="21"/>
        </w:rPr>
        <w:t>请保荐人、申报会计师发表明确意见。</w:t>
      </w:r>
    </w:p>
    <w:p w:rsidR="001E2F08" w:rsidRPr="006B07F0" w:rsidRDefault="001E2F08" w:rsidP="001E2F08">
      <w:pPr>
        <w:spacing w:beforeLines="50" w:before="163" w:afterLines="50" w:after="163" w:line="360" w:lineRule="auto"/>
        <w:ind w:firstLineChars="200" w:firstLine="422"/>
        <w:rPr>
          <w:b/>
          <w:sz w:val="21"/>
          <w:szCs w:val="21"/>
          <w:u w:val="double"/>
        </w:rPr>
      </w:pPr>
      <w:r w:rsidRPr="006B07F0">
        <w:rPr>
          <w:rFonts w:hint="eastAsia"/>
          <w:b/>
          <w:sz w:val="21"/>
          <w:szCs w:val="21"/>
          <w:u w:val="double"/>
        </w:rPr>
        <w:t>答复：</w:t>
      </w:r>
    </w:p>
    <w:p w:rsidR="001E2F08" w:rsidRPr="006B07F0" w:rsidRDefault="001E2F08" w:rsidP="001E2F08">
      <w:pPr>
        <w:pStyle w:val="ad"/>
        <w:spacing w:before="163" w:after="163"/>
        <w:ind w:firstLine="422"/>
        <w:rPr>
          <w:rFonts w:ascii="宋体" w:eastAsia="宋体" w:hAnsi="宋体"/>
          <w:bCs w:val="0"/>
          <w:sz w:val="21"/>
          <w:szCs w:val="21"/>
        </w:rPr>
      </w:pPr>
      <w:r w:rsidRPr="006B07F0">
        <w:rPr>
          <w:rFonts w:ascii="宋体" w:eastAsia="宋体" w:hAnsi="宋体" w:hint="eastAsia"/>
          <w:bCs w:val="0"/>
          <w:sz w:val="21"/>
          <w:szCs w:val="21"/>
        </w:rPr>
        <w:t>（一）补充披露报告期内与保利合作项目涉及的区域分布情况，包括但不限于主要城市、城市的一二三四线划分结果、金额等，截至2020年6月末在手合同金额涉及的主要区域及城市</w:t>
      </w:r>
    </w:p>
    <w:p w:rsidR="001E2F08" w:rsidRPr="006B07F0" w:rsidRDefault="001E2F08" w:rsidP="001E2F08">
      <w:pPr>
        <w:spacing w:beforeLines="50" w:before="163" w:afterLines="50" w:after="163"/>
        <w:ind w:firstLineChars="200" w:firstLine="420"/>
        <w:rPr>
          <w:rFonts w:cs="Times New Roman"/>
          <w:bCs/>
          <w:sz w:val="21"/>
          <w:szCs w:val="21"/>
        </w:rPr>
      </w:pPr>
      <w:r w:rsidRPr="006B07F0">
        <w:rPr>
          <w:rFonts w:cs="Times New Roman" w:hint="eastAsia"/>
          <w:bCs/>
          <w:sz w:val="21"/>
          <w:szCs w:val="21"/>
        </w:rPr>
        <w:t>报告期内，公司与保利合作项目涉及的区域分布情况如下表所示：</w:t>
      </w:r>
    </w:p>
    <w:p w:rsidR="001E2F08" w:rsidRPr="006B07F0" w:rsidRDefault="001E2F08" w:rsidP="001E2F08">
      <w:pPr>
        <w:jc w:val="right"/>
        <w:rPr>
          <w:rFonts w:cs="Times New Roman"/>
          <w:bCs/>
          <w:sz w:val="21"/>
          <w:szCs w:val="21"/>
        </w:rPr>
      </w:pPr>
      <w:r w:rsidRPr="006B07F0">
        <w:rPr>
          <w:rFonts w:cs="Times New Roman" w:hint="eastAsia"/>
          <w:bCs/>
          <w:sz w:val="21"/>
          <w:szCs w:val="21"/>
        </w:rPr>
        <w:t>单位：万元</w:t>
      </w:r>
    </w:p>
    <w:tbl>
      <w:tblPr>
        <w:tblW w:w="5000" w:type="pct"/>
        <w:jc w:val="center"/>
        <w:tblBorders>
          <w:top w:val="single" w:sz="12" w:space="0" w:color="333399"/>
          <w:left w:val="single" w:sz="6" w:space="0" w:color="333399"/>
          <w:bottom w:val="single" w:sz="12" w:space="0" w:color="333399"/>
          <w:right w:val="single" w:sz="6" w:space="0" w:color="333399"/>
          <w:insideH w:val="single" w:sz="6" w:space="0" w:color="333399"/>
          <w:insideV w:val="single" w:sz="6" w:space="0" w:color="333399"/>
        </w:tblBorders>
        <w:tblLook w:val="04A0" w:firstRow="1" w:lastRow="0" w:firstColumn="1" w:lastColumn="0" w:noHBand="0" w:noVBand="1"/>
      </w:tblPr>
      <w:tblGrid>
        <w:gridCol w:w="1637"/>
        <w:gridCol w:w="1342"/>
        <w:gridCol w:w="1133"/>
        <w:gridCol w:w="1128"/>
        <w:gridCol w:w="1128"/>
        <w:gridCol w:w="1128"/>
        <w:gridCol w:w="1126"/>
      </w:tblGrid>
      <w:tr w:rsidR="001E2F08" w:rsidRPr="006B07F0" w:rsidTr="001E2F08">
        <w:trPr>
          <w:trHeight w:val="397"/>
          <w:jc w:val="center"/>
        </w:trPr>
        <w:tc>
          <w:tcPr>
            <w:tcW w:w="949" w:type="pct"/>
            <w:vMerge w:val="restart"/>
            <w:tcBorders>
              <w:top w:val="single" w:sz="12" w:space="0" w:color="auto"/>
              <w:left w:val="nil"/>
              <w:bottom w:val="dotted" w:sz="4" w:space="0" w:color="auto"/>
              <w:right w:val="dotted" w:sz="4" w:space="0" w:color="auto"/>
            </w:tcBorders>
            <w:vAlign w:val="center"/>
            <w:hideMark/>
          </w:tcPr>
          <w:p w:rsidR="001E2F08" w:rsidRPr="006B07F0" w:rsidRDefault="001E2F08">
            <w:pPr>
              <w:spacing w:beforeLines="50" w:before="163" w:afterLines="50" w:after="163" w:line="360" w:lineRule="auto"/>
              <w:jc w:val="center"/>
              <w:rPr>
                <w:rFonts w:cs="Times New Roman"/>
                <w:bCs/>
                <w:iCs/>
                <w:sz w:val="18"/>
                <w:szCs w:val="18"/>
              </w:rPr>
            </w:pPr>
            <w:r w:rsidRPr="006B07F0">
              <w:rPr>
                <w:rFonts w:cs="Times New Roman" w:hint="eastAsia"/>
                <w:bCs/>
                <w:sz w:val="18"/>
                <w:szCs w:val="18"/>
              </w:rPr>
              <w:t>区域</w:t>
            </w:r>
          </w:p>
        </w:tc>
        <w:tc>
          <w:tcPr>
            <w:tcW w:w="1435" w:type="pct"/>
            <w:gridSpan w:val="2"/>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lang w:bidi="en-US"/>
              </w:rPr>
            </w:pPr>
            <w:r w:rsidRPr="006B07F0">
              <w:rPr>
                <w:rFonts w:cs="Times New Roman" w:hint="eastAsia"/>
                <w:bCs/>
                <w:color w:val="000000"/>
                <w:sz w:val="18"/>
                <w:szCs w:val="18"/>
                <w:lang w:bidi="en-US"/>
              </w:rPr>
              <w:t>2020年度</w:t>
            </w:r>
          </w:p>
        </w:tc>
        <w:tc>
          <w:tcPr>
            <w:tcW w:w="1308" w:type="pct"/>
            <w:gridSpan w:val="2"/>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kern w:val="2"/>
                <w:sz w:val="18"/>
                <w:szCs w:val="18"/>
              </w:rPr>
            </w:pPr>
            <w:r w:rsidRPr="006B07F0">
              <w:rPr>
                <w:rFonts w:cs="Times New Roman"/>
                <w:bCs/>
                <w:iCs/>
                <w:sz w:val="18"/>
                <w:szCs w:val="18"/>
              </w:rPr>
              <w:t>2019</w:t>
            </w:r>
            <w:r w:rsidRPr="006B07F0">
              <w:rPr>
                <w:rFonts w:cs="Times New Roman" w:hint="eastAsia"/>
                <w:bCs/>
                <w:iCs/>
                <w:sz w:val="18"/>
                <w:szCs w:val="18"/>
              </w:rPr>
              <w:t>年度</w:t>
            </w:r>
          </w:p>
        </w:tc>
        <w:tc>
          <w:tcPr>
            <w:tcW w:w="1307" w:type="pct"/>
            <w:gridSpan w:val="2"/>
            <w:tcBorders>
              <w:top w:val="single" w:sz="12" w:space="0" w:color="auto"/>
              <w:left w:val="dotted" w:sz="4" w:space="0" w:color="auto"/>
              <w:bottom w:val="dotted" w:sz="4" w:space="0" w:color="auto"/>
              <w:right w:val="nil"/>
            </w:tcBorders>
            <w:vAlign w:val="center"/>
            <w:hideMark/>
          </w:tcPr>
          <w:p w:rsidR="001E2F08" w:rsidRPr="006B07F0" w:rsidRDefault="001E2F08">
            <w:pPr>
              <w:jc w:val="center"/>
              <w:rPr>
                <w:rFonts w:cs="Times New Roman"/>
                <w:bCs/>
                <w:iCs/>
                <w:sz w:val="18"/>
                <w:szCs w:val="18"/>
              </w:rPr>
            </w:pPr>
            <w:r w:rsidRPr="006B07F0">
              <w:rPr>
                <w:rFonts w:cs="Times New Roman"/>
                <w:bCs/>
                <w:iCs/>
                <w:sz w:val="18"/>
                <w:szCs w:val="18"/>
              </w:rPr>
              <w:t>2018</w:t>
            </w:r>
            <w:r w:rsidRPr="006B07F0">
              <w:rPr>
                <w:rFonts w:cs="Times New Roman" w:hint="eastAsia"/>
                <w:bCs/>
                <w:iCs/>
                <w:sz w:val="18"/>
                <w:szCs w:val="18"/>
              </w:rPr>
              <w:t>年度</w:t>
            </w:r>
          </w:p>
        </w:tc>
      </w:tr>
      <w:tr w:rsidR="001E2F08" w:rsidRPr="006B07F0" w:rsidTr="001E2F08">
        <w:trPr>
          <w:trHeight w:val="397"/>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iCs/>
                <w:kern w:val="2"/>
                <w:sz w:val="18"/>
                <w:szCs w:val="18"/>
              </w:rPr>
            </w:pPr>
          </w:p>
        </w:tc>
        <w:tc>
          <w:tcPr>
            <w:tcW w:w="778"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lang w:bidi="en-US"/>
              </w:rPr>
            </w:pPr>
            <w:r w:rsidRPr="006B07F0">
              <w:rPr>
                <w:rFonts w:cs="Times New Roman" w:hint="eastAsia"/>
                <w:bCs/>
                <w:color w:val="000000"/>
                <w:sz w:val="18"/>
                <w:szCs w:val="18"/>
                <w:lang w:bidi="en-US"/>
              </w:rPr>
              <w:t>金额</w:t>
            </w:r>
          </w:p>
        </w:tc>
        <w:tc>
          <w:tcPr>
            <w:tcW w:w="65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lang w:bidi="en-US"/>
              </w:rPr>
            </w:pPr>
            <w:r w:rsidRPr="006B07F0">
              <w:rPr>
                <w:rFonts w:cs="Times New Roman" w:hint="eastAsia"/>
                <w:bCs/>
                <w:color w:val="000000"/>
                <w:sz w:val="18"/>
                <w:szCs w:val="18"/>
                <w:lang w:bidi="en-US"/>
              </w:rPr>
              <w:t>占比</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kern w:val="2"/>
                <w:sz w:val="18"/>
                <w:szCs w:val="18"/>
              </w:rPr>
            </w:pPr>
            <w:r w:rsidRPr="006B07F0">
              <w:rPr>
                <w:rFonts w:cs="Times New Roman" w:hint="eastAsia"/>
                <w:bCs/>
                <w:iCs/>
                <w:sz w:val="18"/>
                <w:szCs w:val="18"/>
              </w:rPr>
              <w:t>金额</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占比</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金额</w:t>
            </w:r>
          </w:p>
        </w:tc>
        <w:tc>
          <w:tcPr>
            <w:tcW w:w="653" w:type="pct"/>
            <w:tcBorders>
              <w:top w:val="dotted" w:sz="4" w:space="0" w:color="auto"/>
              <w:left w:val="dotted" w:sz="4" w:space="0" w:color="auto"/>
              <w:bottom w:val="dotted" w:sz="4" w:space="0" w:color="auto"/>
              <w:right w:val="nil"/>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占比</w:t>
            </w:r>
          </w:p>
        </w:tc>
      </w:tr>
      <w:tr w:rsidR="001E2F08" w:rsidRPr="006B07F0" w:rsidTr="001E2F08">
        <w:trPr>
          <w:trHeight w:val="397"/>
          <w:jc w:val="center"/>
        </w:trPr>
        <w:tc>
          <w:tcPr>
            <w:tcW w:w="949"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华东</w:t>
            </w:r>
          </w:p>
        </w:tc>
        <w:tc>
          <w:tcPr>
            <w:tcW w:w="778"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5,928.27</w:t>
            </w:r>
          </w:p>
        </w:tc>
        <w:tc>
          <w:tcPr>
            <w:tcW w:w="65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35.87%</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kern w:val="2"/>
                <w:sz w:val="18"/>
                <w:szCs w:val="18"/>
              </w:rPr>
            </w:pPr>
            <w:r w:rsidRPr="006B07F0">
              <w:rPr>
                <w:rFonts w:cs="Times New Roman"/>
                <w:bCs/>
                <w:sz w:val="18"/>
                <w:szCs w:val="18"/>
              </w:rPr>
              <w:t>2,962.71</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sz w:val="18"/>
                <w:szCs w:val="18"/>
              </w:rPr>
            </w:pPr>
            <w:r w:rsidRPr="006B07F0">
              <w:rPr>
                <w:rFonts w:cs="Times New Roman"/>
                <w:bCs/>
                <w:sz w:val="18"/>
                <w:szCs w:val="18"/>
              </w:rPr>
              <w:t>24.15%</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sz w:val="18"/>
                <w:szCs w:val="18"/>
              </w:rPr>
            </w:pPr>
            <w:r w:rsidRPr="006B07F0">
              <w:rPr>
                <w:rFonts w:cs="Times New Roman"/>
                <w:bCs/>
                <w:sz w:val="18"/>
                <w:szCs w:val="18"/>
              </w:rPr>
              <w:t>2,926.47</w:t>
            </w:r>
          </w:p>
        </w:tc>
        <w:tc>
          <w:tcPr>
            <w:tcW w:w="653"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sz w:val="18"/>
                <w:szCs w:val="18"/>
              </w:rPr>
            </w:pPr>
            <w:r w:rsidRPr="006B07F0">
              <w:rPr>
                <w:rFonts w:cs="Times New Roman"/>
                <w:bCs/>
                <w:sz w:val="18"/>
                <w:szCs w:val="18"/>
              </w:rPr>
              <w:t>28.72%</w:t>
            </w:r>
          </w:p>
        </w:tc>
      </w:tr>
      <w:tr w:rsidR="001E2F08" w:rsidRPr="006B07F0" w:rsidTr="001E2F08">
        <w:trPr>
          <w:trHeight w:val="397"/>
          <w:jc w:val="center"/>
        </w:trPr>
        <w:tc>
          <w:tcPr>
            <w:tcW w:w="949"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华南</w:t>
            </w:r>
          </w:p>
        </w:tc>
        <w:tc>
          <w:tcPr>
            <w:tcW w:w="778"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2,895.41</w:t>
            </w:r>
          </w:p>
        </w:tc>
        <w:tc>
          <w:tcPr>
            <w:tcW w:w="65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17.52%</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kern w:val="2"/>
                <w:sz w:val="18"/>
                <w:szCs w:val="18"/>
              </w:rPr>
            </w:pPr>
            <w:r w:rsidRPr="006B07F0">
              <w:rPr>
                <w:rFonts w:cs="Times New Roman"/>
                <w:bCs/>
                <w:sz w:val="18"/>
                <w:szCs w:val="18"/>
              </w:rPr>
              <w:t>3,644.69</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sz w:val="18"/>
                <w:szCs w:val="18"/>
              </w:rPr>
            </w:pPr>
            <w:r w:rsidRPr="006B07F0">
              <w:rPr>
                <w:rFonts w:cs="Times New Roman"/>
                <w:bCs/>
                <w:sz w:val="18"/>
                <w:szCs w:val="18"/>
              </w:rPr>
              <w:t>29.71%</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sz w:val="18"/>
                <w:szCs w:val="18"/>
              </w:rPr>
            </w:pPr>
            <w:r w:rsidRPr="006B07F0">
              <w:rPr>
                <w:rFonts w:cs="Times New Roman"/>
                <w:bCs/>
                <w:sz w:val="18"/>
                <w:szCs w:val="18"/>
              </w:rPr>
              <w:t>4,392.39</w:t>
            </w:r>
          </w:p>
        </w:tc>
        <w:tc>
          <w:tcPr>
            <w:tcW w:w="653"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sz w:val="18"/>
                <w:szCs w:val="18"/>
              </w:rPr>
            </w:pPr>
            <w:r w:rsidRPr="006B07F0">
              <w:rPr>
                <w:rFonts w:cs="Times New Roman"/>
                <w:bCs/>
                <w:sz w:val="18"/>
                <w:szCs w:val="18"/>
              </w:rPr>
              <w:t>43.11%</w:t>
            </w:r>
          </w:p>
        </w:tc>
      </w:tr>
      <w:tr w:rsidR="001E2F08" w:rsidRPr="006B07F0" w:rsidTr="001E2F08">
        <w:trPr>
          <w:trHeight w:val="397"/>
          <w:jc w:val="center"/>
        </w:trPr>
        <w:tc>
          <w:tcPr>
            <w:tcW w:w="949"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东北</w:t>
            </w:r>
          </w:p>
        </w:tc>
        <w:tc>
          <w:tcPr>
            <w:tcW w:w="778"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2,342.90</w:t>
            </w:r>
          </w:p>
        </w:tc>
        <w:tc>
          <w:tcPr>
            <w:tcW w:w="65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14.17%</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kern w:val="2"/>
                <w:sz w:val="18"/>
                <w:szCs w:val="18"/>
              </w:rPr>
            </w:pPr>
            <w:r w:rsidRPr="006B07F0">
              <w:rPr>
                <w:rFonts w:cs="Times New Roman"/>
                <w:bCs/>
                <w:sz w:val="18"/>
                <w:szCs w:val="18"/>
              </w:rPr>
              <w:t>1,890.18</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15.41%</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872.01</w:t>
            </w:r>
          </w:p>
        </w:tc>
        <w:tc>
          <w:tcPr>
            <w:tcW w:w="653"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8.56%</w:t>
            </w:r>
          </w:p>
        </w:tc>
      </w:tr>
      <w:tr w:rsidR="001E2F08" w:rsidRPr="006B07F0" w:rsidTr="001E2F08">
        <w:trPr>
          <w:trHeight w:val="397"/>
          <w:jc w:val="center"/>
        </w:trPr>
        <w:tc>
          <w:tcPr>
            <w:tcW w:w="949"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华北</w:t>
            </w:r>
          </w:p>
        </w:tc>
        <w:tc>
          <w:tcPr>
            <w:tcW w:w="778"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1,926.42</w:t>
            </w:r>
          </w:p>
        </w:tc>
        <w:tc>
          <w:tcPr>
            <w:tcW w:w="65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11.65%</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kern w:val="2"/>
                <w:sz w:val="18"/>
                <w:szCs w:val="18"/>
              </w:rPr>
            </w:pPr>
            <w:r w:rsidRPr="006B07F0">
              <w:rPr>
                <w:rFonts w:cs="Times New Roman"/>
                <w:bCs/>
                <w:sz w:val="18"/>
                <w:szCs w:val="18"/>
              </w:rPr>
              <w:t>1,657.61</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13.51%</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920.71</w:t>
            </w:r>
          </w:p>
        </w:tc>
        <w:tc>
          <w:tcPr>
            <w:tcW w:w="653"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9.04%</w:t>
            </w:r>
          </w:p>
        </w:tc>
      </w:tr>
      <w:tr w:rsidR="001E2F08" w:rsidRPr="006B07F0" w:rsidTr="001E2F08">
        <w:trPr>
          <w:trHeight w:val="397"/>
          <w:jc w:val="center"/>
        </w:trPr>
        <w:tc>
          <w:tcPr>
            <w:tcW w:w="949"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华中</w:t>
            </w:r>
          </w:p>
        </w:tc>
        <w:tc>
          <w:tcPr>
            <w:tcW w:w="778"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2,478.26</w:t>
            </w:r>
          </w:p>
        </w:tc>
        <w:tc>
          <w:tcPr>
            <w:tcW w:w="65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14.99%</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kern w:val="2"/>
                <w:sz w:val="18"/>
                <w:szCs w:val="18"/>
              </w:rPr>
            </w:pPr>
            <w:r w:rsidRPr="006B07F0">
              <w:rPr>
                <w:rFonts w:cs="Times New Roman"/>
                <w:bCs/>
                <w:sz w:val="18"/>
                <w:szCs w:val="18"/>
              </w:rPr>
              <w:t>1,532.54</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12.49%</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844.76</w:t>
            </w:r>
          </w:p>
        </w:tc>
        <w:tc>
          <w:tcPr>
            <w:tcW w:w="653"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8.29%</w:t>
            </w:r>
          </w:p>
        </w:tc>
      </w:tr>
      <w:tr w:rsidR="001E2F08" w:rsidRPr="006B07F0" w:rsidTr="001E2F08">
        <w:trPr>
          <w:trHeight w:val="397"/>
          <w:jc w:val="center"/>
        </w:trPr>
        <w:tc>
          <w:tcPr>
            <w:tcW w:w="949"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其他</w:t>
            </w:r>
          </w:p>
        </w:tc>
        <w:tc>
          <w:tcPr>
            <w:tcW w:w="778"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957.67</w:t>
            </w:r>
          </w:p>
        </w:tc>
        <w:tc>
          <w:tcPr>
            <w:tcW w:w="65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5.79%</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kern w:val="2"/>
                <w:sz w:val="18"/>
                <w:szCs w:val="18"/>
              </w:rPr>
            </w:pPr>
            <w:r w:rsidRPr="006B07F0">
              <w:rPr>
                <w:rFonts w:cs="Times New Roman"/>
                <w:bCs/>
                <w:sz w:val="18"/>
                <w:szCs w:val="18"/>
              </w:rPr>
              <w:t>580.54</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sz w:val="18"/>
                <w:szCs w:val="18"/>
              </w:rPr>
            </w:pPr>
            <w:r w:rsidRPr="006B07F0">
              <w:rPr>
                <w:rFonts w:cs="Times New Roman"/>
                <w:bCs/>
                <w:sz w:val="18"/>
                <w:szCs w:val="18"/>
              </w:rPr>
              <w:t>4.73%</w:t>
            </w:r>
          </w:p>
        </w:tc>
        <w:tc>
          <w:tcPr>
            <w:tcW w:w="654"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sz w:val="18"/>
                <w:szCs w:val="18"/>
              </w:rPr>
            </w:pPr>
            <w:r w:rsidRPr="006B07F0">
              <w:rPr>
                <w:rFonts w:cs="Times New Roman"/>
                <w:bCs/>
                <w:sz w:val="18"/>
                <w:szCs w:val="18"/>
              </w:rPr>
              <w:t>233.37</w:t>
            </w:r>
          </w:p>
        </w:tc>
        <w:tc>
          <w:tcPr>
            <w:tcW w:w="653"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sz w:val="18"/>
                <w:szCs w:val="18"/>
              </w:rPr>
            </w:pPr>
            <w:r w:rsidRPr="006B07F0">
              <w:rPr>
                <w:rFonts w:cs="Times New Roman"/>
                <w:bCs/>
                <w:sz w:val="18"/>
                <w:szCs w:val="18"/>
              </w:rPr>
              <w:t>2.29%</w:t>
            </w:r>
          </w:p>
        </w:tc>
      </w:tr>
      <w:tr w:rsidR="001E2F08" w:rsidRPr="006B07F0" w:rsidTr="001E2F08">
        <w:trPr>
          <w:trHeight w:val="397"/>
          <w:jc w:val="center"/>
        </w:trPr>
        <w:tc>
          <w:tcPr>
            <w:tcW w:w="949" w:type="pct"/>
            <w:tcBorders>
              <w:top w:val="dotted" w:sz="4" w:space="0" w:color="auto"/>
              <w:left w:val="nil"/>
              <w:bottom w:val="single" w:sz="12"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合计</w:t>
            </w:r>
          </w:p>
        </w:tc>
        <w:tc>
          <w:tcPr>
            <w:tcW w:w="778"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16,528.93</w:t>
            </w:r>
          </w:p>
        </w:tc>
        <w:tc>
          <w:tcPr>
            <w:tcW w:w="655"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100.00%</w:t>
            </w:r>
          </w:p>
        </w:tc>
        <w:tc>
          <w:tcPr>
            <w:tcW w:w="654"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iCs/>
                <w:kern w:val="2"/>
                <w:sz w:val="18"/>
                <w:szCs w:val="18"/>
              </w:rPr>
            </w:pPr>
            <w:r w:rsidRPr="006B07F0">
              <w:rPr>
                <w:rFonts w:cs="Times New Roman"/>
                <w:bCs/>
                <w:sz w:val="18"/>
                <w:szCs w:val="18"/>
              </w:rPr>
              <w:t>12,268.28</w:t>
            </w:r>
          </w:p>
        </w:tc>
        <w:tc>
          <w:tcPr>
            <w:tcW w:w="654"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iCs/>
                <w:sz w:val="18"/>
                <w:szCs w:val="18"/>
              </w:rPr>
            </w:pPr>
            <w:r w:rsidRPr="006B07F0">
              <w:rPr>
                <w:rFonts w:cs="Times New Roman"/>
                <w:bCs/>
                <w:sz w:val="18"/>
                <w:szCs w:val="18"/>
              </w:rPr>
              <w:t>100%</w:t>
            </w:r>
          </w:p>
        </w:tc>
        <w:tc>
          <w:tcPr>
            <w:tcW w:w="654"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iCs/>
                <w:sz w:val="18"/>
                <w:szCs w:val="18"/>
              </w:rPr>
            </w:pPr>
            <w:r w:rsidRPr="006B07F0">
              <w:rPr>
                <w:rFonts w:cs="Times New Roman"/>
                <w:bCs/>
                <w:sz w:val="18"/>
                <w:szCs w:val="18"/>
              </w:rPr>
              <w:t>10,189.72</w:t>
            </w:r>
          </w:p>
        </w:tc>
        <w:tc>
          <w:tcPr>
            <w:tcW w:w="653" w:type="pct"/>
            <w:tcBorders>
              <w:top w:val="dotted" w:sz="4" w:space="0" w:color="auto"/>
              <w:left w:val="dotted" w:sz="4" w:space="0" w:color="auto"/>
              <w:bottom w:val="single" w:sz="12" w:space="0" w:color="auto"/>
              <w:right w:val="nil"/>
            </w:tcBorders>
            <w:vAlign w:val="center"/>
            <w:hideMark/>
          </w:tcPr>
          <w:p w:rsidR="001E2F08" w:rsidRPr="006B07F0" w:rsidRDefault="001E2F08">
            <w:pPr>
              <w:jc w:val="right"/>
              <w:rPr>
                <w:rFonts w:cs="Times New Roman"/>
                <w:bCs/>
                <w:iCs/>
                <w:sz w:val="18"/>
                <w:szCs w:val="18"/>
              </w:rPr>
            </w:pPr>
            <w:r w:rsidRPr="006B07F0">
              <w:rPr>
                <w:rFonts w:cs="Times New Roman"/>
                <w:bCs/>
                <w:sz w:val="18"/>
                <w:szCs w:val="18"/>
              </w:rPr>
              <w:t>100%</w:t>
            </w:r>
          </w:p>
        </w:tc>
      </w:tr>
    </w:tbl>
    <w:p w:rsidR="001E2F08" w:rsidRPr="006B07F0" w:rsidRDefault="001E2F08" w:rsidP="001E2F08">
      <w:pPr>
        <w:spacing w:beforeLines="50" w:before="163" w:afterLines="50" w:after="163" w:line="360" w:lineRule="auto"/>
        <w:ind w:firstLineChars="200" w:firstLine="420"/>
        <w:rPr>
          <w:rFonts w:cs="Times New Roman"/>
          <w:bCs/>
          <w:kern w:val="2"/>
          <w:sz w:val="21"/>
          <w:szCs w:val="21"/>
        </w:rPr>
      </w:pPr>
      <w:r w:rsidRPr="006B07F0">
        <w:rPr>
          <w:rFonts w:cs="Times New Roman" w:hint="eastAsia"/>
          <w:bCs/>
          <w:sz w:val="21"/>
          <w:szCs w:val="21"/>
        </w:rPr>
        <w:t>报告期内，公司与保利合作项目涉及的区域分布以华东、华南区域为主，东北、华北、华中等区域业务不断发展。</w:t>
      </w:r>
    </w:p>
    <w:p w:rsidR="001E2F08" w:rsidRPr="006B07F0" w:rsidRDefault="001E2F08" w:rsidP="001E2F08">
      <w:pPr>
        <w:spacing w:afterLines="50" w:after="163" w:line="360" w:lineRule="auto"/>
        <w:ind w:firstLineChars="200" w:firstLine="420"/>
        <w:rPr>
          <w:rFonts w:cs="Times New Roman"/>
          <w:bCs/>
          <w:sz w:val="21"/>
          <w:szCs w:val="21"/>
        </w:rPr>
      </w:pPr>
      <w:r w:rsidRPr="006B07F0">
        <w:rPr>
          <w:rFonts w:cs="Times New Roman" w:hint="eastAsia"/>
          <w:bCs/>
          <w:sz w:val="21"/>
          <w:szCs w:val="21"/>
        </w:rPr>
        <w:t>报告期内，公司与保利的收入按城市类型划分的情况如下表所示：</w:t>
      </w:r>
    </w:p>
    <w:p w:rsidR="001E2F08" w:rsidRPr="006B07F0" w:rsidRDefault="001E2F08" w:rsidP="001E2F08">
      <w:pPr>
        <w:jc w:val="right"/>
        <w:rPr>
          <w:rFonts w:cs="Times New Roman"/>
          <w:bCs/>
          <w:sz w:val="21"/>
          <w:szCs w:val="21"/>
        </w:rPr>
      </w:pPr>
      <w:r w:rsidRPr="006B07F0">
        <w:rPr>
          <w:rFonts w:cs="Times New Roman" w:hint="eastAsia"/>
          <w:bCs/>
          <w:sz w:val="21"/>
          <w:szCs w:val="21"/>
        </w:rPr>
        <w:lastRenderedPageBreak/>
        <w:t>单位：万元</w:t>
      </w:r>
    </w:p>
    <w:tbl>
      <w:tblPr>
        <w:tblW w:w="4879" w:type="pct"/>
        <w:jc w:val="center"/>
        <w:tblBorders>
          <w:top w:val="single" w:sz="12" w:space="0" w:color="333399"/>
          <w:left w:val="single" w:sz="6" w:space="0" w:color="333399"/>
          <w:bottom w:val="single" w:sz="12" w:space="0" w:color="333399"/>
          <w:right w:val="single" w:sz="6" w:space="0" w:color="333399"/>
          <w:insideH w:val="single" w:sz="6" w:space="0" w:color="333399"/>
          <w:insideV w:val="single" w:sz="6" w:space="0" w:color="333399"/>
        </w:tblBorders>
        <w:tblLook w:val="04A0" w:firstRow="1" w:lastRow="0" w:firstColumn="1" w:lastColumn="0" w:noHBand="0" w:noVBand="1"/>
      </w:tblPr>
      <w:tblGrid>
        <w:gridCol w:w="1527"/>
        <w:gridCol w:w="1147"/>
        <w:gridCol w:w="1147"/>
        <w:gridCol w:w="1148"/>
        <w:gridCol w:w="1148"/>
        <w:gridCol w:w="1148"/>
        <w:gridCol w:w="1148"/>
      </w:tblGrid>
      <w:tr w:rsidR="001E2F08" w:rsidRPr="006B07F0" w:rsidTr="001E2F08">
        <w:trPr>
          <w:trHeight w:val="424"/>
          <w:jc w:val="center"/>
        </w:trPr>
        <w:tc>
          <w:tcPr>
            <w:tcW w:w="908" w:type="pct"/>
            <w:vMerge w:val="restart"/>
            <w:tcBorders>
              <w:top w:val="single" w:sz="12" w:space="0" w:color="auto"/>
              <w:left w:val="nil"/>
              <w:bottom w:val="dotted" w:sz="4" w:space="0" w:color="auto"/>
              <w:right w:val="dotted" w:sz="4" w:space="0" w:color="auto"/>
            </w:tcBorders>
            <w:vAlign w:val="center"/>
            <w:hideMark/>
          </w:tcPr>
          <w:p w:rsidR="001E2F08" w:rsidRPr="006B07F0" w:rsidRDefault="001E2F08">
            <w:pPr>
              <w:spacing w:beforeLines="50" w:before="163" w:afterLines="50" w:after="163" w:line="360" w:lineRule="auto"/>
              <w:jc w:val="center"/>
              <w:rPr>
                <w:rFonts w:cs="Times New Roman"/>
                <w:bCs/>
                <w:iCs/>
                <w:sz w:val="18"/>
                <w:szCs w:val="18"/>
              </w:rPr>
            </w:pPr>
            <w:r w:rsidRPr="006B07F0">
              <w:rPr>
                <w:rFonts w:cs="Times New Roman" w:hint="eastAsia"/>
                <w:bCs/>
                <w:iCs/>
                <w:sz w:val="18"/>
                <w:szCs w:val="18"/>
              </w:rPr>
              <w:t>城市类型</w:t>
            </w:r>
          </w:p>
        </w:tc>
        <w:tc>
          <w:tcPr>
            <w:tcW w:w="1364" w:type="pct"/>
            <w:gridSpan w:val="2"/>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lang w:bidi="en-US"/>
              </w:rPr>
            </w:pPr>
            <w:r w:rsidRPr="006B07F0">
              <w:rPr>
                <w:rFonts w:cs="Times New Roman" w:hint="eastAsia"/>
                <w:bCs/>
                <w:color w:val="000000"/>
                <w:sz w:val="18"/>
                <w:szCs w:val="18"/>
                <w:lang w:bidi="en-US"/>
              </w:rPr>
              <w:t>2020年度</w:t>
            </w:r>
          </w:p>
        </w:tc>
        <w:tc>
          <w:tcPr>
            <w:tcW w:w="1364" w:type="pct"/>
            <w:gridSpan w:val="2"/>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kern w:val="2"/>
                <w:sz w:val="18"/>
                <w:szCs w:val="18"/>
              </w:rPr>
            </w:pPr>
            <w:r w:rsidRPr="006B07F0">
              <w:rPr>
                <w:rFonts w:cs="Times New Roman"/>
                <w:bCs/>
                <w:iCs/>
                <w:sz w:val="18"/>
                <w:szCs w:val="18"/>
              </w:rPr>
              <w:t>2019</w:t>
            </w:r>
            <w:r w:rsidRPr="006B07F0">
              <w:rPr>
                <w:rFonts w:cs="Times New Roman" w:hint="eastAsia"/>
                <w:bCs/>
                <w:iCs/>
                <w:sz w:val="18"/>
                <w:szCs w:val="18"/>
              </w:rPr>
              <w:t>年度</w:t>
            </w:r>
          </w:p>
        </w:tc>
        <w:tc>
          <w:tcPr>
            <w:tcW w:w="1364" w:type="pct"/>
            <w:gridSpan w:val="2"/>
            <w:tcBorders>
              <w:top w:val="single" w:sz="12" w:space="0" w:color="auto"/>
              <w:left w:val="dotted" w:sz="4" w:space="0" w:color="auto"/>
              <w:bottom w:val="dotted" w:sz="4" w:space="0" w:color="auto"/>
              <w:right w:val="nil"/>
            </w:tcBorders>
            <w:vAlign w:val="center"/>
            <w:hideMark/>
          </w:tcPr>
          <w:p w:rsidR="001E2F08" w:rsidRPr="006B07F0" w:rsidRDefault="001E2F08">
            <w:pPr>
              <w:jc w:val="center"/>
              <w:rPr>
                <w:rFonts w:cs="Times New Roman"/>
                <w:bCs/>
                <w:iCs/>
                <w:sz w:val="18"/>
                <w:szCs w:val="18"/>
              </w:rPr>
            </w:pPr>
            <w:r w:rsidRPr="006B07F0">
              <w:rPr>
                <w:rFonts w:cs="Times New Roman"/>
                <w:bCs/>
                <w:iCs/>
                <w:sz w:val="18"/>
                <w:szCs w:val="18"/>
              </w:rPr>
              <w:t>2018</w:t>
            </w:r>
            <w:r w:rsidRPr="006B07F0">
              <w:rPr>
                <w:rFonts w:cs="Times New Roman" w:hint="eastAsia"/>
                <w:bCs/>
                <w:iCs/>
                <w:sz w:val="18"/>
                <w:szCs w:val="18"/>
              </w:rPr>
              <w:t>年度</w:t>
            </w:r>
          </w:p>
        </w:tc>
      </w:tr>
      <w:tr w:rsidR="001E2F08" w:rsidRPr="006B07F0" w:rsidTr="001E2F08">
        <w:trPr>
          <w:trHeight w:val="424"/>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iCs/>
                <w:kern w:val="2"/>
                <w:sz w:val="18"/>
                <w:szCs w:val="18"/>
              </w:rPr>
            </w:pP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lang w:bidi="en-US"/>
              </w:rPr>
            </w:pPr>
            <w:r w:rsidRPr="006B07F0">
              <w:rPr>
                <w:rFonts w:cs="Times New Roman" w:hint="eastAsia"/>
                <w:bCs/>
                <w:color w:val="000000"/>
                <w:sz w:val="18"/>
                <w:szCs w:val="18"/>
                <w:lang w:bidi="en-US"/>
              </w:rPr>
              <w:t>金额</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lang w:bidi="en-US"/>
              </w:rPr>
            </w:pPr>
            <w:r w:rsidRPr="006B07F0">
              <w:rPr>
                <w:rFonts w:cs="Times New Roman" w:hint="eastAsia"/>
                <w:bCs/>
                <w:color w:val="000000"/>
                <w:sz w:val="18"/>
                <w:szCs w:val="18"/>
                <w:lang w:bidi="en-US"/>
              </w:rPr>
              <w:t>占比</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kern w:val="2"/>
                <w:sz w:val="18"/>
                <w:szCs w:val="18"/>
              </w:rPr>
            </w:pPr>
            <w:r w:rsidRPr="006B07F0">
              <w:rPr>
                <w:rFonts w:cs="Times New Roman" w:hint="eastAsia"/>
                <w:bCs/>
                <w:iCs/>
                <w:sz w:val="18"/>
                <w:szCs w:val="18"/>
              </w:rPr>
              <w:t>金额</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占比</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金额</w:t>
            </w:r>
          </w:p>
        </w:tc>
        <w:tc>
          <w:tcPr>
            <w:tcW w:w="682" w:type="pct"/>
            <w:tcBorders>
              <w:top w:val="dotted" w:sz="4" w:space="0" w:color="auto"/>
              <w:left w:val="dotted" w:sz="4" w:space="0" w:color="auto"/>
              <w:bottom w:val="dotted" w:sz="4" w:space="0" w:color="auto"/>
              <w:right w:val="nil"/>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占比</w:t>
            </w:r>
          </w:p>
        </w:tc>
      </w:tr>
      <w:tr w:rsidR="001E2F08" w:rsidRPr="006B07F0" w:rsidTr="001E2F08">
        <w:trPr>
          <w:trHeight w:val="424"/>
          <w:jc w:val="center"/>
        </w:trPr>
        <w:tc>
          <w:tcPr>
            <w:tcW w:w="908"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一线城市</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 xml:space="preserve"> 961.28 </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5.82%</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kern w:val="2"/>
                <w:sz w:val="18"/>
                <w:szCs w:val="18"/>
              </w:rPr>
            </w:pPr>
            <w:r w:rsidRPr="006B07F0">
              <w:rPr>
                <w:rFonts w:cs="Times New Roman"/>
                <w:bCs/>
                <w:sz w:val="18"/>
                <w:szCs w:val="18"/>
              </w:rPr>
              <w:t>333.71</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2.72%</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366.70</w:t>
            </w:r>
          </w:p>
        </w:tc>
        <w:tc>
          <w:tcPr>
            <w:tcW w:w="682"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3.60%</w:t>
            </w:r>
          </w:p>
        </w:tc>
      </w:tr>
      <w:tr w:rsidR="001E2F08" w:rsidRPr="006B07F0" w:rsidTr="001E2F08">
        <w:trPr>
          <w:trHeight w:val="424"/>
          <w:jc w:val="center"/>
        </w:trPr>
        <w:tc>
          <w:tcPr>
            <w:tcW w:w="908"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二线城市</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 xml:space="preserve">11,531.80 </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69.77%</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kern w:val="2"/>
                <w:sz w:val="18"/>
                <w:szCs w:val="18"/>
              </w:rPr>
            </w:pPr>
            <w:r w:rsidRPr="006B07F0">
              <w:rPr>
                <w:rFonts w:cs="Times New Roman"/>
                <w:bCs/>
                <w:sz w:val="18"/>
                <w:szCs w:val="18"/>
              </w:rPr>
              <w:t>6,508.29</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53.05%</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5,442.02</w:t>
            </w:r>
          </w:p>
        </w:tc>
        <w:tc>
          <w:tcPr>
            <w:tcW w:w="682"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53.41%</w:t>
            </w:r>
          </w:p>
        </w:tc>
      </w:tr>
      <w:tr w:rsidR="001E2F08" w:rsidRPr="006B07F0" w:rsidTr="001E2F08">
        <w:trPr>
          <w:trHeight w:val="424"/>
          <w:jc w:val="center"/>
        </w:trPr>
        <w:tc>
          <w:tcPr>
            <w:tcW w:w="908"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三线城市</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 xml:space="preserve"> 2,636.07 </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15.95%</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kern w:val="2"/>
                <w:sz w:val="18"/>
                <w:szCs w:val="18"/>
              </w:rPr>
            </w:pPr>
            <w:r w:rsidRPr="006B07F0">
              <w:rPr>
                <w:rFonts w:cs="Times New Roman"/>
                <w:bCs/>
                <w:sz w:val="18"/>
                <w:szCs w:val="18"/>
              </w:rPr>
              <w:t>3,123.78</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25.46%</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2,660.61</w:t>
            </w:r>
          </w:p>
        </w:tc>
        <w:tc>
          <w:tcPr>
            <w:tcW w:w="682"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26.11%</w:t>
            </w:r>
          </w:p>
        </w:tc>
      </w:tr>
      <w:tr w:rsidR="001E2F08" w:rsidRPr="006B07F0" w:rsidTr="001E2F08">
        <w:trPr>
          <w:trHeight w:val="424"/>
          <w:jc w:val="center"/>
        </w:trPr>
        <w:tc>
          <w:tcPr>
            <w:tcW w:w="908"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四线城市</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 xml:space="preserve"> 1,399.77 </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8.47%</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kern w:val="2"/>
                <w:sz w:val="18"/>
                <w:szCs w:val="18"/>
              </w:rPr>
            </w:pPr>
            <w:r w:rsidRPr="006B07F0">
              <w:rPr>
                <w:rFonts w:cs="Times New Roman"/>
                <w:bCs/>
                <w:sz w:val="18"/>
                <w:szCs w:val="18"/>
              </w:rPr>
              <w:t>2,302.50</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18.77%</w:t>
            </w:r>
          </w:p>
        </w:tc>
        <w:tc>
          <w:tcPr>
            <w:tcW w:w="682"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1,720.39</w:t>
            </w:r>
          </w:p>
        </w:tc>
        <w:tc>
          <w:tcPr>
            <w:tcW w:w="682"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16.88%</w:t>
            </w:r>
          </w:p>
        </w:tc>
      </w:tr>
      <w:tr w:rsidR="001E2F08" w:rsidRPr="006B07F0" w:rsidTr="001E2F08">
        <w:trPr>
          <w:trHeight w:val="424"/>
          <w:jc w:val="center"/>
        </w:trPr>
        <w:tc>
          <w:tcPr>
            <w:tcW w:w="908" w:type="pct"/>
            <w:tcBorders>
              <w:top w:val="dotted" w:sz="4" w:space="0" w:color="auto"/>
              <w:left w:val="nil"/>
              <w:bottom w:val="single" w:sz="12" w:space="0" w:color="auto"/>
              <w:right w:val="dotted" w:sz="4" w:space="0" w:color="auto"/>
            </w:tcBorders>
            <w:vAlign w:val="center"/>
            <w:hideMark/>
          </w:tcPr>
          <w:p w:rsidR="001E2F08" w:rsidRPr="006B07F0" w:rsidRDefault="001E2F08">
            <w:pPr>
              <w:jc w:val="center"/>
              <w:rPr>
                <w:rFonts w:cs="Times New Roman"/>
                <w:bCs/>
                <w:iCs/>
                <w:sz w:val="18"/>
                <w:szCs w:val="18"/>
              </w:rPr>
            </w:pPr>
            <w:r w:rsidRPr="006B07F0">
              <w:rPr>
                <w:rFonts w:cs="Times New Roman" w:hint="eastAsia"/>
                <w:bCs/>
                <w:iCs/>
                <w:sz w:val="18"/>
                <w:szCs w:val="18"/>
              </w:rPr>
              <w:t>合计</w:t>
            </w:r>
          </w:p>
        </w:tc>
        <w:tc>
          <w:tcPr>
            <w:tcW w:w="682"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 xml:space="preserve">16,528.93 </w:t>
            </w:r>
          </w:p>
        </w:tc>
        <w:tc>
          <w:tcPr>
            <w:tcW w:w="682"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lang w:bidi="en-US"/>
              </w:rPr>
            </w:pPr>
            <w:r w:rsidRPr="006B07F0">
              <w:rPr>
                <w:rFonts w:cs="Times New Roman" w:hint="eastAsia"/>
                <w:bCs/>
                <w:sz w:val="18"/>
                <w:szCs w:val="18"/>
              </w:rPr>
              <w:t>100.00%</w:t>
            </w:r>
          </w:p>
        </w:tc>
        <w:tc>
          <w:tcPr>
            <w:tcW w:w="682"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kern w:val="2"/>
                <w:sz w:val="18"/>
                <w:szCs w:val="18"/>
              </w:rPr>
            </w:pPr>
            <w:r w:rsidRPr="006B07F0">
              <w:rPr>
                <w:rFonts w:cs="Times New Roman"/>
                <w:bCs/>
                <w:sz w:val="18"/>
                <w:szCs w:val="18"/>
              </w:rPr>
              <w:t>12,268.28</w:t>
            </w:r>
          </w:p>
        </w:tc>
        <w:tc>
          <w:tcPr>
            <w:tcW w:w="682"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100.00%</w:t>
            </w:r>
          </w:p>
        </w:tc>
        <w:tc>
          <w:tcPr>
            <w:tcW w:w="682"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10,189.72</w:t>
            </w:r>
          </w:p>
        </w:tc>
        <w:tc>
          <w:tcPr>
            <w:tcW w:w="682" w:type="pct"/>
            <w:tcBorders>
              <w:top w:val="dotted" w:sz="4" w:space="0" w:color="auto"/>
              <w:left w:val="dotted" w:sz="4" w:space="0" w:color="auto"/>
              <w:bottom w:val="single" w:sz="12"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100.00%</w:t>
            </w:r>
          </w:p>
        </w:tc>
      </w:tr>
    </w:tbl>
    <w:p w:rsidR="001E2F08" w:rsidRPr="006B07F0" w:rsidRDefault="001E2F08" w:rsidP="001E2F08">
      <w:pPr>
        <w:rPr>
          <w:rFonts w:cs="Times New Roman"/>
          <w:bCs/>
          <w:kern w:val="2"/>
          <w:sz w:val="21"/>
          <w:szCs w:val="21"/>
        </w:rPr>
      </w:pPr>
      <w:r w:rsidRPr="006B07F0">
        <w:rPr>
          <w:rFonts w:cs="Times New Roman" w:hint="eastAsia"/>
          <w:bCs/>
          <w:sz w:val="21"/>
          <w:szCs w:val="21"/>
        </w:rPr>
        <w:t>注：城市划分标准摘自《</w:t>
      </w:r>
      <w:r w:rsidRPr="006B07F0">
        <w:rPr>
          <w:rFonts w:cs="Times New Roman"/>
          <w:bCs/>
          <w:sz w:val="21"/>
          <w:szCs w:val="21"/>
        </w:rPr>
        <w:t>2020</w:t>
      </w:r>
      <w:r w:rsidRPr="006B07F0">
        <w:rPr>
          <w:rFonts w:cs="Times New Roman" w:hint="eastAsia"/>
          <w:bCs/>
          <w:sz w:val="21"/>
          <w:szCs w:val="21"/>
        </w:rPr>
        <w:t>城市商业魅力排行榜》。其中，一线城市包括：北、上、广、深；二线城市主要包括省会城市、副省级城市、东部地区的经济强市或经济发达的区域性中心城市。</w:t>
      </w:r>
    </w:p>
    <w:p w:rsidR="001E2F08" w:rsidRPr="006B07F0" w:rsidRDefault="001E2F08" w:rsidP="001E2F08">
      <w:pPr>
        <w:autoSpaceDE w:val="0"/>
        <w:autoSpaceDN w:val="0"/>
        <w:adjustRightInd w:val="0"/>
        <w:spacing w:beforeLines="50" w:before="163" w:afterLines="50" w:after="163" w:line="360" w:lineRule="auto"/>
        <w:ind w:firstLineChars="200" w:firstLine="420"/>
        <w:rPr>
          <w:rFonts w:cs="Times New Roman"/>
          <w:bCs/>
          <w:color w:val="000000"/>
          <w:sz w:val="21"/>
          <w:szCs w:val="21"/>
          <w:lang w:bidi="en-US"/>
        </w:rPr>
      </w:pPr>
      <w:r w:rsidRPr="006B07F0">
        <w:rPr>
          <w:rFonts w:cs="Times New Roman" w:hint="eastAsia"/>
          <w:bCs/>
          <w:color w:val="000000"/>
          <w:sz w:val="21"/>
          <w:szCs w:val="21"/>
          <w:lang w:bidi="en-US"/>
        </w:rPr>
        <w:t>报告期内，公司与保利的业务合作主要集中在二线城市，</w:t>
      </w:r>
      <w:r w:rsidRPr="006B07F0">
        <w:rPr>
          <w:rFonts w:cs="Times New Roman"/>
          <w:bCs/>
          <w:color w:val="000000"/>
          <w:sz w:val="21"/>
          <w:szCs w:val="21"/>
          <w:lang w:bidi="en-US"/>
        </w:rPr>
        <w:t>2020</w:t>
      </w:r>
      <w:r w:rsidRPr="006B07F0">
        <w:rPr>
          <w:rFonts w:cs="Times New Roman" w:hint="eastAsia"/>
          <w:bCs/>
          <w:color w:val="000000"/>
          <w:sz w:val="21"/>
          <w:szCs w:val="21"/>
          <w:lang w:bidi="en-US"/>
        </w:rPr>
        <w:t>年，随着武汉等城市业务项目的贡献，二线城市收入占比进一步提升。</w:t>
      </w:r>
    </w:p>
    <w:p w:rsidR="001E2F08" w:rsidRPr="006B07F0" w:rsidRDefault="001E2F08" w:rsidP="001E2F08">
      <w:pPr>
        <w:autoSpaceDE w:val="0"/>
        <w:autoSpaceDN w:val="0"/>
        <w:adjustRightInd w:val="0"/>
        <w:spacing w:beforeLines="50" w:before="163" w:afterLines="50" w:after="163" w:line="360" w:lineRule="auto"/>
        <w:ind w:firstLineChars="200" w:firstLine="420"/>
        <w:rPr>
          <w:rFonts w:cs="Times New Roman"/>
          <w:bCs/>
          <w:color w:val="000000"/>
          <w:sz w:val="21"/>
          <w:szCs w:val="21"/>
          <w:lang w:bidi="en-US"/>
        </w:rPr>
      </w:pPr>
      <w:r w:rsidRPr="006B07F0">
        <w:rPr>
          <w:rFonts w:cs="Times New Roman" w:hint="eastAsia"/>
          <w:bCs/>
          <w:color w:val="000000"/>
          <w:sz w:val="21"/>
          <w:szCs w:val="21"/>
          <w:lang w:bidi="en-US"/>
        </w:rPr>
        <w:t>截至2020年12月31日，公司</w:t>
      </w:r>
      <w:proofErr w:type="gramStart"/>
      <w:r w:rsidRPr="006B07F0">
        <w:rPr>
          <w:rFonts w:cs="Times New Roman" w:hint="eastAsia"/>
          <w:bCs/>
          <w:color w:val="000000"/>
          <w:sz w:val="21"/>
          <w:szCs w:val="21"/>
          <w:lang w:bidi="en-US"/>
        </w:rPr>
        <w:t>对保利</w:t>
      </w:r>
      <w:proofErr w:type="gramEnd"/>
      <w:r w:rsidRPr="006B07F0">
        <w:rPr>
          <w:rFonts w:cs="Times New Roman" w:hint="eastAsia"/>
          <w:bCs/>
          <w:color w:val="000000"/>
          <w:sz w:val="21"/>
          <w:szCs w:val="21"/>
          <w:lang w:bidi="en-US"/>
        </w:rPr>
        <w:t>的在手合同金额为21,206.60万元，主要区域和各区域排名前两位的主要业务城市情况如下：</w:t>
      </w:r>
    </w:p>
    <w:p w:rsidR="001E2F08" w:rsidRPr="006B07F0" w:rsidRDefault="001E2F08" w:rsidP="001E2F08">
      <w:pPr>
        <w:jc w:val="right"/>
        <w:rPr>
          <w:rFonts w:cs="Times New Roman"/>
          <w:bCs/>
          <w:kern w:val="2"/>
          <w:sz w:val="21"/>
          <w:szCs w:val="21"/>
        </w:rPr>
      </w:pPr>
      <w:r w:rsidRPr="006B07F0">
        <w:rPr>
          <w:rFonts w:cs="Times New Roman" w:hint="eastAsia"/>
          <w:bCs/>
          <w:sz w:val="21"/>
          <w:szCs w:val="21"/>
        </w:rPr>
        <w:t>单位：万元</w:t>
      </w:r>
    </w:p>
    <w:tbl>
      <w:tblPr>
        <w:tblW w:w="5000" w:type="pct"/>
        <w:jc w:val="center"/>
        <w:tblBorders>
          <w:top w:val="single" w:sz="12" w:space="0" w:color="333399"/>
          <w:left w:val="single" w:sz="4" w:space="0" w:color="333399"/>
          <w:bottom w:val="single" w:sz="12"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3146"/>
        <w:gridCol w:w="3533"/>
        <w:gridCol w:w="1943"/>
      </w:tblGrid>
      <w:tr w:rsidR="001E2F08" w:rsidRPr="006B07F0" w:rsidTr="001E2F08">
        <w:trPr>
          <w:trHeight w:val="397"/>
          <w:jc w:val="center"/>
        </w:trPr>
        <w:tc>
          <w:tcPr>
            <w:tcW w:w="1824" w:type="pct"/>
            <w:tcBorders>
              <w:top w:val="single" w:sz="12" w:space="0" w:color="auto"/>
              <w:left w:val="nil"/>
              <w:bottom w:val="dotted" w:sz="4" w:space="0" w:color="auto"/>
              <w:right w:val="dotted" w:sz="4" w:space="0" w:color="auto"/>
            </w:tcBorders>
            <w:noWrap/>
            <w:vAlign w:val="center"/>
            <w:hideMark/>
          </w:tcPr>
          <w:p w:rsidR="001E2F08" w:rsidRPr="006B07F0" w:rsidRDefault="001E2F08">
            <w:pPr>
              <w:jc w:val="center"/>
              <w:rPr>
                <w:rFonts w:cs="Times New Roman"/>
                <w:bCs/>
                <w:color w:val="000000"/>
                <w:sz w:val="18"/>
                <w:szCs w:val="18"/>
                <w:lang w:eastAsia="en-US" w:bidi="en-US"/>
              </w:rPr>
            </w:pPr>
            <w:r w:rsidRPr="006B07F0">
              <w:rPr>
                <w:rFonts w:cs="Times New Roman" w:hint="eastAsia"/>
                <w:bCs/>
                <w:color w:val="000000"/>
                <w:sz w:val="18"/>
                <w:szCs w:val="18"/>
                <w:lang w:bidi="en-US"/>
              </w:rPr>
              <w:t>区域及主要城市</w:t>
            </w:r>
          </w:p>
        </w:tc>
        <w:tc>
          <w:tcPr>
            <w:tcW w:w="2049" w:type="pct"/>
            <w:tcBorders>
              <w:top w:val="single" w:sz="12" w:space="0" w:color="auto"/>
              <w:left w:val="dotted" w:sz="4" w:space="0" w:color="auto"/>
              <w:bottom w:val="dotted" w:sz="4" w:space="0" w:color="auto"/>
              <w:right w:val="dotted" w:sz="4" w:space="0" w:color="auto"/>
            </w:tcBorders>
            <w:noWrap/>
            <w:vAlign w:val="center"/>
            <w:hideMark/>
          </w:tcPr>
          <w:p w:rsidR="001E2F08" w:rsidRPr="006B07F0" w:rsidRDefault="001E2F08">
            <w:pPr>
              <w:jc w:val="center"/>
              <w:rPr>
                <w:rFonts w:cs="Times New Roman"/>
                <w:bCs/>
                <w:color w:val="000000"/>
                <w:sz w:val="18"/>
                <w:szCs w:val="18"/>
                <w:lang w:eastAsia="en-US" w:bidi="en-US"/>
              </w:rPr>
            </w:pPr>
            <w:proofErr w:type="spellStart"/>
            <w:r w:rsidRPr="006B07F0">
              <w:rPr>
                <w:rFonts w:cs="Times New Roman" w:hint="eastAsia"/>
                <w:bCs/>
                <w:color w:val="000000"/>
                <w:sz w:val="18"/>
                <w:szCs w:val="18"/>
                <w:lang w:eastAsia="en-US" w:bidi="en-US"/>
              </w:rPr>
              <w:t>在手合同金额</w:t>
            </w:r>
            <w:proofErr w:type="spellEnd"/>
          </w:p>
        </w:tc>
        <w:tc>
          <w:tcPr>
            <w:tcW w:w="1128" w:type="pct"/>
            <w:tcBorders>
              <w:top w:val="single" w:sz="12" w:space="0" w:color="auto"/>
              <w:left w:val="dotted" w:sz="4" w:space="0" w:color="auto"/>
              <w:bottom w:val="dotted" w:sz="4" w:space="0" w:color="auto"/>
              <w:right w:val="nil"/>
            </w:tcBorders>
            <w:noWrap/>
            <w:vAlign w:val="center"/>
            <w:hideMark/>
          </w:tcPr>
          <w:p w:rsidR="001E2F08" w:rsidRPr="006B07F0" w:rsidRDefault="001E2F08">
            <w:pPr>
              <w:jc w:val="center"/>
              <w:rPr>
                <w:rFonts w:cs="Times New Roman"/>
                <w:bCs/>
                <w:color w:val="000000"/>
                <w:sz w:val="18"/>
                <w:szCs w:val="18"/>
                <w:lang w:eastAsia="en-US" w:bidi="en-US"/>
              </w:rPr>
            </w:pPr>
            <w:r w:rsidRPr="006B07F0">
              <w:rPr>
                <w:rFonts w:cs="Times New Roman" w:hint="eastAsia"/>
                <w:bCs/>
                <w:color w:val="000000"/>
                <w:sz w:val="18"/>
                <w:szCs w:val="18"/>
                <w:lang w:bidi="en-US"/>
              </w:rPr>
              <w:t>占比</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rPr>
                <w:rFonts w:cs="Times New Roman"/>
                <w:bCs/>
                <w:kern w:val="2"/>
                <w:sz w:val="18"/>
                <w:szCs w:val="18"/>
              </w:rPr>
            </w:pPr>
            <w:r w:rsidRPr="006B07F0">
              <w:rPr>
                <w:rFonts w:cs="Times New Roman" w:hint="eastAsia"/>
                <w:bCs/>
                <w:sz w:val="18"/>
                <w:szCs w:val="18"/>
              </w:rPr>
              <w:t>华东</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 xml:space="preserve">6,084.77  </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28.69%</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ind w:firstLineChars="100" w:firstLine="180"/>
              <w:rPr>
                <w:rFonts w:cs="Times New Roman"/>
                <w:bCs/>
                <w:sz w:val="18"/>
                <w:szCs w:val="18"/>
              </w:rPr>
            </w:pPr>
            <w:r w:rsidRPr="006B07F0">
              <w:rPr>
                <w:rFonts w:cs="Times New Roman" w:hint="eastAsia"/>
                <w:bCs/>
                <w:sz w:val="18"/>
                <w:szCs w:val="18"/>
              </w:rPr>
              <w:t>其中：南昌</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 xml:space="preserve">  1,159.15 </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5.47%</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ind w:firstLineChars="400" w:firstLine="720"/>
              <w:rPr>
                <w:rFonts w:cs="Times New Roman"/>
                <w:bCs/>
                <w:sz w:val="18"/>
                <w:szCs w:val="18"/>
              </w:rPr>
            </w:pPr>
            <w:r w:rsidRPr="006B07F0">
              <w:rPr>
                <w:rFonts w:cs="Times New Roman" w:hint="eastAsia"/>
                <w:bCs/>
                <w:sz w:val="18"/>
                <w:szCs w:val="18"/>
              </w:rPr>
              <w:t>聊城</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777.00</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3.66%</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rPr>
                <w:rFonts w:cs="Times New Roman"/>
                <w:bCs/>
                <w:sz w:val="18"/>
                <w:szCs w:val="18"/>
              </w:rPr>
            </w:pPr>
            <w:r w:rsidRPr="006B07F0">
              <w:rPr>
                <w:rFonts w:cs="Times New Roman" w:hint="eastAsia"/>
                <w:bCs/>
                <w:sz w:val="18"/>
                <w:szCs w:val="18"/>
              </w:rPr>
              <w:t>华南</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4,774.01</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22.51%</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ind w:firstLineChars="100" w:firstLine="180"/>
              <w:rPr>
                <w:rFonts w:cs="Times New Roman"/>
                <w:bCs/>
                <w:sz w:val="18"/>
                <w:szCs w:val="18"/>
              </w:rPr>
            </w:pPr>
            <w:r w:rsidRPr="006B07F0">
              <w:rPr>
                <w:rFonts w:cs="Times New Roman" w:hint="eastAsia"/>
                <w:bCs/>
                <w:sz w:val="18"/>
                <w:szCs w:val="18"/>
              </w:rPr>
              <w:t>其中：南宁</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 xml:space="preserve">    903.14 </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4.26%</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ind w:firstLineChars="400" w:firstLine="720"/>
              <w:rPr>
                <w:rFonts w:cs="Times New Roman"/>
                <w:bCs/>
                <w:sz w:val="18"/>
                <w:szCs w:val="18"/>
              </w:rPr>
            </w:pPr>
            <w:r w:rsidRPr="006B07F0">
              <w:rPr>
                <w:rFonts w:cs="Times New Roman" w:hint="eastAsia"/>
                <w:bCs/>
                <w:sz w:val="18"/>
                <w:szCs w:val="18"/>
              </w:rPr>
              <w:t>广州</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 xml:space="preserve">    883.14 </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4.16%</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rPr>
                <w:rFonts w:cs="Times New Roman"/>
                <w:bCs/>
                <w:sz w:val="18"/>
                <w:szCs w:val="18"/>
              </w:rPr>
            </w:pPr>
            <w:r w:rsidRPr="006B07F0">
              <w:rPr>
                <w:rFonts w:cs="Times New Roman" w:hint="eastAsia"/>
                <w:bCs/>
                <w:sz w:val="18"/>
                <w:szCs w:val="18"/>
              </w:rPr>
              <w:t>华北</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3,543.89</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16.71%</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ind w:firstLineChars="100" w:firstLine="180"/>
              <w:rPr>
                <w:rFonts w:cs="Times New Roman"/>
                <w:bCs/>
                <w:sz w:val="18"/>
                <w:szCs w:val="18"/>
              </w:rPr>
            </w:pPr>
            <w:r w:rsidRPr="006B07F0">
              <w:rPr>
                <w:rFonts w:cs="Times New Roman" w:hint="eastAsia"/>
                <w:bCs/>
                <w:sz w:val="18"/>
                <w:szCs w:val="18"/>
              </w:rPr>
              <w:t>其中：石家庄</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 xml:space="preserve">1,080.37 </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5.09%</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ind w:firstLineChars="400" w:firstLine="720"/>
              <w:rPr>
                <w:rFonts w:cs="Times New Roman"/>
                <w:bCs/>
                <w:sz w:val="18"/>
                <w:szCs w:val="18"/>
              </w:rPr>
            </w:pPr>
            <w:r w:rsidRPr="006B07F0">
              <w:rPr>
                <w:rFonts w:cs="Times New Roman" w:hint="eastAsia"/>
                <w:bCs/>
                <w:sz w:val="18"/>
                <w:szCs w:val="18"/>
              </w:rPr>
              <w:t>秦皇岛</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 xml:space="preserve">    749.29 </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3.53%</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rPr>
                <w:rFonts w:cs="Times New Roman"/>
                <w:bCs/>
                <w:sz w:val="18"/>
                <w:szCs w:val="18"/>
              </w:rPr>
            </w:pPr>
            <w:r w:rsidRPr="006B07F0">
              <w:rPr>
                <w:rFonts w:cs="Times New Roman" w:hint="eastAsia"/>
                <w:bCs/>
                <w:sz w:val="18"/>
                <w:szCs w:val="18"/>
              </w:rPr>
              <w:t>华中</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 xml:space="preserve">3,006.90  </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14.18%</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ind w:firstLineChars="100" w:firstLine="180"/>
              <w:rPr>
                <w:rFonts w:cs="Times New Roman"/>
                <w:bCs/>
                <w:sz w:val="18"/>
                <w:szCs w:val="18"/>
              </w:rPr>
            </w:pPr>
            <w:r w:rsidRPr="006B07F0">
              <w:rPr>
                <w:rFonts w:cs="Times New Roman" w:hint="eastAsia"/>
                <w:bCs/>
                <w:sz w:val="18"/>
                <w:szCs w:val="18"/>
              </w:rPr>
              <w:t>其中：武汉</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 xml:space="preserve">1,545.85  </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7.29%</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ind w:firstLineChars="400" w:firstLine="720"/>
              <w:rPr>
                <w:rFonts w:cs="Times New Roman"/>
                <w:bCs/>
                <w:sz w:val="18"/>
                <w:szCs w:val="18"/>
              </w:rPr>
            </w:pPr>
            <w:r w:rsidRPr="006B07F0">
              <w:rPr>
                <w:rFonts w:cs="Times New Roman" w:hint="eastAsia"/>
                <w:bCs/>
                <w:sz w:val="18"/>
                <w:szCs w:val="18"/>
              </w:rPr>
              <w:t>郑州</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1,229.09</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5.80%</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rPr>
                <w:rFonts w:cs="Times New Roman"/>
                <w:bCs/>
                <w:sz w:val="18"/>
                <w:szCs w:val="18"/>
              </w:rPr>
            </w:pPr>
            <w:r w:rsidRPr="006B07F0">
              <w:rPr>
                <w:rFonts w:cs="Times New Roman" w:hint="eastAsia"/>
                <w:bCs/>
                <w:sz w:val="18"/>
                <w:szCs w:val="18"/>
              </w:rPr>
              <w:t>西南</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 xml:space="preserve">2,298.88  </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10.84%</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ind w:firstLineChars="100" w:firstLine="180"/>
              <w:rPr>
                <w:rFonts w:cs="Times New Roman"/>
                <w:bCs/>
                <w:sz w:val="18"/>
                <w:szCs w:val="18"/>
              </w:rPr>
            </w:pPr>
            <w:r w:rsidRPr="006B07F0">
              <w:rPr>
                <w:rFonts w:cs="Times New Roman" w:hint="eastAsia"/>
                <w:bCs/>
                <w:sz w:val="18"/>
                <w:szCs w:val="18"/>
              </w:rPr>
              <w:t>其中：成都</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1,486.39</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7.01%</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ind w:firstLineChars="400" w:firstLine="720"/>
              <w:rPr>
                <w:rFonts w:cs="Times New Roman"/>
                <w:bCs/>
                <w:sz w:val="18"/>
                <w:szCs w:val="18"/>
              </w:rPr>
            </w:pPr>
            <w:r w:rsidRPr="006B07F0">
              <w:rPr>
                <w:rFonts w:cs="Times New Roman" w:hint="eastAsia"/>
                <w:bCs/>
                <w:sz w:val="18"/>
                <w:szCs w:val="18"/>
              </w:rPr>
              <w:lastRenderedPageBreak/>
              <w:t>贵阳</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 xml:space="preserve">391.17 </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1.84%</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rPr>
                <w:rFonts w:cs="Times New Roman"/>
                <w:bCs/>
                <w:sz w:val="18"/>
                <w:szCs w:val="18"/>
              </w:rPr>
            </w:pPr>
            <w:r w:rsidRPr="006B07F0">
              <w:rPr>
                <w:rFonts w:cs="Times New Roman" w:hint="eastAsia"/>
                <w:bCs/>
                <w:sz w:val="18"/>
                <w:szCs w:val="18"/>
              </w:rPr>
              <w:t>其他</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1,498.16</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7.06%</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ind w:firstLineChars="100" w:firstLine="180"/>
              <w:rPr>
                <w:rFonts w:cs="Times New Roman"/>
                <w:bCs/>
                <w:sz w:val="18"/>
                <w:szCs w:val="18"/>
              </w:rPr>
            </w:pPr>
            <w:r w:rsidRPr="006B07F0">
              <w:rPr>
                <w:rFonts w:cs="Times New Roman" w:hint="eastAsia"/>
                <w:bCs/>
                <w:sz w:val="18"/>
                <w:szCs w:val="18"/>
              </w:rPr>
              <w:t>其中：沈阳</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468.24</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2.21%</w:t>
            </w:r>
          </w:p>
        </w:tc>
      </w:tr>
      <w:tr w:rsidR="001E2F08" w:rsidRPr="006B07F0" w:rsidTr="001E2F08">
        <w:trPr>
          <w:trHeight w:val="397"/>
          <w:jc w:val="center"/>
        </w:trPr>
        <w:tc>
          <w:tcPr>
            <w:tcW w:w="1824" w:type="pct"/>
            <w:tcBorders>
              <w:top w:val="dotted" w:sz="4" w:space="0" w:color="auto"/>
              <w:left w:val="nil"/>
              <w:bottom w:val="dotted" w:sz="4" w:space="0" w:color="auto"/>
              <w:right w:val="dotted" w:sz="4" w:space="0" w:color="auto"/>
            </w:tcBorders>
            <w:noWrap/>
            <w:vAlign w:val="center"/>
            <w:hideMark/>
          </w:tcPr>
          <w:p w:rsidR="001E2F08" w:rsidRPr="006B07F0" w:rsidRDefault="001E2F08">
            <w:pPr>
              <w:ind w:firstLineChars="400" w:firstLine="720"/>
              <w:rPr>
                <w:rFonts w:cs="Times New Roman"/>
                <w:bCs/>
                <w:sz w:val="18"/>
                <w:szCs w:val="18"/>
              </w:rPr>
            </w:pPr>
            <w:r w:rsidRPr="006B07F0">
              <w:rPr>
                <w:rFonts w:cs="Times New Roman" w:hint="eastAsia"/>
                <w:bCs/>
                <w:sz w:val="18"/>
                <w:szCs w:val="18"/>
              </w:rPr>
              <w:t>长春</w:t>
            </w:r>
          </w:p>
        </w:tc>
        <w:tc>
          <w:tcPr>
            <w:tcW w:w="2049" w:type="pct"/>
            <w:tcBorders>
              <w:top w:val="dotted" w:sz="4" w:space="0" w:color="auto"/>
              <w:left w:val="dotted" w:sz="4" w:space="0" w:color="auto"/>
              <w:bottom w:val="dotted" w:sz="4"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 xml:space="preserve">419.48 </w:t>
            </w:r>
          </w:p>
        </w:tc>
        <w:tc>
          <w:tcPr>
            <w:tcW w:w="1128" w:type="pct"/>
            <w:tcBorders>
              <w:top w:val="dotted" w:sz="4" w:space="0" w:color="auto"/>
              <w:left w:val="dotted" w:sz="4" w:space="0" w:color="auto"/>
              <w:bottom w:val="dotted" w:sz="4"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1.98%</w:t>
            </w:r>
          </w:p>
        </w:tc>
      </w:tr>
      <w:tr w:rsidR="001E2F08" w:rsidRPr="006B07F0" w:rsidTr="001E2F08">
        <w:trPr>
          <w:trHeight w:val="397"/>
          <w:jc w:val="center"/>
        </w:trPr>
        <w:tc>
          <w:tcPr>
            <w:tcW w:w="1824" w:type="pct"/>
            <w:tcBorders>
              <w:top w:val="dotted" w:sz="4" w:space="0" w:color="auto"/>
              <w:left w:val="nil"/>
              <w:bottom w:val="single" w:sz="12" w:space="0" w:color="auto"/>
              <w:right w:val="dotted" w:sz="4" w:space="0" w:color="auto"/>
            </w:tcBorders>
            <w:noWrap/>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总计</w:t>
            </w:r>
          </w:p>
        </w:tc>
        <w:tc>
          <w:tcPr>
            <w:tcW w:w="2049" w:type="pct"/>
            <w:tcBorders>
              <w:top w:val="dotted" w:sz="4" w:space="0" w:color="auto"/>
              <w:left w:val="dotted" w:sz="4" w:space="0" w:color="auto"/>
              <w:bottom w:val="single" w:sz="12" w:space="0" w:color="auto"/>
              <w:right w:val="dotted" w:sz="4" w:space="0" w:color="auto"/>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21,206.60</w:t>
            </w:r>
          </w:p>
        </w:tc>
        <w:tc>
          <w:tcPr>
            <w:tcW w:w="1128" w:type="pct"/>
            <w:tcBorders>
              <w:top w:val="dotted" w:sz="4" w:space="0" w:color="auto"/>
              <w:left w:val="dotted" w:sz="4" w:space="0" w:color="auto"/>
              <w:bottom w:val="single" w:sz="12" w:space="0" w:color="auto"/>
              <w:right w:val="nil"/>
            </w:tcBorders>
            <w:noWrap/>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100.00%</w:t>
            </w:r>
          </w:p>
        </w:tc>
      </w:tr>
    </w:tbl>
    <w:p w:rsidR="001E2F08" w:rsidRPr="006B07F0" w:rsidRDefault="001E2F08" w:rsidP="001E2F08">
      <w:pPr>
        <w:spacing w:beforeLines="50" w:before="163" w:line="360" w:lineRule="auto"/>
        <w:ind w:firstLineChars="200" w:firstLine="420"/>
        <w:rPr>
          <w:rFonts w:cs="Times New Roman"/>
          <w:bCs/>
          <w:kern w:val="2"/>
          <w:sz w:val="21"/>
          <w:szCs w:val="21"/>
        </w:rPr>
      </w:pPr>
      <w:r w:rsidRPr="006B07F0">
        <w:rPr>
          <w:rFonts w:cs="Times New Roman" w:hint="eastAsia"/>
          <w:bCs/>
          <w:color w:val="000000"/>
          <w:sz w:val="21"/>
          <w:szCs w:val="21"/>
          <w:lang w:bidi="en-US"/>
        </w:rPr>
        <w:t>从在手订单区域分布情况来看，主要分布在华东、华南、华北区域，在各区域及城市之间分布较为广泛。</w:t>
      </w:r>
    </w:p>
    <w:p w:rsidR="001E2F08" w:rsidRPr="006B07F0" w:rsidRDefault="001E2F08" w:rsidP="001E2F08">
      <w:pPr>
        <w:pStyle w:val="ad"/>
        <w:spacing w:before="163" w:after="163"/>
        <w:ind w:firstLine="422"/>
        <w:rPr>
          <w:rFonts w:ascii="宋体" w:eastAsia="宋体" w:hAnsi="宋体"/>
          <w:bCs w:val="0"/>
          <w:sz w:val="21"/>
          <w:szCs w:val="21"/>
        </w:rPr>
      </w:pPr>
      <w:r w:rsidRPr="006B07F0">
        <w:rPr>
          <w:rFonts w:ascii="宋体" w:eastAsia="宋体" w:hAnsi="宋体" w:hint="eastAsia"/>
          <w:bCs w:val="0"/>
          <w:sz w:val="21"/>
          <w:szCs w:val="21"/>
        </w:rPr>
        <w:t>（二）结合在手订单、业务拓展计划等因素，补充披露未来</w:t>
      </w:r>
      <w:proofErr w:type="gramStart"/>
      <w:r w:rsidRPr="006B07F0">
        <w:rPr>
          <w:rFonts w:ascii="宋体" w:eastAsia="宋体" w:hAnsi="宋体" w:hint="eastAsia"/>
          <w:bCs w:val="0"/>
          <w:sz w:val="21"/>
          <w:szCs w:val="21"/>
        </w:rPr>
        <w:t>对保利</w:t>
      </w:r>
      <w:proofErr w:type="gramEnd"/>
      <w:r w:rsidRPr="006B07F0">
        <w:rPr>
          <w:rFonts w:ascii="宋体" w:eastAsia="宋体" w:hAnsi="宋体" w:hint="eastAsia"/>
          <w:bCs w:val="0"/>
          <w:sz w:val="21"/>
          <w:szCs w:val="21"/>
        </w:rPr>
        <w:t>和其他客户的收入预计实现及占比情况，客观、充分披露发行人客户集中度较高特别是第一大客户占比高的风险，并做重大风险提示</w:t>
      </w:r>
    </w:p>
    <w:p w:rsidR="001E2F08" w:rsidRPr="006B07F0" w:rsidRDefault="001E2F08" w:rsidP="001E2F08">
      <w:pPr>
        <w:pStyle w:val="12"/>
        <w:spacing w:before="163" w:after="163"/>
        <w:ind w:firstLine="420"/>
        <w:rPr>
          <w:rFonts w:ascii="宋体" w:hAnsi="宋体" w:cs="Times New Roman"/>
          <w:bCs/>
          <w:color w:val="000000"/>
          <w:sz w:val="21"/>
          <w:szCs w:val="21"/>
          <w:lang w:bidi="en-US"/>
        </w:rPr>
      </w:pPr>
      <w:r w:rsidRPr="006B07F0">
        <w:rPr>
          <w:rFonts w:ascii="宋体" w:hAnsi="宋体" w:cs="Times New Roman"/>
          <w:bCs/>
          <w:color w:val="000000"/>
          <w:sz w:val="21"/>
          <w:szCs w:val="21"/>
          <w:lang w:bidi="en-US"/>
        </w:rPr>
        <w:t>1</w:t>
      </w:r>
      <w:r w:rsidRPr="006B07F0">
        <w:rPr>
          <w:rFonts w:ascii="宋体" w:hAnsi="宋体" w:cs="Times New Roman" w:hint="eastAsia"/>
          <w:bCs/>
          <w:color w:val="000000"/>
          <w:sz w:val="21"/>
          <w:szCs w:val="21"/>
          <w:lang w:bidi="en-US"/>
        </w:rPr>
        <w:t>、</w:t>
      </w:r>
      <w:r w:rsidRPr="006B07F0">
        <w:rPr>
          <w:rFonts w:ascii="宋体" w:hAnsi="宋体" w:hint="eastAsia"/>
          <w:bCs/>
          <w:sz w:val="21"/>
          <w:szCs w:val="21"/>
        </w:rPr>
        <w:t>结合在手订单、业务拓展计划等因素，补充披露未来</w:t>
      </w:r>
      <w:proofErr w:type="gramStart"/>
      <w:r w:rsidRPr="006B07F0">
        <w:rPr>
          <w:rFonts w:ascii="宋体" w:hAnsi="宋体" w:hint="eastAsia"/>
          <w:bCs/>
          <w:sz w:val="21"/>
          <w:szCs w:val="21"/>
        </w:rPr>
        <w:t>对保利</w:t>
      </w:r>
      <w:proofErr w:type="gramEnd"/>
      <w:r w:rsidRPr="006B07F0">
        <w:rPr>
          <w:rFonts w:ascii="宋体" w:hAnsi="宋体" w:hint="eastAsia"/>
          <w:bCs/>
          <w:sz w:val="21"/>
          <w:szCs w:val="21"/>
        </w:rPr>
        <w:t>和其他客户的收入预计实现及占比情况</w:t>
      </w:r>
    </w:p>
    <w:p w:rsidR="001E2F08" w:rsidRPr="006B07F0" w:rsidRDefault="001E2F08" w:rsidP="001E2F08">
      <w:pPr>
        <w:pStyle w:val="ae"/>
        <w:spacing w:before="163" w:after="163"/>
        <w:ind w:firstLine="420"/>
        <w:rPr>
          <w:rFonts w:ascii="宋体" w:eastAsia="宋体" w:hAnsi="宋体"/>
          <w:b w:val="0"/>
          <w:sz w:val="21"/>
          <w:szCs w:val="21"/>
        </w:rPr>
      </w:pPr>
      <w:bookmarkStart w:id="4" w:name="_Hlk58849473"/>
      <w:r w:rsidRPr="006B07F0">
        <w:rPr>
          <w:rFonts w:ascii="宋体" w:eastAsia="宋体" w:hAnsi="宋体" w:hint="eastAsia"/>
          <w:b w:val="0"/>
          <w:sz w:val="21"/>
          <w:szCs w:val="21"/>
        </w:rPr>
        <w:t>预计</w:t>
      </w:r>
      <w:r w:rsidRPr="006B07F0">
        <w:rPr>
          <w:rFonts w:ascii="宋体" w:eastAsia="宋体" w:hAnsi="宋体"/>
          <w:b w:val="0"/>
          <w:sz w:val="21"/>
          <w:szCs w:val="21"/>
        </w:rPr>
        <w:t>2021</w:t>
      </w:r>
      <w:r w:rsidRPr="006B07F0">
        <w:rPr>
          <w:rFonts w:ascii="宋体" w:eastAsia="宋体" w:hAnsi="宋体" w:hint="eastAsia"/>
          <w:b w:val="0"/>
          <w:sz w:val="21"/>
          <w:szCs w:val="21"/>
        </w:rPr>
        <w:t>年及后续年度，公司营业收入将呈现逐年稳定增长的态势，并随着公司经营规模的持续扩大、非保利客户</w:t>
      </w:r>
      <w:proofErr w:type="gramStart"/>
      <w:r w:rsidRPr="006B07F0">
        <w:rPr>
          <w:rFonts w:ascii="宋体" w:eastAsia="宋体" w:hAnsi="宋体" w:hint="eastAsia"/>
          <w:b w:val="0"/>
          <w:sz w:val="21"/>
          <w:szCs w:val="21"/>
        </w:rPr>
        <w:t>拓展成效</w:t>
      </w:r>
      <w:proofErr w:type="gramEnd"/>
      <w:r w:rsidRPr="006B07F0">
        <w:rPr>
          <w:rFonts w:ascii="宋体" w:eastAsia="宋体" w:hAnsi="宋体" w:hint="eastAsia"/>
          <w:b w:val="0"/>
          <w:sz w:val="21"/>
          <w:szCs w:val="21"/>
        </w:rPr>
        <w:t>的逐步显现，</w:t>
      </w:r>
      <w:proofErr w:type="gramStart"/>
      <w:r w:rsidRPr="006B07F0">
        <w:rPr>
          <w:rFonts w:ascii="宋体" w:eastAsia="宋体" w:hAnsi="宋体" w:hint="eastAsia"/>
          <w:b w:val="0"/>
          <w:sz w:val="21"/>
          <w:szCs w:val="21"/>
        </w:rPr>
        <w:t>对保利</w:t>
      </w:r>
      <w:proofErr w:type="gramEnd"/>
      <w:r w:rsidRPr="006B07F0">
        <w:rPr>
          <w:rFonts w:ascii="宋体" w:eastAsia="宋体" w:hAnsi="宋体" w:hint="eastAsia"/>
          <w:b w:val="0"/>
          <w:sz w:val="21"/>
          <w:szCs w:val="21"/>
        </w:rPr>
        <w:t>的收入占比将有望降低、对非保利的收入占比将有望提升。</w:t>
      </w:r>
      <w:bookmarkEnd w:id="4"/>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b w:val="0"/>
          <w:sz w:val="21"/>
          <w:szCs w:val="21"/>
        </w:rPr>
        <w:t>2</w:t>
      </w:r>
      <w:r w:rsidRPr="006B07F0">
        <w:rPr>
          <w:rFonts w:ascii="宋体" w:eastAsia="宋体" w:hAnsi="宋体" w:hint="eastAsia"/>
          <w:b w:val="0"/>
          <w:sz w:val="21"/>
          <w:szCs w:val="21"/>
        </w:rPr>
        <w:t>、客观、充分披露发行人客户集中度较高特别是第一大客户占比高的风险，并做重大风险提示</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报告期各期，公司前五名客户销售占比分别为</w:t>
      </w:r>
      <w:r w:rsidRPr="006B07F0">
        <w:rPr>
          <w:rFonts w:ascii="宋体" w:eastAsia="宋体" w:hAnsi="宋体"/>
          <w:b w:val="0"/>
          <w:sz w:val="21"/>
          <w:szCs w:val="21"/>
        </w:rPr>
        <w:t>61.06%</w:t>
      </w:r>
      <w:r w:rsidRPr="006B07F0">
        <w:rPr>
          <w:rFonts w:ascii="宋体" w:eastAsia="宋体" w:hAnsi="宋体" w:hint="eastAsia"/>
          <w:b w:val="0"/>
          <w:sz w:val="21"/>
          <w:szCs w:val="21"/>
        </w:rPr>
        <w:t>、</w:t>
      </w:r>
      <w:r w:rsidRPr="006B07F0">
        <w:rPr>
          <w:rFonts w:ascii="宋体" w:eastAsia="宋体" w:hAnsi="宋体"/>
          <w:b w:val="0"/>
          <w:sz w:val="21"/>
          <w:szCs w:val="21"/>
        </w:rPr>
        <w:t>65.58%</w:t>
      </w:r>
      <w:r w:rsidRPr="006B07F0">
        <w:rPr>
          <w:rFonts w:ascii="宋体" w:eastAsia="宋体" w:hAnsi="宋体" w:hint="eastAsia"/>
          <w:b w:val="0"/>
          <w:sz w:val="21"/>
          <w:szCs w:val="21"/>
        </w:rPr>
        <w:t>、62.49%，其中，</w:t>
      </w:r>
      <w:proofErr w:type="gramStart"/>
      <w:r w:rsidRPr="006B07F0">
        <w:rPr>
          <w:rFonts w:ascii="宋体" w:eastAsia="宋体" w:hAnsi="宋体" w:hint="eastAsia"/>
          <w:b w:val="0"/>
          <w:sz w:val="21"/>
          <w:szCs w:val="21"/>
        </w:rPr>
        <w:t>对保利</w:t>
      </w:r>
      <w:proofErr w:type="gramEnd"/>
      <w:r w:rsidRPr="006B07F0">
        <w:rPr>
          <w:rFonts w:ascii="宋体" w:eastAsia="宋体" w:hAnsi="宋体" w:hint="eastAsia"/>
          <w:b w:val="0"/>
          <w:sz w:val="21"/>
          <w:szCs w:val="21"/>
        </w:rPr>
        <w:t>的收入占比分别为</w:t>
      </w:r>
      <w:r w:rsidRPr="006B07F0">
        <w:rPr>
          <w:rFonts w:ascii="宋体" w:eastAsia="宋体" w:hAnsi="宋体"/>
          <w:b w:val="0"/>
          <w:sz w:val="21"/>
          <w:szCs w:val="21"/>
        </w:rPr>
        <w:t>42.20%</w:t>
      </w:r>
      <w:r w:rsidRPr="006B07F0">
        <w:rPr>
          <w:rFonts w:ascii="宋体" w:eastAsia="宋体" w:hAnsi="宋体" w:hint="eastAsia"/>
          <w:b w:val="0"/>
          <w:sz w:val="21"/>
          <w:szCs w:val="21"/>
        </w:rPr>
        <w:t>、</w:t>
      </w:r>
      <w:r w:rsidRPr="006B07F0">
        <w:rPr>
          <w:rFonts w:ascii="宋体" w:eastAsia="宋体" w:hAnsi="宋体"/>
          <w:b w:val="0"/>
          <w:sz w:val="21"/>
          <w:szCs w:val="21"/>
        </w:rPr>
        <w:t>46.01%</w:t>
      </w:r>
      <w:r w:rsidRPr="006B07F0">
        <w:rPr>
          <w:rFonts w:ascii="宋体" w:eastAsia="宋体" w:hAnsi="宋体" w:hint="eastAsia"/>
          <w:b w:val="0"/>
          <w:sz w:val="21"/>
          <w:szCs w:val="21"/>
        </w:rPr>
        <w:t>、51.95%，</w:t>
      </w:r>
      <w:proofErr w:type="gramStart"/>
      <w:r w:rsidRPr="006B07F0">
        <w:rPr>
          <w:rFonts w:ascii="宋体" w:eastAsia="宋体" w:hAnsi="宋体" w:hint="eastAsia"/>
          <w:b w:val="0"/>
          <w:sz w:val="21"/>
          <w:szCs w:val="21"/>
        </w:rPr>
        <w:t>占比较</w:t>
      </w:r>
      <w:proofErr w:type="gramEnd"/>
      <w:r w:rsidRPr="006B07F0">
        <w:rPr>
          <w:rFonts w:ascii="宋体" w:eastAsia="宋体" w:hAnsi="宋体" w:hint="eastAsia"/>
          <w:b w:val="0"/>
          <w:sz w:val="21"/>
          <w:szCs w:val="21"/>
        </w:rPr>
        <w:t>高。报告期各期，公司的业务收入呈现出前五名客户集中度高、特别是第一大客户占比高的情形，存在一定的客户集中风险。报告期内，公司</w:t>
      </w:r>
      <w:proofErr w:type="gramStart"/>
      <w:r w:rsidRPr="006B07F0">
        <w:rPr>
          <w:rFonts w:ascii="宋体" w:eastAsia="宋体" w:hAnsi="宋体" w:hint="eastAsia"/>
          <w:b w:val="0"/>
          <w:sz w:val="21"/>
          <w:szCs w:val="21"/>
        </w:rPr>
        <w:t>对保利</w:t>
      </w:r>
      <w:proofErr w:type="gramEnd"/>
      <w:r w:rsidRPr="006B07F0">
        <w:rPr>
          <w:rFonts w:ascii="宋体" w:eastAsia="宋体" w:hAnsi="宋体" w:hint="eastAsia"/>
          <w:b w:val="0"/>
          <w:sz w:val="21"/>
          <w:szCs w:val="21"/>
        </w:rPr>
        <w:t>的业务主要集中在华东、华南区域，若未来公司未能持续保持与保利的业务合作关系，将对公司经营业绩构成不利影响。</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未来，如果公司的技术服务能力无法持续满足下游客户需求，并最终导致双方合作关系终止，或者下游主要客户的经营状况或业务结构发生重大不利变化，使得公司不能继续维持与下游客户的良好合作关系，短期内将影响公司合同订单情况，则将对公司的盈利水平产生一定的不利影响。</w:t>
      </w:r>
    </w:p>
    <w:p w:rsidR="001E2F08" w:rsidRPr="006B07F0" w:rsidRDefault="001E2F08" w:rsidP="001E2F08">
      <w:pPr>
        <w:pStyle w:val="ad"/>
        <w:spacing w:before="163" w:after="163"/>
        <w:ind w:firstLine="422"/>
        <w:rPr>
          <w:rFonts w:ascii="宋体" w:eastAsia="宋体" w:hAnsi="宋体"/>
          <w:bCs w:val="0"/>
          <w:sz w:val="21"/>
          <w:szCs w:val="21"/>
        </w:rPr>
      </w:pPr>
      <w:r w:rsidRPr="006B07F0">
        <w:rPr>
          <w:rFonts w:ascii="宋体" w:eastAsia="宋体" w:hAnsi="宋体" w:hint="eastAsia"/>
          <w:bCs w:val="0"/>
          <w:sz w:val="21"/>
          <w:szCs w:val="21"/>
        </w:rPr>
        <w:lastRenderedPageBreak/>
        <w:t>（三）结合主要客户变动较大、客户经营情况及面临的地域限制等因素，补充披露发行人业务发展的可持续性，房地产调控政策对发行人经营业绩的影响，并做重大风险提示</w:t>
      </w:r>
    </w:p>
    <w:p w:rsidR="001E2F08" w:rsidRPr="006B07F0" w:rsidRDefault="001E2F08" w:rsidP="001E2F08">
      <w:pPr>
        <w:pStyle w:val="12"/>
        <w:spacing w:before="163" w:after="163"/>
        <w:ind w:firstLine="420"/>
        <w:rPr>
          <w:rFonts w:ascii="宋体" w:hAnsi="宋体"/>
          <w:bCs/>
          <w:sz w:val="21"/>
          <w:szCs w:val="21"/>
        </w:rPr>
      </w:pPr>
      <w:r w:rsidRPr="006B07F0">
        <w:rPr>
          <w:rFonts w:ascii="宋体" w:hAnsi="宋体"/>
          <w:bCs/>
          <w:sz w:val="21"/>
          <w:szCs w:val="21"/>
        </w:rPr>
        <w:t>1</w:t>
      </w:r>
      <w:r w:rsidRPr="006B07F0">
        <w:rPr>
          <w:rFonts w:ascii="宋体" w:hAnsi="宋体" w:hint="eastAsia"/>
          <w:bCs/>
          <w:sz w:val="21"/>
          <w:szCs w:val="21"/>
        </w:rPr>
        <w:t>、结合主要客户变动较大、客户经营情况及面临的地域限制等因素，补充披露发行人业务发展的可持续性</w:t>
      </w:r>
    </w:p>
    <w:p w:rsidR="001E2F08" w:rsidRPr="006B07F0" w:rsidRDefault="001E2F08" w:rsidP="001E2F08">
      <w:pPr>
        <w:pStyle w:val="12"/>
        <w:spacing w:before="163" w:after="163"/>
        <w:ind w:firstLine="420"/>
        <w:rPr>
          <w:rFonts w:ascii="宋体" w:hAnsi="宋体" w:cs="Times New Roman"/>
          <w:bCs/>
          <w:color w:val="000000"/>
          <w:sz w:val="21"/>
          <w:szCs w:val="21"/>
          <w:lang w:bidi="en-US"/>
        </w:rPr>
      </w:pPr>
      <w:r w:rsidRPr="006B07F0">
        <w:rPr>
          <w:rFonts w:ascii="宋体" w:hAnsi="宋体" w:cs="Times New Roman" w:hint="eastAsia"/>
          <w:bCs/>
          <w:color w:val="000000"/>
          <w:sz w:val="21"/>
          <w:szCs w:val="21"/>
          <w:lang w:bidi="en-US"/>
        </w:rPr>
        <w:t>报告期内，发行人主要客户变动情况如下：其一，报告期各期，发行人第一大客户均为保利，交易规模呈现逐年稳定上升趋势；其二，报告期内，发行人进一步强化、加深了对国内一线开发商客户绿地、</w:t>
      </w:r>
      <w:proofErr w:type="gramStart"/>
      <w:r w:rsidRPr="006B07F0">
        <w:rPr>
          <w:rFonts w:ascii="宋体" w:hAnsi="宋体" w:cs="Times New Roman" w:hint="eastAsia"/>
          <w:bCs/>
          <w:color w:val="000000"/>
          <w:sz w:val="21"/>
          <w:szCs w:val="21"/>
          <w:lang w:bidi="en-US"/>
        </w:rPr>
        <w:t>世</w:t>
      </w:r>
      <w:proofErr w:type="gramEnd"/>
      <w:r w:rsidRPr="006B07F0">
        <w:rPr>
          <w:rFonts w:ascii="宋体" w:hAnsi="宋体" w:cs="Times New Roman" w:hint="eastAsia"/>
          <w:bCs/>
          <w:color w:val="000000"/>
          <w:sz w:val="21"/>
          <w:szCs w:val="21"/>
          <w:lang w:bidi="en-US"/>
        </w:rPr>
        <w:t>茂等的开拓力度，该等客户自</w:t>
      </w:r>
      <w:r w:rsidRPr="006B07F0">
        <w:rPr>
          <w:rFonts w:ascii="宋体" w:hAnsi="宋体" w:cs="Times New Roman"/>
          <w:bCs/>
          <w:color w:val="000000"/>
          <w:sz w:val="21"/>
          <w:szCs w:val="21"/>
          <w:lang w:bidi="en-US"/>
        </w:rPr>
        <w:t>2018</w:t>
      </w:r>
      <w:r w:rsidRPr="006B07F0">
        <w:rPr>
          <w:rFonts w:ascii="宋体" w:hAnsi="宋体" w:cs="Times New Roman" w:hint="eastAsia"/>
          <w:bCs/>
          <w:color w:val="000000"/>
          <w:sz w:val="21"/>
          <w:szCs w:val="21"/>
          <w:lang w:bidi="en-US"/>
        </w:rPr>
        <w:t>年起进入发行人主要客户并在后续年度持续保持稳定业务；其三，报告期内，发行人凭借自身在行业内的综合优势，持续开拓如阳光城、北京北辰等国内知名开发商客户以及区域优质客户，由于在报告期内与该等客户交易规模相对较小、且多为具体项目的合作，因此该等客户在年度间存在一定的波动。</w:t>
      </w:r>
    </w:p>
    <w:p w:rsidR="001E2F08" w:rsidRPr="006B07F0" w:rsidRDefault="001E2F08" w:rsidP="001E2F08">
      <w:pPr>
        <w:pStyle w:val="12"/>
        <w:spacing w:before="163" w:after="163"/>
        <w:ind w:firstLine="420"/>
        <w:rPr>
          <w:rFonts w:ascii="宋体" w:hAnsi="宋体" w:cs="Times New Roman"/>
          <w:bCs/>
          <w:color w:val="000000"/>
          <w:sz w:val="21"/>
          <w:szCs w:val="21"/>
          <w:lang w:bidi="en-US"/>
        </w:rPr>
      </w:pPr>
      <w:r w:rsidRPr="006B07F0">
        <w:rPr>
          <w:rFonts w:ascii="宋体" w:hAnsi="宋体" w:cs="Times New Roman" w:hint="eastAsia"/>
          <w:bCs/>
          <w:color w:val="000000"/>
          <w:sz w:val="21"/>
          <w:szCs w:val="21"/>
          <w:lang w:bidi="en-US"/>
        </w:rPr>
        <w:t>整体看来，报告期内，发行人主要客户均为具有全国品牌影响力的大型房地产企业，自身经营业绩稳定，资信情况良好，市场竞争力较强，有力的支撑了发行人业务的可持续发展。</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发行人业务发展具有可持续性，具体分析如下：</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w:t>
      </w:r>
      <w:r w:rsidRPr="006B07F0">
        <w:rPr>
          <w:rFonts w:ascii="宋体" w:eastAsia="宋体" w:hAnsi="宋体"/>
          <w:b w:val="0"/>
          <w:sz w:val="21"/>
          <w:szCs w:val="21"/>
        </w:rPr>
        <w:t>1</w:t>
      </w:r>
      <w:r w:rsidRPr="006B07F0">
        <w:rPr>
          <w:rFonts w:ascii="宋体" w:eastAsia="宋体" w:hAnsi="宋体" w:hint="eastAsia"/>
          <w:b w:val="0"/>
          <w:sz w:val="21"/>
          <w:szCs w:val="21"/>
        </w:rPr>
        <w:t>）发行人下游房地产行业市场空间稳定增长</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在新型城镇化进程快速推进、居民住房消费全面升级的宏观背景下，房地产</w:t>
      </w:r>
      <w:r w:rsidRPr="006B07F0">
        <w:rPr>
          <w:rFonts w:ascii="宋体" w:eastAsia="宋体" w:hAnsi="宋体"/>
          <w:b w:val="0"/>
          <w:sz w:val="21"/>
          <w:szCs w:val="21"/>
        </w:rPr>
        <w:t xml:space="preserve"> </w:t>
      </w:r>
      <w:r w:rsidRPr="006B07F0">
        <w:rPr>
          <w:rFonts w:ascii="宋体" w:eastAsia="宋体" w:hAnsi="宋体" w:hint="eastAsia"/>
          <w:b w:val="0"/>
          <w:sz w:val="21"/>
          <w:szCs w:val="21"/>
        </w:rPr>
        <w:t>市场逐渐进入平稳发展阶段。</w:t>
      </w:r>
      <w:r w:rsidRPr="006B07F0">
        <w:rPr>
          <w:rFonts w:ascii="宋体" w:eastAsia="宋体" w:hAnsi="宋体"/>
          <w:b w:val="0"/>
          <w:sz w:val="21"/>
          <w:szCs w:val="21"/>
        </w:rPr>
        <w:t xml:space="preserve">2017 </w:t>
      </w:r>
      <w:r w:rsidRPr="006B07F0">
        <w:rPr>
          <w:rFonts w:ascii="宋体" w:eastAsia="宋体" w:hAnsi="宋体" w:hint="eastAsia"/>
          <w:b w:val="0"/>
          <w:sz w:val="21"/>
          <w:szCs w:val="21"/>
        </w:rPr>
        <w:t>年至</w:t>
      </w:r>
      <w:r w:rsidRPr="006B07F0">
        <w:rPr>
          <w:rFonts w:ascii="宋体" w:eastAsia="宋体" w:hAnsi="宋体"/>
          <w:b w:val="0"/>
          <w:sz w:val="21"/>
          <w:szCs w:val="21"/>
        </w:rPr>
        <w:t xml:space="preserve"> 2019 </w:t>
      </w:r>
      <w:r w:rsidRPr="006B07F0">
        <w:rPr>
          <w:rFonts w:ascii="宋体" w:eastAsia="宋体" w:hAnsi="宋体" w:hint="eastAsia"/>
          <w:b w:val="0"/>
          <w:sz w:val="21"/>
          <w:szCs w:val="21"/>
        </w:rPr>
        <w:t>年，全国房地产开发投资额分别为</w:t>
      </w:r>
      <w:r w:rsidRPr="006B07F0">
        <w:rPr>
          <w:rFonts w:ascii="宋体" w:eastAsia="宋体" w:hAnsi="宋体"/>
          <w:b w:val="0"/>
          <w:sz w:val="21"/>
          <w:szCs w:val="21"/>
        </w:rPr>
        <w:t xml:space="preserve"> 109,798.53 </w:t>
      </w:r>
      <w:r w:rsidRPr="006B07F0">
        <w:rPr>
          <w:rFonts w:ascii="宋体" w:eastAsia="宋体" w:hAnsi="宋体" w:hint="eastAsia"/>
          <w:b w:val="0"/>
          <w:sz w:val="21"/>
          <w:szCs w:val="21"/>
        </w:rPr>
        <w:t>亿元、</w:t>
      </w:r>
      <w:r w:rsidRPr="006B07F0">
        <w:rPr>
          <w:rFonts w:ascii="宋体" w:eastAsia="宋体" w:hAnsi="宋体"/>
          <w:b w:val="0"/>
          <w:sz w:val="21"/>
          <w:szCs w:val="21"/>
        </w:rPr>
        <w:t xml:space="preserve">120,263.51 </w:t>
      </w:r>
      <w:r w:rsidRPr="006B07F0">
        <w:rPr>
          <w:rFonts w:ascii="宋体" w:eastAsia="宋体" w:hAnsi="宋体" w:hint="eastAsia"/>
          <w:b w:val="0"/>
          <w:sz w:val="21"/>
          <w:szCs w:val="21"/>
        </w:rPr>
        <w:t>亿元和</w:t>
      </w:r>
      <w:r w:rsidRPr="006B07F0">
        <w:rPr>
          <w:rFonts w:ascii="宋体" w:eastAsia="宋体" w:hAnsi="宋体"/>
          <w:b w:val="0"/>
          <w:sz w:val="21"/>
          <w:szCs w:val="21"/>
        </w:rPr>
        <w:t xml:space="preserve"> 132,194.00 </w:t>
      </w:r>
      <w:r w:rsidRPr="006B07F0">
        <w:rPr>
          <w:rFonts w:ascii="宋体" w:eastAsia="宋体" w:hAnsi="宋体" w:hint="eastAsia"/>
          <w:b w:val="0"/>
          <w:sz w:val="21"/>
          <w:szCs w:val="21"/>
        </w:rPr>
        <w:t>亿元，同比增长</w:t>
      </w:r>
      <w:r w:rsidRPr="006B07F0">
        <w:rPr>
          <w:rFonts w:ascii="宋体" w:eastAsia="宋体" w:hAnsi="宋体"/>
          <w:b w:val="0"/>
          <w:sz w:val="21"/>
          <w:szCs w:val="21"/>
        </w:rPr>
        <w:t xml:space="preserve"> 7.04%</w:t>
      </w:r>
      <w:r w:rsidRPr="006B07F0">
        <w:rPr>
          <w:rFonts w:ascii="宋体" w:eastAsia="宋体" w:hAnsi="宋体" w:hint="eastAsia"/>
          <w:b w:val="0"/>
          <w:sz w:val="21"/>
          <w:szCs w:val="21"/>
        </w:rPr>
        <w:t>、</w:t>
      </w:r>
      <w:r w:rsidRPr="006B07F0">
        <w:rPr>
          <w:rFonts w:ascii="宋体" w:eastAsia="宋体" w:hAnsi="宋体"/>
          <w:b w:val="0"/>
          <w:sz w:val="21"/>
          <w:szCs w:val="21"/>
        </w:rPr>
        <w:t>9.53%</w:t>
      </w:r>
      <w:r w:rsidRPr="006B07F0">
        <w:rPr>
          <w:rFonts w:ascii="宋体" w:eastAsia="宋体" w:hAnsi="宋体" w:hint="eastAsia"/>
          <w:b w:val="0"/>
          <w:sz w:val="21"/>
          <w:szCs w:val="21"/>
        </w:rPr>
        <w:t>和</w:t>
      </w:r>
      <w:r w:rsidRPr="006B07F0">
        <w:rPr>
          <w:rFonts w:ascii="宋体" w:eastAsia="宋体" w:hAnsi="宋体"/>
          <w:b w:val="0"/>
          <w:sz w:val="21"/>
          <w:szCs w:val="21"/>
        </w:rPr>
        <w:t xml:space="preserve"> 9.92%</w:t>
      </w:r>
      <w:r w:rsidRPr="006B07F0">
        <w:rPr>
          <w:rFonts w:ascii="宋体" w:eastAsia="宋体" w:hAnsi="宋体" w:hint="eastAsia"/>
          <w:b w:val="0"/>
          <w:sz w:val="21"/>
          <w:szCs w:val="21"/>
        </w:rPr>
        <w:t>，</w:t>
      </w:r>
      <w:r w:rsidRPr="006B07F0">
        <w:rPr>
          <w:rFonts w:ascii="宋体" w:eastAsia="宋体" w:hAnsi="宋体" w:hint="eastAsia"/>
          <w:b w:val="0"/>
          <w:iCs/>
          <w:sz w:val="21"/>
          <w:szCs w:val="21"/>
        </w:rPr>
        <w:t>2020年，全国房地产开发投资额为141,443亿元，同比增长7.0%</w:t>
      </w:r>
      <w:r w:rsidRPr="006B07F0">
        <w:rPr>
          <w:rFonts w:ascii="宋体" w:eastAsia="宋体" w:hAnsi="宋体"/>
          <w:b w:val="0"/>
          <w:sz w:val="21"/>
          <w:szCs w:val="21"/>
        </w:rPr>
        <w:t>,</w:t>
      </w:r>
      <w:r w:rsidRPr="006B07F0">
        <w:rPr>
          <w:rFonts w:ascii="宋体" w:eastAsia="宋体" w:hAnsi="宋体" w:hint="eastAsia"/>
          <w:b w:val="0"/>
          <w:sz w:val="21"/>
          <w:szCs w:val="21"/>
        </w:rPr>
        <w:t>总体呈现</w:t>
      </w:r>
      <w:r w:rsidRPr="006B07F0">
        <w:rPr>
          <w:rFonts w:ascii="宋体" w:eastAsia="宋体" w:hAnsi="宋体"/>
          <w:b w:val="0"/>
          <w:sz w:val="21"/>
          <w:szCs w:val="21"/>
        </w:rPr>
        <w:t>“</w:t>
      </w:r>
      <w:r w:rsidRPr="006B07F0">
        <w:rPr>
          <w:rFonts w:ascii="宋体" w:eastAsia="宋体" w:hAnsi="宋体" w:hint="eastAsia"/>
          <w:b w:val="0"/>
          <w:sz w:val="21"/>
          <w:szCs w:val="21"/>
        </w:rPr>
        <w:t>稳中有增</w:t>
      </w:r>
      <w:r w:rsidRPr="006B07F0">
        <w:rPr>
          <w:rFonts w:ascii="宋体" w:eastAsia="宋体" w:hAnsi="宋体"/>
          <w:b w:val="0"/>
          <w:sz w:val="21"/>
          <w:szCs w:val="21"/>
        </w:rPr>
        <w:t>”</w:t>
      </w:r>
      <w:r w:rsidRPr="006B07F0">
        <w:rPr>
          <w:rFonts w:ascii="宋体" w:eastAsia="宋体" w:hAnsi="宋体" w:hint="eastAsia"/>
          <w:b w:val="0"/>
          <w:sz w:val="21"/>
          <w:szCs w:val="21"/>
        </w:rPr>
        <w:t>的良性态势，从而为建筑设计行业的下游市场需求创造了稳定、合理、持续的增长空间。</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w:t>
      </w:r>
      <w:r w:rsidRPr="006B07F0">
        <w:rPr>
          <w:rFonts w:ascii="宋体" w:eastAsia="宋体" w:hAnsi="宋体"/>
          <w:b w:val="0"/>
          <w:sz w:val="21"/>
          <w:szCs w:val="21"/>
        </w:rPr>
        <w:t>2</w:t>
      </w:r>
      <w:r w:rsidRPr="006B07F0">
        <w:rPr>
          <w:rFonts w:ascii="宋体" w:eastAsia="宋体" w:hAnsi="宋体" w:hint="eastAsia"/>
          <w:b w:val="0"/>
          <w:sz w:val="21"/>
          <w:szCs w:val="21"/>
        </w:rPr>
        <w:t>）房地产行业集中度持续提升为发行人业务发展带来了新的机遇</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在房地产宏观调控的背景下，房地产行业进入新的整合期，行业内资本实力较强、具有品牌影响力的大中型房地产企业的销售规模</w:t>
      </w:r>
      <w:proofErr w:type="gramStart"/>
      <w:r w:rsidRPr="006B07F0">
        <w:rPr>
          <w:rFonts w:ascii="宋体" w:eastAsia="宋体" w:hAnsi="宋体" w:hint="eastAsia"/>
          <w:b w:val="0"/>
          <w:sz w:val="21"/>
          <w:szCs w:val="21"/>
        </w:rPr>
        <w:t>及集中</w:t>
      </w:r>
      <w:proofErr w:type="gramEnd"/>
      <w:r w:rsidRPr="006B07F0">
        <w:rPr>
          <w:rFonts w:ascii="宋体" w:eastAsia="宋体" w:hAnsi="宋体" w:hint="eastAsia"/>
          <w:b w:val="0"/>
          <w:sz w:val="21"/>
          <w:szCs w:val="21"/>
        </w:rPr>
        <w:t>度进一步提升，</w:t>
      </w:r>
      <w:proofErr w:type="gramStart"/>
      <w:r w:rsidRPr="006B07F0">
        <w:rPr>
          <w:rFonts w:ascii="宋体" w:eastAsia="宋体" w:hAnsi="宋体" w:hint="eastAsia"/>
          <w:b w:val="0"/>
          <w:sz w:val="21"/>
          <w:szCs w:val="21"/>
        </w:rPr>
        <w:t>房企规模</w:t>
      </w:r>
      <w:proofErr w:type="gramEnd"/>
      <w:r w:rsidRPr="006B07F0">
        <w:rPr>
          <w:rFonts w:ascii="宋体" w:eastAsia="宋体" w:hAnsi="宋体" w:hint="eastAsia"/>
          <w:b w:val="0"/>
          <w:sz w:val="21"/>
          <w:szCs w:val="21"/>
        </w:rPr>
        <w:t>分化格局持续加大。根据中国房地产业协会发布的《中国房地产开发企业</w:t>
      </w:r>
      <w:r w:rsidRPr="006B07F0">
        <w:rPr>
          <w:rFonts w:ascii="宋体" w:eastAsia="宋体" w:hAnsi="宋体"/>
          <w:b w:val="0"/>
          <w:sz w:val="21"/>
          <w:szCs w:val="21"/>
        </w:rPr>
        <w:t>500</w:t>
      </w:r>
      <w:r w:rsidRPr="006B07F0">
        <w:rPr>
          <w:rFonts w:ascii="宋体" w:eastAsia="宋体" w:hAnsi="宋体" w:hint="eastAsia"/>
          <w:b w:val="0"/>
          <w:sz w:val="21"/>
          <w:szCs w:val="21"/>
        </w:rPr>
        <w:t>强测评研究报告》显示，</w:t>
      </w:r>
      <w:r w:rsidRPr="006B07F0">
        <w:rPr>
          <w:rFonts w:ascii="宋体" w:eastAsia="宋体" w:hAnsi="宋体"/>
          <w:b w:val="0"/>
          <w:sz w:val="21"/>
          <w:szCs w:val="21"/>
        </w:rPr>
        <w:t>2017</w:t>
      </w:r>
      <w:r w:rsidRPr="006B07F0">
        <w:rPr>
          <w:rFonts w:ascii="宋体" w:eastAsia="宋体" w:hAnsi="宋体" w:hint="eastAsia"/>
          <w:b w:val="0"/>
          <w:sz w:val="21"/>
          <w:szCs w:val="21"/>
        </w:rPr>
        <w:t>年至</w:t>
      </w:r>
      <w:r w:rsidRPr="006B07F0">
        <w:rPr>
          <w:rFonts w:ascii="宋体" w:eastAsia="宋体" w:hAnsi="宋体"/>
          <w:b w:val="0"/>
          <w:sz w:val="21"/>
          <w:szCs w:val="21"/>
        </w:rPr>
        <w:t>2019</w:t>
      </w:r>
      <w:r w:rsidRPr="006B07F0">
        <w:rPr>
          <w:rFonts w:ascii="宋体" w:eastAsia="宋体" w:hAnsi="宋体" w:hint="eastAsia"/>
          <w:b w:val="0"/>
          <w:sz w:val="21"/>
          <w:szCs w:val="21"/>
        </w:rPr>
        <w:t>年，销售前二十名企业合计的市场占有率分别为</w:t>
      </w:r>
      <w:r w:rsidRPr="006B07F0">
        <w:rPr>
          <w:rFonts w:ascii="宋体" w:eastAsia="宋体" w:hAnsi="宋体"/>
          <w:b w:val="0"/>
          <w:sz w:val="21"/>
          <w:szCs w:val="21"/>
        </w:rPr>
        <w:t>32%</w:t>
      </w:r>
      <w:r w:rsidRPr="006B07F0">
        <w:rPr>
          <w:rFonts w:ascii="宋体" w:eastAsia="宋体" w:hAnsi="宋体" w:hint="eastAsia"/>
          <w:b w:val="0"/>
          <w:sz w:val="21"/>
          <w:szCs w:val="21"/>
        </w:rPr>
        <w:t>、</w:t>
      </w:r>
      <w:r w:rsidRPr="006B07F0">
        <w:rPr>
          <w:rFonts w:ascii="宋体" w:eastAsia="宋体" w:hAnsi="宋体"/>
          <w:b w:val="0"/>
          <w:sz w:val="21"/>
          <w:szCs w:val="21"/>
        </w:rPr>
        <w:t>36%</w:t>
      </w:r>
      <w:r w:rsidRPr="006B07F0">
        <w:rPr>
          <w:rFonts w:ascii="宋体" w:eastAsia="宋体" w:hAnsi="宋体" w:hint="eastAsia"/>
          <w:b w:val="0"/>
          <w:sz w:val="21"/>
          <w:szCs w:val="21"/>
        </w:rPr>
        <w:t>和</w:t>
      </w:r>
      <w:r w:rsidRPr="006B07F0">
        <w:rPr>
          <w:rFonts w:ascii="宋体" w:eastAsia="宋体" w:hAnsi="宋体"/>
          <w:b w:val="0"/>
          <w:sz w:val="21"/>
          <w:szCs w:val="21"/>
        </w:rPr>
        <w:t>37%</w:t>
      </w:r>
      <w:r w:rsidRPr="006B07F0">
        <w:rPr>
          <w:rFonts w:ascii="宋体" w:eastAsia="宋体" w:hAnsi="宋体" w:hint="eastAsia"/>
          <w:b w:val="0"/>
          <w:sz w:val="21"/>
          <w:szCs w:val="21"/>
        </w:rPr>
        <w:t>；销售前五十名企业合计的市场占有率分别为</w:t>
      </w:r>
      <w:r w:rsidRPr="006B07F0">
        <w:rPr>
          <w:rFonts w:ascii="宋体" w:eastAsia="宋体" w:hAnsi="宋体"/>
          <w:b w:val="0"/>
          <w:sz w:val="21"/>
          <w:szCs w:val="21"/>
        </w:rPr>
        <w:t>45%</w:t>
      </w:r>
      <w:r w:rsidRPr="006B07F0">
        <w:rPr>
          <w:rFonts w:ascii="宋体" w:eastAsia="宋体" w:hAnsi="宋体" w:hint="eastAsia"/>
          <w:b w:val="0"/>
          <w:sz w:val="21"/>
          <w:szCs w:val="21"/>
        </w:rPr>
        <w:t>、</w:t>
      </w:r>
      <w:r w:rsidRPr="006B07F0">
        <w:rPr>
          <w:rFonts w:ascii="宋体" w:eastAsia="宋体" w:hAnsi="宋体"/>
          <w:b w:val="0"/>
          <w:sz w:val="21"/>
          <w:szCs w:val="21"/>
        </w:rPr>
        <w:t>52%</w:t>
      </w:r>
      <w:r w:rsidRPr="006B07F0">
        <w:rPr>
          <w:rFonts w:ascii="宋体" w:eastAsia="宋体" w:hAnsi="宋体" w:hint="eastAsia"/>
          <w:b w:val="0"/>
          <w:sz w:val="21"/>
          <w:szCs w:val="21"/>
        </w:rPr>
        <w:t>、</w:t>
      </w:r>
      <w:r w:rsidRPr="006B07F0">
        <w:rPr>
          <w:rFonts w:ascii="宋体" w:eastAsia="宋体" w:hAnsi="宋体"/>
          <w:b w:val="0"/>
          <w:sz w:val="21"/>
          <w:szCs w:val="21"/>
        </w:rPr>
        <w:t>54%</w:t>
      </w:r>
      <w:r w:rsidRPr="006B07F0">
        <w:rPr>
          <w:rFonts w:ascii="宋体" w:eastAsia="宋体" w:hAnsi="宋体" w:hint="eastAsia"/>
          <w:b w:val="0"/>
          <w:sz w:val="21"/>
          <w:szCs w:val="21"/>
        </w:rPr>
        <w:t>，行业集中度持续提升。</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lastRenderedPageBreak/>
        <w:t>由于规模较大的房地产企业基于自身项目品质稳定性、产品系列设计风格连贯性等因素，往往倾向于和具有丰富项目经验和优秀设计能力的设计企业采用战略供应商选定和集中采购模式，形成长期稳定的合作关系。房地产行业集中度的提升势必促进建筑设计行业集中度的提升，因而为服务于</w:t>
      </w:r>
      <w:proofErr w:type="gramStart"/>
      <w:r w:rsidRPr="006B07F0">
        <w:rPr>
          <w:rFonts w:ascii="宋体" w:eastAsia="宋体" w:hAnsi="宋体" w:hint="eastAsia"/>
          <w:b w:val="0"/>
          <w:sz w:val="21"/>
          <w:szCs w:val="21"/>
        </w:rPr>
        <w:t>龙头房企</w:t>
      </w:r>
      <w:proofErr w:type="gramEnd"/>
      <w:r w:rsidRPr="006B07F0">
        <w:rPr>
          <w:rFonts w:ascii="宋体" w:eastAsia="宋体" w:hAnsi="宋体" w:hint="eastAsia"/>
          <w:b w:val="0"/>
          <w:sz w:val="21"/>
          <w:szCs w:val="21"/>
        </w:rPr>
        <w:t>、具有品牌知名度的建筑设计企业带来了新的增长机遇。</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w:t>
      </w:r>
      <w:r w:rsidRPr="006B07F0">
        <w:rPr>
          <w:rFonts w:ascii="宋体" w:eastAsia="宋体" w:hAnsi="宋体"/>
          <w:b w:val="0"/>
          <w:sz w:val="21"/>
          <w:szCs w:val="21"/>
        </w:rPr>
        <w:t>3</w:t>
      </w:r>
      <w:r w:rsidRPr="006B07F0">
        <w:rPr>
          <w:rFonts w:ascii="宋体" w:eastAsia="宋体" w:hAnsi="宋体" w:hint="eastAsia"/>
          <w:b w:val="0"/>
          <w:sz w:val="21"/>
          <w:szCs w:val="21"/>
        </w:rPr>
        <w:t>）发行人与主要客户的业务合作具有可持续性</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发行人主要客户均为具有全国品牌影响力的大型房地产企业，自身经营业绩稳定，资信情况良好，市场竞争力较强。建筑设计业务专业性较强，同时鉴于建筑方案设计在建筑设计项目中的牵头引领作用，下游客户尤其是品牌知名度较高的房地产开发企业在建筑设计服务尤其是建筑方案设计供应商的选择上较为谨慎，普遍采用供需黏合度较高的战略供应商选定和集中采购模式，因此，设计企业与开发企业之间的业务黏性较大。</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发行人的核心客户为保利，与保利的业务开展具有可持续性：保利作为地产行业的领军企业，倾向选择理解其产品特色、设计理念的战略供应商，发行人与保利地产合作长达十多年，</w:t>
      </w:r>
      <w:proofErr w:type="gramStart"/>
      <w:r w:rsidRPr="006B07F0">
        <w:rPr>
          <w:rFonts w:ascii="宋体" w:eastAsia="宋体" w:hAnsi="宋体" w:hint="eastAsia"/>
          <w:b w:val="0"/>
          <w:sz w:val="21"/>
          <w:szCs w:val="21"/>
        </w:rPr>
        <w:t>对保利</w:t>
      </w:r>
      <w:proofErr w:type="gramEnd"/>
      <w:r w:rsidRPr="006B07F0">
        <w:rPr>
          <w:rFonts w:ascii="宋体" w:eastAsia="宋体" w:hAnsi="宋体" w:hint="eastAsia"/>
          <w:b w:val="0"/>
          <w:sz w:val="21"/>
          <w:szCs w:val="21"/>
        </w:rPr>
        <w:t>的建筑风格、建筑文化有着深刻的理解，双方合作关系稳固。目前，发行人</w:t>
      </w:r>
      <w:proofErr w:type="gramStart"/>
      <w:r w:rsidRPr="006B07F0">
        <w:rPr>
          <w:rFonts w:ascii="宋体" w:eastAsia="宋体" w:hAnsi="宋体" w:hint="eastAsia"/>
          <w:b w:val="0"/>
          <w:sz w:val="21"/>
          <w:szCs w:val="21"/>
        </w:rPr>
        <w:t>对保利</w:t>
      </w:r>
      <w:proofErr w:type="gramEnd"/>
      <w:r w:rsidRPr="006B07F0">
        <w:rPr>
          <w:rFonts w:ascii="宋体" w:eastAsia="宋体" w:hAnsi="宋体" w:hint="eastAsia"/>
          <w:b w:val="0"/>
          <w:sz w:val="21"/>
          <w:szCs w:val="21"/>
        </w:rPr>
        <w:t>的在手订单充沛，且未来具有较大的提升空间。</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除了保利外，公司还与绿地、</w:t>
      </w:r>
      <w:proofErr w:type="gramStart"/>
      <w:r w:rsidRPr="006B07F0">
        <w:rPr>
          <w:rFonts w:ascii="宋体" w:eastAsia="宋体" w:hAnsi="宋体" w:hint="eastAsia"/>
          <w:b w:val="0"/>
          <w:sz w:val="21"/>
          <w:szCs w:val="21"/>
        </w:rPr>
        <w:t>世</w:t>
      </w:r>
      <w:proofErr w:type="gramEnd"/>
      <w:r w:rsidRPr="006B07F0">
        <w:rPr>
          <w:rFonts w:ascii="宋体" w:eastAsia="宋体" w:hAnsi="宋体" w:hint="eastAsia"/>
          <w:b w:val="0"/>
          <w:sz w:val="21"/>
          <w:szCs w:val="21"/>
        </w:rPr>
        <w:t>茂、金科、等在内的国内百强房地产商之间建立了长期稳定的合作关系。尽管目前，公司与该等客户之间的交易量相对较小，且年度间存在一定波动，但随着公司经营规模的不断扩大，对该等非保利客户的业务拓展力度持续加强，与该等客户的交易规模亦会不断攀升。未来，公司将持续开拓客户资源、优化客户结构并扩大市场份额。</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w:t>
      </w:r>
      <w:r w:rsidRPr="006B07F0">
        <w:rPr>
          <w:rFonts w:ascii="宋体" w:eastAsia="宋体" w:hAnsi="宋体"/>
          <w:b w:val="0"/>
          <w:sz w:val="21"/>
          <w:szCs w:val="21"/>
        </w:rPr>
        <w:t>4</w:t>
      </w:r>
      <w:r w:rsidRPr="006B07F0">
        <w:rPr>
          <w:rFonts w:ascii="宋体" w:eastAsia="宋体" w:hAnsi="宋体" w:hint="eastAsia"/>
          <w:b w:val="0"/>
          <w:sz w:val="21"/>
          <w:szCs w:val="21"/>
        </w:rPr>
        <w:t>）发行人是具有全国品牌知名度的建筑方案公司，具备持续拓展市场客户、实现业务持续发展的综合实力</w:t>
      </w:r>
    </w:p>
    <w:p w:rsidR="001E2F08" w:rsidRPr="006B07F0" w:rsidRDefault="001E2F08" w:rsidP="001E2F08">
      <w:pPr>
        <w:pStyle w:val="ae"/>
        <w:spacing w:before="163" w:after="163"/>
        <w:ind w:firstLine="420"/>
        <w:rPr>
          <w:rFonts w:ascii="宋体" w:eastAsia="宋体" w:hAnsi="宋体"/>
          <w:b w:val="0"/>
          <w:iCs/>
          <w:sz w:val="21"/>
          <w:szCs w:val="21"/>
        </w:rPr>
      </w:pPr>
      <w:r w:rsidRPr="006B07F0">
        <w:rPr>
          <w:rFonts w:ascii="宋体" w:eastAsia="宋体" w:hAnsi="宋体" w:hint="eastAsia"/>
          <w:b w:val="0"/>
          <w:iCs/>
          <w:sz w:val="21"/>
          <w:szCs w:val="21"/>
        </w:rPr>
        <w:t>发行人是国内知名的建筑方案公司，完成了多项底蕴深厚而又充满时代气息的城市精品项目，形成了一系列兼具功能性和艺术性的优秀设计作品，在行业内建立了较高的知名度和良好的声誉。</w:t>
      </w:r>
    </w:p>
    <w:p w:rsidR="001E2F08" w:rsidRPr="006B07F0" w:rsidRDefault="001E2F08" w:rsidP="001E2F08">
      <w:pPr>
        <w:pStyle w:val="ae"/>
        <w:spacing w:before="163" w:after="163"/>
        <w:ind w:firstLine="420"/>
        <w:rPr>
          <w:rFonts w:ascii="宋体" w:eastAsia="宋体" w:hAnsi="宋体"/>
          <w:b w:val="0"/>
          <w:iCs/>
          <w:sz w:val="21"/>
          <w:szCs w:val="21"/>
        </w:rPr>
      </w:pPr>
      <w:r w:rsidRPr="006B07F0">
        <w:rPr>
          <w:rFonts w:ascii="宋体" w:eastAsia="宋体" w:hAnsi="宋体" w:hint="eastAsia"/>
          <w:b w:val="0"/>
          <w:iCs/>
          <w:sz w:val="21"/>
          <w:szCs w:val="21"/>
        </w:rPr>
        <w:t>公司先后获得</w:t>
      </w:r>
      <w:r w:rsidRPr="006B07F0">
        <w:rPr>
          <w:rFonts w:ascii="宋体" w:eastAsia="宋体" w:hAnsi="宋体"/>
          <w:b w:val="0"/>
          <w:iCs/>
          <w:sz w:val="21"/>
          <w:szCs w:val="21"/>
        </w:rPr>
        <w:t>“2018-2019</w:t>
      </w:r>
      <w:r w:rsidRPr="006B07F0">
        <w:rPr>
          <w:rFonts w:ascii="宋体" w:eastAsia="宋体" w:hAnsi="宋体" w:hint="eastAsia"/>
          <w:b w:val="0"/>
          <w:iCs/>
          <w:sz w:val="21"/>
          <w:szCs w:val="21"/>
        </w:rPr>
        <w:t>年度地产行业卓越设计贡献奖</w:t>
      </w:r>
      <w:r w:rsidRPr="006B07F0">
        <w:rPr>
          <w:rFonts w:ascii="宋体" w:eastAsia="宋体" w:hAnsi="宋体"/>
          <w:b w:val="0"/>
          <w:iCs/>
          <w:sz w:val="21"/>
          <w:szCs w:val="21"/>
        </w:rPr>
        <w:t>”</w:t>
      </w:r>
      <w:r w:rsidRPr="006B07F0">
        <w:rPr>
          <w:rFonts w:ascii="宋体" w:eastAsia="宋体" w:hAnsi="宋体" w:hint="eastAsia"/>
          <w:b w:val="0"/>
          <w:iCs/>
          <w:sz w:val="21"/>
          <w:szCs w:val="21"/>
        </w:rPr>
        <w:t>、</w:t>
      </w:r>
      <w:r w:rsidRPr="006B07F0">
        <w:rPr>
          <w:rFonts w:ascii="宋体" w:eastAsia="宋体" w:hAnsi="宋体"/>
          <w:b w:val="0"/>
          <w:iCs/>
          <w:sz w:val="21"/>
          <w:szCs w:val="21"/>
        </w:rPr>
        <w:t>“</w:t>
      </w:r>
      <w:r w:rsidRPr="006B07F0">
        <w:rPr>
          <w:rFonts w:ascii="宋体" w:eastAsia="宋体" w:hAnsi="宋体" w:hint="eastAsia"/>
          <w:b w:val="0"/>
          <w:iCs/>
          <w:sz w:val="21"/>
          <w:szCs w:val="21"/>
        </w:rPr>
        <w:t>中国房地产优秀服务</w:t>
      </w:r>
      <w:r w:rsidRPr="006B07F0">
        <w:rPr>
          <w:rFonts w:ascii="宋体" w:eastAsia="宋体" w:hAnsi="宋体" w:hint="eastAsia"/>
          <w:b w:val="0"/>
          <w:iCs/>
          <w:sz w:val="21"/>
          <w:szCs w:val="21"/>
        </w:rPr>
        <w:lastRenderedPageBreak/>
        <w:t>商</w:t>
      </w:r>
      <w:r w:rsidRPr="006B07F0">
        <w:rPr>
          <w:rFonts w:ascii="宋体" w:eastAsia="宋体" w:hAnsi="宋体"/>
          <w:b w:val="0"/>
          <w:iCs/>
          <w:sz w:val="21"/>
          <w:szCs w:val="21"/>
        </w:rPr>
        <w:t>”</w:t>
      </w:r>
      <w:r w:rsidRPr="006B07F0">
        <w:rPr>
          <w:rFonts w:ascii="宋体" w:eastAsia="宋体" w:hAnsi="宋体" w:hint="eastAsia"/>
          <w:b w:val="0"/>
          <w:iCs/>
          <w:sz w:val="21"/>
          <w:szCs w:val="21"/>
        </w:rPr>
        <w:t>、</w:t>
      </w:r>
      <w:r w:rsidRPr="006B07F0">
        <w:rPr>
          <w:rFonts w:ascii="宋体" w:eastAsia="宋体" w:hAnsi="宋体"/>
          <w:b w:val="0"/>
          <w:iCs/>
          <w:sz w:val="21"/>
          <w:szCs w:val="21"/>
        </w:rPr>
        <w:t>“CIHAF</w:t>
      </w:r>
      <w:r w:rsidRPr="006B07F0">
        <w:rPr>
          <w:rFonts w:ascii="宋体" w:eastAsia="宋体" w:hAnsi="宋体" w:hint="eastAsia"/>
          <w:b w:val="0"/>
          <w:iCs/>
          <w:sz w:val="21"/>
          <w:szCs w:val="21"/>
        </w:rPr>
        <w:t>设计中国</w:t>
      </w:r>
      <w:r w:rsidRPr="006B07F0">
        <w:rPr>
          <w:rFonts w:ascii="宋体" w:eastAsia="宋体" w:hAnsi="宋体"/>
          <w:b w:val="0"/>
          <w:iCs/>
          <w:sz w:val="21"/>
          <w:szCs w:val="21"/>
        </w:rPr>
        <w:t>2013</w:t>
      </w:r>
      <w:r w:rsidRPr="006B07F0">
        <w:rPr>
          <w:rFonts w:ascii="宋体" w:eastAsia="宋体" w:hAnsi="宋体" w:hint="eastAsia"/>
          <w:b w:val="0"/>
          <w:iCs/>
          <w:sz w:val="21"/>
          <w:szCs w:val="21"/>
        </w:rPr>
        <w:t>年度优秀新锐建筑设计机构</w:t>
      </w:r>
      <w:r w:rsidRPr="006B07F0">
        <w:rPr>
          <w:rFonts w:ascii="宋体" w:eastAsia="宋体" w:hAnsi="宋体"/>
          <w:b w:val="0"/>
          <w:iCs/>
          <w:sz w:val="21"/>
          <w:szCs w:val="21"/>
        </w:rPr>
        <w:t>”</w:t>
      </w:r>
      <w:r w:rsidRPr="006B07F0">
        <w:rPr>
          <w:rFonts w:ascii="宋体" w:eastAsia="宋体" w:hAnsi="宋体" w:hint="eastAsia"/>
          <w:b w:val="0"/>
          <w:iCs/>
          <w:sz w:val="21"/>
          <w:szCs w:val="21"/>
        </w:rPr>
        <w:t>等荣誉，主要设计作品先后获得中国土木工程学会住宅工程指导工作委员会颁发的中国土木工程詹天佑优秀住宅小区金奖，上海市勘察设计行业协会颁发的上海市优秀住宅小区设计一等奖，上海市建筑学会颁发的科技进步奖、建筑创作奖以及意大利</w:t>
      </w:r>
      <w:proofErr w:type="spellStart"/>
      <w:r w:rsidRPr="006B07F0">
        <w:rPr>
          <w:rFonts w:ascii="宋体" w:eastAsia="宋体" w:hAnsi="宋体"/>
          <w:b w:val="0"/>
          <w:iCs/>
          <w:sz w:val="21"/>
          <w:szCs w:val="21"/>
        </w:rPr>
        <w:t>A'Design</w:t>
      </w:r>
      <w:proofErr w:type="spellEnd"/>
      <w:r w:rsidRPr="006B07F0">
        <w:rPr>
          <w:rFonts w:ascii="宋体" w:eastAsia="宋体" w:hAnsi="宋体"/>
          <w:b w:val="0"/>
          <w:iCs/>
          <w:sz w:val="21"/>
          <w:szCs w:val="21"/>
        </w:rPr>
        <w:t xml:space="preserve"> Award</w:t>
      </w:r>
      <w:r w:rsidRPr="006B07F0">
        <w:rPr>
          <w:rFonts w:ascii="宋体" w:eastAsia="宋体" w:hAnsi="宋体" w:hint="eastAsia"/>
          <w:b w:val="0"/>
          <w:iCs/>
          <w:sz w:val="21"/>
          <w:szCs w:val="21"/>
        </w:rPr>
        <w:t>国际设计奖、德国</w:t>
      </w:r>
      <w:proofErr w:type="spellStart"/>
      <w:r w:rsidRPr="006B07F0">
        <w:rPr>
          <w:rFonts w:ascii="宋体" w:eastAsia="宋体" w:hAnsi="宋体"/>
          <w:b w:val="0"/>
          <w:iCs/>
          <w:sz w:val="21"/>
          <w:szCs w:val="21"/>
        </w:rPr>
        <w:t>iF</w:t>
      </w:r>
      <w:proofErr w:type="spellEnd"/>
      <w:r w:rsidRPr="006B07F0">
        <w:rPr>
          <w:rFonts w:ascii="宋体" w:eastAsia="宋体" w:hAnsi="宋体" w:hint="eastAsia"/>
          <w:b w:val="0"/>
          <w:iCs/>
          <w:sz w:val="21"/>
          <w:szCs w:val="21"/>
        </w:rPr>
        <w:t>设计奖、</w:t>
      </w:r>
      <w:r w:rsidRPr="006B07F0">
        <w:rPr>
          <w:rFonts w:ascii="宋体" w:eastAsia="宋体" w:hAnsi="宋体"/>
          <w:b w:val="0"/>
          <w:iCs/>
          <w:sz w:val="21"/>
          <w:szCs w:val="21"/>
        </w:rPr>
        <w:t>Architecture Master Prize</w:t>
      </w:r>
      <w:r w:rsidRPr="006B07F0">
        <w:rPr>
          <w:rFonts w:ascii="宋体" w:eastAsia="宋体" w:hAnsi="宋体" w:hint="eastAsia"/>
          <w:b w:val="0"/>
          <w:iCs/>
          <w:sz w:val="21"/>
          <w:szCs w:val="21"/>
        </w:rPr>
        <w:t>（美国建筑师大奖）、</w:t>
      </w:r>
      <w:r w:rsidRPr="006B07F0">
        <w:rPr>
          <w:rFonts w:ascii="宋体" w:eastAsia="宋体" w:hAnsi="宋体"/>
          <w:b w:val="0"/>
          <w:iCs/>
          <w:sz w:val="21"/>
          <w:szCs w:val="21"/>
        </w:rPr>
        <w:t>ICONIC AWARDS</w:t>
      </w:r>
      <w:r w:rsidRPr="006B07F0">
        <w:rPr>
          <w:rFonts w:ascii="宋体" w:eastAsia="宋体" w:hAnsi="宋体" w:hint="eastAsia"/>
          <w:b w:val="0"/>
          <w:iCs/>
          <w:sz w:val="21"/>
          <w:szCs w:val="21"/>
        </w:rPr>
        <w:t>（德国标志性设计奖）、</w:t>
      </w:r>
      <w:r w:rsidRPr="006B07F0">
        <w:rPr>
          <w:rFonts w:ascii="宋体" w:eastAsia="宋体" w:hAnsi="宋体"/>
          <w:b w:val="0"/>
          <w:iCs/>
          <w:sz w:val="21"/>
          <w:szCs w:val="21"/>
        </w:rPr>
        <w:t>LONDON DESIGN AWARDS</w:t>
      </w:r>
      <w:r w:rsidRPr="006B07F0">
        <w:rPr>
          <w:rFonts w:ascii="宋体" w:eastAsia="宋体" w:hAnsi="宋体" w:hint="eastAsia"/>
          <w:b w:val="0"/>
          <w:iCs/>
          <w:sz w:val="21"/>
          <w:szCs w:val="21"/>
        </w:rPr>
        <w:t>（伦敦设计奖）等国内外奖项。</w:t>
      </w:r>
    </w:p>
    <w:p w:rsidR="001E2F08" w:rsidRPr="006B07F0" w:rsidRDefault="001E2F08" w:rsidP="001E2F08">
      <w:pPr>
        <w:pStyle w:val="ae"/>
        <w:spacing w:before="163" w:after="163"/>
        <w:ind w:firstLine="420"/>
        <w:rPr>
          <w:rFonts w:ascii="宋体" w:eastAsia="宋体" w:hAnsi="宋体"/>
          <w:b w:val="0"/>
          <w:iCs/>
          <w:sz w:val="21"/>
          <w:szCs w:val="21"/>
        </w:rPr>
      </w:pPr>
      <w:r w:rsidRPr="006B07F0">
        <w:rPr>
          <w:rFonts w:ascii="宋体" w:eastAsia="宋体" w:hAnsi="宋体" w:hint="eastAsia"/>
          <w:b w:val="0"/>
          <w:iCs/>
          <w:sz w:val="21"/>
          <w:szCs w:val="21"/>
        </w:rPr>
        <w:t>公司将凭借在人才、技术、品牌、客户资源等方面的综合优势，持续</w:t>
      </w:r>
      <w:r w:rsidRPr="006B07F0">
        <w:rPr>
          <w:rFonts w:ascii="宋体" w:eastAsia="宋体" w:hAnsi="宋体" w:hint="eastAsia"/>
          <w:b w:val="0"/>
          <w:sz w:val="21"/>
          <w:szCs w:val="21"/>
        </w:rPr>
        <w:t>拓展市场客户、实现业务持续发展。</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综上，发行人业务发展具有可持续性。</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b w:val="0"/>
          <w:sz w:val="21"/>
          <w:szCs w:val="21"/>
        </w:rPr>
        <w:t>2</w:t>
      </w:r>
      <w:r w:rsidRPr="006B07F0">
        <w:rPr>
          <w:rFonts w:ascii="宋体" w:eastAsia="宋体" w:hAnsi="宋体" w:hint="eastAsia"/>
          <w:b w:val="0"/>
          <w:sz w:val="21"/>
          <w:szCs w:val="21"/>
        </w:rPr>
        <w:t>、补充披露房地产调控政策对发行人经营业绩的影响，并做重大风险提示</w:t>
      </w:r>
    </w:p>
    <w:p w:rsidR="001E2F08" w:rsidRPr="006B07F0" w:rsidRDefault="001E2F08" w:rsidP="001E2F08">
      <w:pPr>
        <w:pStyle w:val="12"/>
        <w:spacing w:before="163" w:after="163"/>
        <w:ind w:firstLine="420"/>
        <w:rPr>
          <w:rFonts w:ascii="宋体" w:hAnsi="宋体" w:cs="Times New Roman"/>
          <w:bCs/>
          <w:iCs/>
          <w:sz w:val="21"/>
          <w:szCs w:val="21"/>
          <w:lang w:bidi="en-US"/>
        </w:rPr>
      </w:pPr>
      <w:r w:rsidRPr="006B07F0">
        <w:rPr>
          <w:rFonts w:ascii="宋体" w:hAnsi="宋体" w:cs="Times New Roman" w:hint="eastAsia"/>
          <w:bCs/>
          <w:iCs/>
          <w:sz w:val="21"/>
          <w:szCs w:val="21"/>
          <w:lang w:bidi="en-US"/>
        </w:rPr>
        <w:t>公司所属的建筑设计行业与房地产行业密切相关。房地产行业具有一定的周期性，受宏观经济形势、产业政策调控影响明显。近年来，我国政府针对房地产行业出台了一系列调控政策，如</w:t>
      </w:r>
      <w:r w:rsidRPr="006B07F0">
        <w:rPr>
          <w:rFonts w:ascii="宋体" w:hAnsi="宋体" w:cs="Times New Roman"/>
          <w:bCs/>
          <w:iCs/>
          <w:sz w:val="21"/>
          <w:szCs w:val="21"/>
          <w:lang w:bidi="en-US"/>
        </w:rPr>
        <w:t>“</w:t>
      </w:r>
      <w:r w:rsidRPr="006B07F0">
        <w:rPr>
          <w:rFonts w:ascii="宋体" w:hAnsi="宋体" w:cs="Times New Roman" w:hint="eastAsia"/>
          <w:bCs/>
          <w:iCs/>
          <w:sz w:val="21"/>
          <w:szCs w:val="21"/>
          <w:lang w:bidi="en-US"/>
        </w:rPr>
        <w:t>新国五条</w:t>
      </w:r>
      <w:r w:rsidRPr="006B07F0">
        <w:rPr>
          <w:rFonts w:ascii="宋体" w:hAnsi="宋体" w:cs="Times New Roman"/>
          <w:bCs/>
          <w:iCs/>
          <w:sz w:val="21"/>
          <w:szCs w:val="21"/>
          <w:lang w:bidi="en-US"/>
        </w:rPr>
        <w:t>”</w:t>
      </w:r>
      <w:r w:rsidRPr="006B07F0">
        <w:rPr>
          <w:rFonts w:ascii="宋体" w:hAnsi="宋体" w:cs="Times New Roman" w:hint="eastAsia"/>
          <w:bCs/>
          <w:iCs/>
          <w:sz w:val="21"/>
          <w:szCs w:val="21"/>
          <w:lang w:bidi="en-US"/>
        </w:rPr>
        <w:t>，</w:t>
      </w:r>
      <w:r w:rsidRPr="006B07F0">
        <w:rPr>
          <w:rFonts w:ascii="宋体" w:hAnsi="宋体" w:cs="Times New Roman"/>
          <w:bCs/>
          <w:iCs/>
          <w:sz w:val="21"/>
          <w:szCs w:val="21"/>
          <w:lang w:bidi="en-US"/>
        </w:rPr>
        <w:t>2018</w:t>
      </w:r>
      <w:r w:rsidRPr="006B07F0">
        <w:rPr>
          <w:rFonts w:ascii="宋体" w:hAnsi="宋体" w:cs="Times New Roman" w:hint="eastAsia"/>
          <w:bCs/>
          <w:iCs/>
          <w:sz w:val="21"/>
          <w:szCs w:val="21"/>
          <w:lang w:bidi="en-US"/>
        </w:rPr>
        <w:t>年</w:t>
      </w:r>
      <w:r w:rsidRPr="006B07F0">
        <w:rPr>
          <w:rFonts w:ascii="宋体" w:hAnsi="宋体" w:cs="Times New Roman"/>
          <w:bCs/>
          <w:iCs/>
          <w:sz w:val="21"/>
          <w:szCs w:val="21"/>
          <w:lang w:bidi="en-US"/>
        </w:rPr>
        <w:t>4</w:t>
      </w:r>
      <w:r w:rsidRPr="006B07F0">
        <w:rPr>
          <w:rFonts w:ascii="宋体" w:hAnsi="宋体" w:cs="Times New Roman" w:hint="eastAsia"/>
          <w:bCs/>
          <w:iCs/>
          <w:sz w:val="21"/>
          <w:szCs w:val="21"/>
          <w:lang w:bidi="en-US"/>
        </w:rPr>
        <w:t>月央行、银保监会、证监会、外汇局联合发布《关于规范金融机构资产管理业务的指导意见》（</w:t>
      </w:r>
      <w:r w:rsidRPr="006B07F0">
        <w:rPr>
          <w:rFonts w:ascii="宋体" w:hAnsi="宋体" w:cs="Times New Roman"/>
          <w:bCs/>
          <w:iCs/>
          <w:sz w:val="21"/>
          <w:szCs w:val="21"/>
          <w:lang w:bidi="en-US"/>
        </w:rPr>
        <w:t>“</w:t>
      </w:r>
      <w:r w:rsidRPr="006B07F0">
        <w:rPr>
          <w:rFonts w:ascii="宋体" w:hAnsi="宋体" w:cs="Times New Roman" w:hint="eastAsia"/>
          <w:bCs/>
          <w:iCs/>
          <w:sz w:val="21"/>
          <w:szCs w:val="21"/>
          <w:lang w:bidi="en-US"/>
        </w:rPr>
        <w:t>资管新规</w:t>
      </w:r>
      <w:r w:rsidRPr="006B07F0">
        <w:rPr>
          <w:rFonts w:ascii="宋体" w:hAnsi="宋体" w:cs="Times New Roman"/>
          <w:bCs/>
          <w:iCs/>
          <w:sz w:val="21"/>
          <w:szCs w:val="21"/>
          <w:lang w:bidi="en-US"/>
        </w:rPr>
        <w:t>”</w:t>
      </w:r>
      <w:r w:rsidRPr="006B07F0">
        <w:rPr>
          <w:rFonts w:ascii="宋体" w:hAnsi="宋体" w:cs="Times New Roman" w:hint="eastAsia"/>
          <w:bCs/>
          <w:iCs/>
          <w:sz w:val="21"/>
          <w:szCs w:val="21"/>
          <w:lang w:bidi="en-US"/>
        </w:rPr>
        <w:t>），</w:t>
      </w:r>
      <w:r w:rsidRPr="006B07F0">
        <w:rPr>
          <w:rFonts w:ascii="宋体" w:hAnsi="宋体" w:cs="Times New Roman"/>
          <w:bCs/>
          <w:iCs/>
          <w:sz w:val="21"/>
          <w:szCs w:val="21"/>
          <w:lang w:bidi="en-US"/>
        </w:rPr>
        <w:t>2019</w:t>
      </w:r>
      <w:r w:rsidRPr="006B07F0">
        <w:rPr>
          <w:rFonts w:ascii="宋体" w:hAnsi="宋体" w:cs="Times New Roman" w:hint="eastAsia"/>
          <w:bCs/>
          <w:iCs/>
          <w:sz w:val="21"/>
          <w:szCs w:val="21"/>
          <w:lang w:bidi="en-US"/>
        </w:rPr>
        <w:t>年</w:t>
      </w:r>
      <w:r w:rsidRPr="006B07F0">
        <w:rPr>
          <w:rFonts w:ascii="宋体" w:hAnsi="宋体" w:cs="Times New Roman"/>
          <w:bCs/>
          <w:iCs/>
          <w:sz w:val="21"/>
          <w:szCs w:val="21"/>
          <w:lang w:bidi="en-US"/>
        </w:rPr>
        <w:t>5</w:t>
      </w:r>
      <w:r w:rsidRPr="006B07F0">
        <w:rPr>
          <w:rFonts w:ascii="宋体" w:hAnsi="宋体" w:cs="Times New Roman" w:hint="eastAsia"/>
          <w:bCs/>
          <w:iCs/>
          <w:sz w:val="21"/>
          <w:szCs w:val="21"/>
          <w:lang w:bidi="en-US"/>
        </w:rPr>
        <w:t>月银保监会发布《关于开展</w:t>
      </w:r>
      <w:r w:rsidRPr="006B07F0">
        <w:rPr>
          <w:rFonts w:ascii="宋体" w:hAnsi="宋体" w:cs="Times New Roman"/>
          <w:bCs/>
          <w:iCs/>
          <w:sz w:val="21"/>
          <w:szCs w:val="21"/>
          <w:lang w:bidi="en-US"/>
        </w:rPr>
        <w:t>“</w:t>
      </w:r>
      <w:r w:rsidRPr="006B07F0">
        <w:rPr>
          <w:rFonts w:ascii="宋体" w:hAnsi="宋体" w:cs="Times New Roman" w:hint="eastAsia"/>
          <w:bCs/>
          <w:iCs/>
          <w:sz w:val="21"/>
          <w:szCs w:val="21"/>
          <w:lang w:bidi="en-US"/>
        </w:rPr>
        <w:t>巩固治乱象成果</w:t>
      </w:r>
      <w:r w:rsidRPr="006B07F0">
        <w:rPr>
          <w:rFonts w:ascii="宋体" w:hAnsi="宋体" w:cs="Times New Roman"/>
          <w:bCs/>
          <w:iCs/>
          <w:sz w:val="21"/>
          <w:szCs w:val="21"/>
          <w:lang w:bidi="en-US"/>
        </w:rPr>
        <w:t xml:space="preserve"> </w:t>
      </w:r>
      <w:r w:rsidRPr="006B07F0">
        <w:rPr>
          <w:rFonts w:ascii="宋体" w:hAnsi="宋体" w:cs="Times New Roman" w:hint="eastAsia"/>
          <w:bCs/>
          <w:iCs/>
          <w:sz w:val="21"/>
          <w:szCs w:val="21"/>
          <w:lang w:bidi="en-US"/>
        </w:rPr>
        <w:t>促进合规建设</w:t>
      </w:r>
      <w:r w:rsidRPr="006B07F0">
        <w:rPr>
          <w:rFonts w:ascii="宋体" w:hAnsi="宋体" w:cs="Times New Roman"/>
          <w:bCs/>
          <w:iCs/>
          <w:sz w:val="21"/>
          <w:szCs w:val="21"/>
          <w:lang w:bidi="en-US"/>
        </w:rPr>
        <w:t>”</w:t>
      </w:r>
      <w:r w:rsidRPr="006B07F0">
        <w:rPr>
          <w:rFonts w:ascii="宋体" w:hAnsi="宋体" w:cs="Times New Roman" w:hint="eastAsia"/>
          <w:bCs/>
          <w:iCs/>
          <w:sz w:val="21"/>
          <w:szCs w:val="21"/>
          <w:lang w:bidi="en-US"/>
        </w:rPr>
        <w:t>工作的通知》（</w:t>
      </w:r>
      <w:r w:rsidRPr="006B07F0">
        <w:rPr>
          <w:rFonts w:ascii="宋体" w:hAnsi="宋体" w:cs="Times New Roman"/>
          <w:bCs/>
          <w:iCs/>
          <w:sz w:val="21"/>
          <w:szCs w:val="21"/>
          <w:lang w:bidi="en-US"/>
        </w:rPr>
        <w:t>“23</w:t>
      </w:r>
      <w:r w:rsidRPr="006B07F0">
        <w:rPr>
          <w:rFonts w:ascii="宋体" w:hAnsi="宋体" w:cs="Times New Roman" w:hint="eastAsia"/>
          <w:bCs/>
          <w:iCs/>
          <w:sz w:val="21"/>
          <w:szCs w:val="21"/>
          <w:lang w:bidi="en-US"/>
        </w:rPr>
        <w:t>号文</w:t>
      </w:r>
      <w:r w:rsidRPr="006B07F0">
        <w:rPr>
          <w:rFonts w:ascii="宋体" w:hAnsi="宋体" w:cs="Times New Roman"/>
          <w:bCs/>
          <w:iCs/>
          <w:sz w:val="21"/>
          <w:szCs w:val="21"/>
          <w:lang w:bidi="en-US"/>
        </w:rPr>
        <w:t>”</w:t>
      </w:r>
      <w:r w:rsidRPr="006B07F0">
        <w:rPr>
          <w:rFonts w:ascii="宋体" w:hAnsi="宋体" w:cs="Times New Roman" w:hint="eastAsia"/>
          <w:bCs/>
          <w:iCs/>
          <w:sz w:val="21"/>
          <w:szCs w:val="21"/>
          <w:lang w:bidi="en-US"/>
        </w:rPr>
        <w:t>）等，上述政策从限制房地产企业融资规模、增加保障性住房和普通商品住房有效供给、抑制投资投机性购房需求、促进供应土地的及时开发利用等多个方面进行调控。同时，政府推出的限购、提高交易税费等短期调控政策，也直接影响了商品住宅的短期需求，一定程度上造成了房地产市场成交量的下降。这些经济政策都会对公司业务发展构成一定影响。在上述政策背景下，</w:t>
      </w:r>
      <w:r w:rsidRPr="006B07F0">
        <w:rPr>
          <w:rFonts w:ascii="宋体" w:hAnsi="宋体" w:cs="Times New Roman"/>
          <w:bCs/>
          <w:iCs/>
          <w:sz w:val="21"/>
          <w:szCs w:val="21"/>
          <w:lang w:bidi="en-US"/>
        </w:rPr>
        <w:t>2019</w:t>
      </w:r>
      <w:r w:rsidRPr="006B07F0">
        <w:rPr>
          <w:rFonts w:ascii="宋体" w:hAnsi="宋体" w:cs="Times New Roman" w:hint="eastAsia"/>
          <w:bCs/>
          <w:iCs/>
          <w:sz w:val="21"/>
          <w:szCs w:val="21"/>
          <w:lang w:bidi="en-US"/>
        </w:rPr>
        <w:t>年度公司实现营业收入</w:t>
      </w:r>
      <w:r w:rsidRPr="006B07F0">
        <w:rPr>
          <w:rFonts w:ascii="宋体" w:hAnsi="宋体" w:cs="Times New Roman"/>
          <w:bCs/>
          <w:iCs/>
          <w:sz w:val="21"/>
          <w:szCs w:val="21"/>
          <w:lang w:bidi="en-US"/>
        </w:rPr>
        <w:t>26,664.14</w:t>
      </w:r>
      <w:r w:rsidRPr="006B07F0">
        <w:rPr>
          <w:rFonts w:ascii="宋体" w:hAnsi="宋体" w:cs="Times New Roman" w:hint="eastAsia"/>
          <w:bCs/>
          <w:iCs/>
          <w:sz w:val="21"/>
          <w:szCs w:val="21"/>
          <w:lang w:bidi="en-US"/>
        </w:rPr>
        <w:t>万元，净利润</w:t>
      </w:r>
      <w:r w:rsidRPr="006B07F0">
        <w:rPr>
          <w:rFonts w:ascii="宋体" w:hAnsi="宋体" w:cs="Times New Roman"/>
          <w:bCs/>
          <w:iCs/>
          <w:sz w:val="21"/>
          <w:szCs w:val="21"/>
          <w:lang w:bidi="en-US"/>
        </w:rPr>
        <w:t>6,366.53</w:t>
      </w:r>
      <w:r w:rsidRPr="006B07F0">
        <w:rPr>
          <w:rFonts w:ascii="宋体" w:hAnsi="宋体" w:cs="Times New Roman" w:hint="eastAsia"/>
          <w:bCs/>
          <w:iCs/>
          <w:sz w:val="21"/>
          <w:szCs w:val="21"/>
          <w:lang w:bidi="en-US"/>
        </w:rPr>
        <w:t>万元，增速有所放缓，同时当年经营回款情况有所下降，当年应收账款及应收票据占营业收入比例</w:t>
      </w:r>
      <w:r w:rsidRPr="006B07F0">
        <w:rPr>
          <w:rFonts w:ascii="宋体" w:hAnsi="宋体" w:cs="Times New Roman"/>
          <w:bCs/>
          <w:iCs/>
          <w:sz w:val="21"/>
          <w:szCs w:val="21"/>
          <w:lang w:bidi="en-US"/>
        </w:rPr>
        <w:t>80.71%</w:t>
      </w:r>
      <w:r w:rsidRPr="006B07F0">
        <w:rPr>
          <w:rFonts w:ascii="宋体" w:hAnsi="宋体" w:cs="Times New Roman" w:hint="eastAsia"/>
          <w:bCs/>
          <w:iCs/>
          <w:sz w:val="21"/>
          <w:szCs w:val="21"/>
          <w:lang w:bidi="en-US"/>
        </w:rPr>
        <w:t>，较以前年度有所上升。</w:t>
      </w:r>
    </w:p>
    <w:p w:rsidR="001E2F08" w:rsidRPr="006B07F0" w:rsidRDefault="001E2F08" w:rsidP="001E2F08">
      <w:pPr>
        <w:pStyle w:val="12"/>
        <w:spacing w:before="163" w:after="163"/>
        <w:ind w:firstLine="420"/>
        <w:rPr>
          <w:rFonts w:ascii="宋体" w:hAnsi="宋体" w:cs="Times New Roman"/>
          <w:bCs/>
          <w:iCs/>
          <w:sz w:val="21"/>
          <w:szCs w:val="21"/>
          <w:lang w:bidi="en-US"/>
        </w:rPr>
      </w:pPr>
      <w:r w:rsidRPr="006B07F0">
        <w:rPr>
          <w:rFonts w:ascii="宋体" w:hAnsi="宋体" w:cs="Times New Roman"/>
          <w:bCs/>
          <w:sz w:val="21"/>
          <w:szCs w:val="21"/>
        </w:rPr>
        <w:t xml:space="preserve">2020 </w:t>
      </w:r>
      <w:r w:rsidRPr="006B07F0">
        <w:rPr>
          <w:rFonts w:ascii="宋体" w:hAnsi="宋体" w:cs="Times New Roman" w:hint="eastAsia"/>
          <w:bCs/>
          <w:sz w:val="21"/>
          <w:szCs w:val="21"/>
        </w:rPr>
        <w:t>年前三季度，我国住宅新开工面积共计</w:t>
      </w:r>
      <w:r w:rsidRPr="006B07F0">
        <w:rPr>
          <w:rFonts w:ascii="宋体" w:hAnsi="宋体" w:cs="Times New Roman"/>
          <w:bCs/>
          <w:sz w:val="21"/>
          <w:szCs w:val="21"/>
        </w:rPr>
        <w:t xml:space="preserve"> 117,193 </w:t>
      </w:r>
      <w:proofErr w:type="gramStart"/>
      <w:r w:rsidRPr="006B07F0">
        <w:rPr>
          <w:rFonts w:ascii="宋体" w:hAnsi="宋体" w:cs="Times New Roman" w:hint="eastAsia"/>
          <w:bCs/>
          <w:sz w:val="21"/>
          <w:szCs w:val="21"/>
        </w:rPr>
        <w:t>万平方米</w:t>
      </w:r>
      <w:proofErr w:type="gramEnd"/>
      <w:r w:rsidRPr="006B07F0">
        <w:rPr>
          <w:rFonts w:ascii="宋体" w:hAnsi="宋体" w:cs="Times New Roman" w:hint="eastAsia"/>
          <w:bCs/>
          <w:sz w:val="21"/>
          <w:szCs w:val="21"/>
        </w:rPr>
        <w:t>，较</w:t>
      </w:r>
      <w:r w:rsidRPr="006B07F0">
        <w:rPr>
          <w:rFonts w:ascii="宋体" w:hAnsi="宋体" w:cs="Times New Roman"/>
          <w:bCs/>
          <w:sz w:val="21"/>
          <w:szCs w:val="21"/>
        </w:rPr>
        <w:t xml:space="preserve"> 2019 </w:t>
      </w:r>
      <w:r w:rsidRPr="006B07F0">
        <w:rPr>
          <w:rFonts w:ascii="宋体" w:hAnsi="宋体" w:cs="Times New Roman" w:hint="eastAsia"/>
          <w:bCs/>
          <w:sz w:val="21"/>
          <w:szCs w:val="21"/>
        </w:rPr>
        <w:t>年前三季度下降</w:t>
      </w:r>
      <w:r w:rsidRPr="006B07F0">
        <w:rPr>
          <w:rFonts w:ascii="宋体" w:hAnsi="宋体" w:cs="Times New Roman"/>
          <w:bCs/>
          <w:sz w:val="21"/>
          <w:szCs w:val="21"/>
        </w:rPr>
        <w:t xml:space="preserve"> 4.18%</w:t>
      </w:r>
      <w:r w:rsidRPr="006B07F0">
        <w:rPr>
          <w:rFonts w:ascii="宋体" w:hAnsi="宋体" w:cs="Times New Roman" w:hint="eastAsia"/>
          <w:bCs/>
          <w:sz w:val="21"/>
          <w:szCs w:val="21"/>
        </w:rPr>
        <w:t>。其中，受新冠疫情影响，</w:t>
      </w:r>
      <w:r w:rsidRPr="006B07F0">
        <w:rPr>
          <w:rFonts w:ascii="宋体" w:hAnsi="宋体" w:cs="Times New Roman"/>
          <w:bCs/>
          <w:sz w:val="21"/>
          <w:szCs w:val="21"/>
        </w:rPr>
        <w:t xml:space="preserve">2020 </w:t>
      </w:r>
      <w:r w:rsidRPr="006B07F0">
        <w:rPr>
          <w:rFonts w:ascii="宋体" w:hAnsi="宋体" w:cs="Times New Roman" w:hint="eastAsia"/>
          <w:bCs/>
          <w:sz w:val="21"/>
          <w:szCs w:val="21"/>
        </w:rPr>
        <w:t>年第一季度住宅新开工面积</w:t>
      </w:r>
      <w:r w:rsidRPr="006B07F0">
        <w:rPr>
          <w:rFonts w:ascii="宋体" w:hAnsi="宋体" w:cs="Times New Roman"/>
          <w:bCs/>
          <w:sz w:val="21"/>
          <w:szCs w:val="21"/>
        </w:rPr>
        <w:t xml:space="preserve"> 20,799 </w:t>
      </w:r>
      <w:proofErr w:type="gramStart"/>
      <w:r w:rsidRPr="006B07F0">
        <w:rPr>
          <w:rFonts w:ascii="宋体" w:hAnsi="宋体" w:cs="Times New Roman" w:hint="eastAsia"/>
          <w:bCs/>
          <w:sz w:val="21"/>
          <w:szCs w:val="21"/>
        </w:rPr>
        <w:t>万平方米</w:t>
      </w:r>
      <w:proofErr w:type="gramEnd"/>
      <w:r w:rsidRPr="006B07F0">
        <w:rPr>
          <w:rFonts w:ascii="宋体" w:hAnsi="宋体" w:cs="Times New Roman" w:hint="eastAsia"/>
          <w:bCs/>
          <w:sz w:val="21"/>
          <w:szCs w:val="21"/>
        </w:rPr>
        <w:t>，较</w:t>
      </w:r>
      <w:r w:rsidRPr="006B07F0">
        <w:rPr>
          <w:rFonts w:ascii="宋体" w:hAnsi="宋体" w:cs="Times New Roman"/>
          <w:bCs/>
          <w:sz w:val="21"/>
          <w:szCs w:val="21"/>
        </w:rPr>
        <w:t xml:space="preserve"> 2019 </w:t>
      </w:r>
      <w:r w:rsidRPr="006B07F0">
        <w:rPr>
          <w:rFonts w:ascii="宋体" w:hAnsi="宋体" w:cs="Times New Roman" w:hint="eastAsia"/>
          <w:bCs/>
          <w:sz w:val="21"/>
          <w:szCs w:val="21"/>
        </w:rPr>
        <w:t>年同期下降</w:t>
      </w:r>
      <w:r w:rsidRPr="006B07F0">
        <w:rPr>
          <w:rFonts w:ascii="宋体" w:hAnsi="宋体" w:cs="Times New Roman"/>
          <w:bCs/>
          <w:sz w:val="21"/>
          <w:szCs w:val="21"/>
        </w:rPr>
        <w:t xml:space="preserve"> 26.94%</w:t>
      </w:r>
      <w:r w:rsidRPr="006B07F0">
        <w:rPr>
          <w:rFonts w:ascii="宋体" w:hAnsi="宋体" w:cs="Times New Roman" w:hint="eastAsia"/>
          <w:bCs/>
          <w:sz w:val="21"/>
          <w:szCs w:val="21"/>
        </w:rPr>
        <w:t>。随着国内普遍复产复工，第二季度及第三季度住宅新开工面积分别为</w:t>
      </w:r>
      <w:r w:rsidRPr="006B07F0">
        <w:rPr>
          <w:rFonts w:ascii="宋体" w:hAnsi="宋体" w:cs="Times New Roman"/>
          <w:bCs/>
          <w:sz w:val="21"/>
          <w:szCs w:val="21"/>
        </w:rPr>
        <w:t xml:space="preserve"> 50,784 </w:t>
      </w:r>
      <w:proofErr w:type="gramStart"/>
      <w:r w:rsidRPr="006B07F0">
        <w:rPr>
          <w:rFonts w:ascii="宋体" w:hAnsi="宋体" w:cs="Times New Roman" w:hint="eastAsia"/>
          <w:bCs/>
          <w:sz w:val="21"/>
          <w:szCs w:val="21"/>
        </w:rPr>
        <w:t>万平方米</w:t>
      </w:r>
      <w:proofErr w:type="gramEnd"/>
      <w:r w:rsidRPr="006B07F0">
        <w:rPr>
          <w:rFonts w:ascii="宋体" w:hAnsi="宋体" w:cs="Times New Roman" w:hint="eastAsia"/>
          <w:bCs/>
          <w:sz w:val="21"/>
          <w:szCs w:val="21"/>
        </w:rPr>
        <w:t>及</w:t>
      </w:r>
      <w:r w:rsidRPr="006B07F0">
        <w:rPr>
          <w:rFonts w:ascii="宋体" w:hAnsi="宋体" w:cs="Times New Roman"/>
          <w:bCs/>
          <w:sz w:val="21"/>
          <w:szCs w:val="21"/>
        </w:rPr>
        <w:t xml:space="preserve"> 45,610 </w:t>
      </w:r>
      <w:proofErr w:type="gramStart"/>
      <w:r w:rsidRPr="006B07F0">
        <w:rPr>
          <w:rFonts w:ascii="宋体" w:hAnsi="宋体" w:cs="Times New Roman" w:hint="eastAsia"/>
          <w:bCs/>
          <w:sz w:val="21"/>
          <w:szCs w:val="21"/>
        </w:rPr>
        <w:t>万平方米</w:t>
      </w:r>
      <w:proofErr w:type="gramEnd"/>
      <w:r w:rsidRPr="006B07F0">
        <w:rPr>
          <w:rFonts w:ascii="宋体" w:hAnsi="宋体" w:cs="Times New Roman" w:hint="eastAsia"/>
          <w:bCs/>
          <w:sz w:val="21"/>
          <w:szCs w:val="21"/>
        </w:rPr>
        <w:t>，较</w:t>
      </w:r>
      <w:r w:rsidRPr="006B07F0">
        <w:rPr>
          <w:rFonts w:ascii="宋体" w:hAnsi="宋体" w:cs="Times New Roman"/>
          <w:bCs/>
          <w:sz w:val="21"/>
          <w:szCs w:val="21"/>
        </w:rPr>
        <w:t xml:space="preserve"> 2019 </w:t>
      </w:r>
      <w:r w:rsidRPr="006B07F0">
        <w:rPr>
          <w:rFonts w:ascii="宋体" w:hAnsi="宋体" w:cs="Times New Roman" w:hint="eastAsia"/>
          <w:bCs/>
          <w:sz w:val="21"/>
          <w:szCs w:val="21"/>
        </w:rPr>
        <w:t>年同期分别增长</w:t>
      </w:r>
      <w:r w:rsidRPr="006B07F0">
        <w:rPr>
          <w:rFonts w:ascii="宋体" w:hAnsi="宋体" w:cs="Times New Roman"/>
          <w:bCs/>
          <w:sz w:val="21"/>
          <w:szCs w:val="21"/>
        </w:rPr>
        <w:t xml:space="preserve"> 2.53%</w:t>
      </w:r>
      <w:r w:rsidRPr="006B07F0">
        <w:rPr>
          <w:rFonts w:ascii="宋体" w:hAnsi="宋体" w:cs="Times New Roman" w:hint="eastAsia"/>
          <w:bCs/>
          <w:sz w:val="21"/>
          <w:szCs w:val="21"/>
        </w:rPr>
        <w:t>及</w:t>
      </w:r>
      <w:r w:rsidRPr="006B07F0">
        <w:rPr>
          <w:rFonts w:ascii="宋体" w:hAnsi="宋体" w:cs="Times New Roman"/>
          <w:bCs/>
          <w:sz w:val="21"/>
          <w:szCs w:val="21"/>
        </w:rPr>
        <w:t xml:space="preserve"> 2.93%</w:t>
      </w:r>
      <w:r w:rsidRPr="006B07F0">
        <w:rPr>
          <w:rFonts w:ascii="宋体" w:hAnsi="宋体" w:cs="Times New Roman" w:hint="eastAsia"/>
          <w:bCs/>
          <w:sz w:val="21"/>
          <w:szCs w:val="21"/>
        </w:rPr>
        <w:t>，基本恢复正常增长水平。住宅新开工面积可能发生的不利变化会对公司经营业绩造成影响。</w:t>
      </w:r>
    </w:p>
    <w:p w:rsidR="001E2F08" w:rsidRPr="006B07F0" w:rsidRDefault="001E2F08" w:rsidP="001E2F08">
      <w:pPr>
        <w:pStyle w:val="12"/>
        <w:spacing w:before="163" w:after="163"/>
        <w:ind w:firstLine="420"/>
        <w:rPr>
          <w:rFonts w:ascii="宋体" w:hAnsi="宋体" w:cs="Times New Roman"/>
          <w:bCs/>
          <w:iCs/>
          <w:sz w:val="21"/>
          <w:szCs w:val="21"/>
          <w:lang w:bidi="en-US"/>
        </w:rPr>
      </w:pPr>
      <w:r w:rsidRPr="006B07F0">
        <w:rPr>
          <w:rFonts w:ascii="宋体" w:hAnsi="宋体" w:cs="Times New Roman" w:hint="eastAsia"/>
          <w:bCs/>
          <w:sz w:val="21"/>
          <w:szCs w:val="21"/>
        </w:rPr>
        <w:lastRenderedPageBreak/>
        <w:t>同时，</w:t>
      </w:r>
      <w:r w:rsidRPr="006B07F0">
        <w:rPr>
          <w:rFonts w:ascii="宋体" w:hAnsi="宋体" w:cs="Times New Roman"/>
          <w:bCs/>
          <w:sz w:val="21"/>
          <w:szCs w:val="21"/>
        </w:rPr>
        <w:t>2020</w:t>
      </w:r>
      <w:r w:rsidRPr="006B07F0">
        <w:rPr>
          <w:rFonts w:ascii="宋体" w:hAnsi="宋体" w:cs="Times New Roman" w:hint="eastAsia"/>
          <w:bCs/>
          <w:sz w:val="21"/>
          <w:szCs w:val="21"/>
        </w:rPr>
        <w:t>年</w:t>
      </w:r>
      <w:r w:rsidRPr="006B07F0">
        <w:rPr>
          <w:rFonts w:ascii="宋体" w:hAnsi="宋体" w:cs="Times New Roman"/>
          <w:bCs/>
          <w:sz w:val="21"/>
          <w:szCs w:val="21"/>
        </w:rPr>
        <w:t>8</w:t>
      </w:r>
      <w:r w:rsidRPr="006B07F0">
        <w:rPr>
          <w:rFonts w:ascii="宋体" w:hAnsi="宋体" w:cs="Times New Roman" w:hint="eastAsia"/>
          <w:bCs/>
          <w:sz w:val="21"/>
          <w:szCs w:val="21"/>
        </w:rPr>
        <w:t>月，监管部门出台房地产融资新</w:t>
      </w:r>
      <w:proofErr w:type="gramStart"/>
      <w:r w:rsidRPr="006B07F0">
        <w:rPr>
          <w:rFonts w:ascii="宋体" w:hAnsi="宋体" w:cs="Times New Roman" w:hint="eastAsia"/>
          <w:bCs/>
          <w:sz w:val="21"/>
          <w:szCs w:val="21"/>
        </w:rPr>
        <w:t>规</w:t>
      </w:r>
      <w:proofErr w:type="gramEnd"/>
      <w:r w:rsidRPr="006B07F0">
        <w:rPr>
          <w:rFonts w:ascii="宋体" w:hAnsi="宋体" w:cs="Times New Roman" w:hint="eastAsia"/>
          <w:bCs/>
          <w:sz w:val="21"/>
          <w:szCs w:val="21"/>
        </w:rPr>
        <w:t>，设置</w:t>
      </w:r>
      <w:r w:rsidRPr="006B07F0">
        <w:rPr>
          <w:rFonts w:ascii="宋体" w:hAnsi="宋体" w:cs="Times New Roman"/>
          <w:bCs/>
          <w:sz w:val="21"/>
          <w:szCs w:val="21"/>
        </w:rPr>
        <w:t>“</w:t>
      </w:r>
      <w:r w:rsidRPr="006B07F0">
        <w:rPr>
          <w:rFonts w:ascii="宋体" w:hAnsi="宋体" w:cs="Times New Roman" w:hint="eastAsia"/>
          <w:bCs/>
          <w:sz w:val="21"/>
          <w:szCs w:val="21"/>
        </w:rPr>
        <w:t>三道红线</w:t>
      </w:r>
      <w:r w:rsidRPr="006B07F0">
        <w:rPr>
          <w:rFonts w:ascii="宋体" w:hAnsi="宋体" w:cs="Times New Roman"/>
          <w:bCs/>
          <w:sz w:val="21"/>
          <w:szCs w:val="21"/>
        </w:rPr>
        <w:t>”</w:t>
      </w:r>
      <w:r w:rsidRPr="006B07F0">
        <w:rPr>
          <w:rFonts w:ascii="宋体" w:hAnsi="宋体" w:cs="Times New Roman" w:hint="eastAsia"/>
          <w:bCs/>
          <w:sz w:val="21"/>
          <w:szCs w:val="21"/>
        </w:rPr>
        <w:t>控制房地产企业有息债务的增长，旨在保障地产行业的持续健康发展，通过</w:t>
      </w:r>
      <w:proofErr w:type="gramStart"/>
      <w:r w:rsidRPr="006B07F0">
        <w:rPr>
          <w:rFonts w:ascii="宋体" w:hAnsi="宋体" w:cs="Times New Roman" w:hint="eastAsia"/>
          <w:bCs/>
          <w:sz w:val="21"/>
          <w:szCs w:val="21"/>
        </w:rPr>
        <w:t>控制房企有息</w:t>
      </w:r>
      <w:proofErr w:type="gramEnd"/>
      <w:r w:rsidRPr="006B07F0">
        <w:rPr>
          <w:rFonts w:ascii="宋体" w:hAnsi="宋体" w:cs="Times New Roman" w:hint="eastAsia"/>
          <w:bCs/>
          <w:sz w:val="21"/>
          <w:szCs w:val="21"/>
        </w:rPr>
        <w:t>负债规模增长速度，对地产行业融资供给进行结构性调控。其中，公司报告期内的主要客户，保利、</w:t>
      </w:r>
      <w:proofErr w:type="gramStart"/>
      <w:r w:rsidRPr="006B07F0">
        <w:rPr>
          <w:rFonts w:ascii="宋体" w:hAnsi="宋体" w:cs="Times New Roman" w:hint="eastAsia"/>
          <w:bCs/>
          <w:sz w:val="21"/>
          <w:szCs w:val="21"/>
        </w:rPr>
        <w:t>世</w:t>
      </w:r>
      <w:proofErr w:type="gramEnd"/>
      <w:r w:rsidRPr="006B07F0">
        <w:rPr>
          <w:rFonts w:ascii="宋体" w:hAnsi="宋体" w:cs="Times New Roman" w:hint="eastAsia"/>
          <w:bCs/>
          <w:sz w:val="21"/>
          <w:szCs w:val="21"/>
        </w:rPr>
        <w:t>茂归入绿色档，未触及红线，其他客户例如绿地、阳光城、北辰等，根据触及红线数量的不同，相应被归入黄、橙、红三档。在上述融资政策调整预期下，可能会导致该等客户的融资难度有所增加，从而给公司带来应收账款回款周期延长、发生坏账损失的可能性增加等经营风险。若公司上述主要客户未能较好地应对包括</w:t>
      </w:r>
      <w:r w:rsidRPr="006B07F0">
        <w:rPr>
          <w:rFonts w:ascii="宋体" w:hAnsi="宋体" w:cs="Times New Roman"/>
          <w:bCs/>
          <w:sz w:val="21"/>
          <w:szCs w:val="21"/>
        </w:rPr>
        <w:t>“</w:t>
      </w:r>
      <w:r w:rsidRPr="006B07F0">
        <w:rPr>
          <w:rFonts w:ascii="宋体" w:hAnsi="宋体" w:cs="Times New Roman" w:hint="eastAsia"/>
          <w:bCs/>
          <w:sz w:val="21"/>
          <w:szCs w:val="21"/>
        </w:rPr>
        <w:t>三道红线</w:t>
      </w:r>
      <w:r w:rsidRPr="006B07F0">
        <w:rPr>
          <w:rFonts w:ascii="宋体" w:hAnsi="宋体" w:cs="Times New Roman"/>
          <w:bCs/>
          <w:sz w:val="21"/>
          <w:szCs w:val="21"/>
        </w:rPr>
        <w:t>”</w:t>
      </w:r>
      <w:r w:rsidRPr="006B07F0">
        <w:rPr>
          <w:rFonts w:ascii="宋体" w:hAnsi="宋体" w:cs="Times New Roman" w:hint="eastAsia"/>
          <w:bCs/>
          <w:sz w:val="21"/>
          <w:szCs w:val="21"/>
        </w:rPr>
        <w:t>在内的房地产宏观调控政策，将会对公司的经营业绩构成冲击。</w:t>
      </w:r>
    </w:p>
    <w:p w:rsidR="001E2F08" w:rsidRPr="006B07F0" w:rsidRDefault="001E2F08" w:rsidP="001E2F08">
      <w:pPr>
        <w:pStyle w:val="12"/>
        <w:spacing w:before="163" w:after="163"/>
        <w:ind w:firstLine="420"/>
        <w:rPr>
          <w:rFonts w:ascii="宋体" w:hAnsi="宋体" w:cs="Times New Roman"/>
          <w:bCs/>
          <w:iCs/>
          <w:sz w:val="21"/>
          <w:szCs w:val="21"/>
          <w:lang w:bidi="en-US"/>
        </w:rPr>
      </w:pPr>
      <w:r w:rsidRPr="006B07F0">
        <w:rPr>
          <w:rFonts w:ascii="宋体" w:hAnsi="宋体" w:cs="Times New Roman" w:hint="eastAsia"/>
          <w:bCs/>
          <w:iCs/>
          <w:sz w:val="21"/>
          <w:szCs w:val="21"/>
          <w:lang w:bidi="en-US"/>
        </w:rPr>
        <w:t>目前，房地产行业调控政策已趋于稳定，但若政府进一步加大对房地产市场调控，可能导致房地产开发企业调整长期经营部署、减少土地投资、推迟项目开发、延长付款周期，对公司现有业务的推进、未来市场的开拓以及资金的及时回收造成不利影响，进而使得公司业绩增速有所放缓、经营活动现金流量有所下降。</w:t>
      </w:r>
    </w:p>
    <w:p w:rsidR="001E2F08" w:rsidRPr="006B07F0" w:rsidRDefault="001E2F08" w:rsidP="001E2F08">
      <w:pPr>
        <w:pStyle w:val="ae"/>
        <w:spacing w:before="163" w:after="163"/>
        <w:ind w:firstLine="420"/>
        <w:rPr>
          <w:rFonts w:ascii="宋体" w:eastAsia="宋体" w:hAnsi="宋体"/>
          <w:b w:val="0"/>
          <w:sz w:val="21"/>
          <w:szCs w:val="21"/>
        </w:rPr>
      </w:pPr>
    </w:p>
    <w:p w:rsidR="001E2F08" w:rsidRPr="006B07F0" w:rsidRDefault="001E2F08" w:rsidP="001E2F08">
      <w:pPr>
        <w:pStyle w:val="ab"/>
        <w:spacing w:before="163" w:after="163"/>
        <w:ind w:firstLine="422"/>
        <w:rPr>
          <w:bCs w:val="0"/>
          <w:sz w:val="21"/>
          <w:szCs w:val="21"/>
        </w:rPr>
      </w:pPr>
      <w:r w:rsidRPr="006B07F0">
        <w:rPr>
          <w:rFonts w:hint="eastAsia"/>
          <w:bCs w:val="0"/>
          <w:sz w:val="21"/>
          <w:szCs w:val="21"/>
        </w:rPr>
        <w:t>【中介机构核查意见】</w:t>
      </w:r>
    </w:p>
    <w:p w:rsidR="001E2F08" w:rsidRPr="006B07F0" w:rsidRDefault="001E2F08" w:rsidP="001E2F08">
      <w:pPr>
        <w:spacing w:beforeLines="50" w:before="163" w:afterLines="50" w:after="163" w:line="360" w:lineRule="auto"/>
        <w:ind w:firstLineChars="200" w:firstLine="422"/>
        <w:outlineLvl w:val="2"/>
        <w:rPr>
          <w:rFonts w:cs="Times New Roman"/>
          <w:b/>
          <w:color w:val="000000"/>
          <w:sz w:val="21"/>
          <w:szCs w:val="21"/>
          <w:lang w:bidi="en-US"/>
        </w:rPr>
      </w:pPr>
      <w:r w:rsidRPr="006B07F0">
        <w:rPr>
          <w:rFonts w:cs="Times New Roman" w:hint="eastAsia"/>
          <w:b/>
          <w:color w:val="000000"/>
          <w:sz w:val="21"/>
          <w:szCs w:val="21"/>
          <w:lang w:bidi="en-US"/>
        </w:rPr>
        <w:t>（一）核查过程</w:t>
      </w:r>
    </w:p>
    <w:p w:rsidR="001E2F08" w:rsidRPr="006B07F0" w:rsidRDefault="001E2F08" w:rsidP="001E2F08">
      <w:pPr>
        <w:spacing w:beforeLines="50" w:before="163" w:afterLines="50" w:after="163" w:line="360" w:lineRule="auto"/>
        <w:ind w:firstLineChars="200" w:firstLine="420"/>
        <w:rPr>
          <w:bCs/>
          <w:color w:val="000000"/>
          <w:sz w:val="21"/>
          <w:szCs w:val="21"/>
          <w:lang w:eastAsia="zh-TW" w:bidi="en-US"/>
        </w:rPr>
      </w:pPr>
      <w:r w:rsidRPr="006B07F0">
        <w:rPr>
          <w:rFonts w:cs="Times New Roman" w:hint="eastAsia"/>
          <w:bCs/>
          <w:sz w:val="21"/>
          <w:szCs w:val="21"/>
          <w:lang w:val="zh-TW"/>
        </w:rPr>
        <w:t>申报会计师执行了如下核查程序：</w:t>
      </w:r>
    </w:p>
    <w:p w:rsidR="001E2F08" w:rsidRPr="006B07F0" w:rsidRDefault="001E2F08" w:rsidP="001E2F08">
      <w:pPr>
        <w:spacing w:beforeLines="50" w:before="163" w:afterLines="50" w:after="163" w:line="360" w:lineRule="auto"/>
        <w:ind w:firstLineChars="200" w:firstLine="420"/>
        <w:rPr>
          <w:bCs/>
          <w:color w:val="000000"/>
          <w:sz w:val="21"/>
          <w:szCs w:val="21"/>
          <w:lang w:bidi="en-US"/>
        </w:rPr>
      </w:pPr>
      <w:r w:rsidRPr="006B07F0">
        <w:rPr>
          <w:rFonts w:cs="Times New Roman"/>
          <w:bCs/>
          <w:color w:val="000000"/>
          <w:sz w:val="21"/>
          <w:szCs w:val="21"/>
          <w:lang w:bidi="en-US"/>
        </w:rPr>
        <w:t>1</w:t>
      </w:r>
      <w:r w:rsidRPr="006B07F0">
        <w:rPr>
          <w:rFonts w:hint="eastAsia"/>
          <w:bCs/>
          <w:color w:val="000000"/>
          <w:sz w:val="21"/>
          <w:szCs w:val="21"/>
          <w:lang w:bidi="en-US"/>
        </w:rPr>
        <w:t>、查阅了发行人报告期内与保利合作项目涉及的区域分布情况，以及截至2020年末在手合同金额涉及的主要区域及城市；</w:t>
      </w:r>
    </w:p>
    <w:p w:rsidR="001E2F08" w:rsidRPr="006B07F0" w:rsidRDefault="001E2F08" w:rsidP="001E2F08">
      <w:pPr>
        <w:spacing w:beforeLines="50" w:before="163" w:afterLines="50" w:after="163" w:line="360" w:lineRule="auto"/>
        <w:ind w:firstLineChars="200" w:firstLine="420"/>
        <w:rPr>
          <w:bCs/>
          <w:color w:val="000000"/>
          <w:sz w:val="21"/>
          <w:szCs w:val="21"/>
          <w:lang w:bidi="en-US"/>
        </w:rPr>
      </w:pPr>
      <w:r w:rsidRPr="006B07F0">
        <w:rPr>
          <w:rFonts w:hint="eastAsia"/>
          <w:bCs/>
          <w:color w:val="000000"/>
          <w:sz w:val="21"/>
          <w:szCs w:val="21"/>
          <w:lang w:bidi="en-US"/>
        </w:rPr>
        <w:t>2、结合在手订单、业务拓展计划等因素，针对发行人未来</w:t>
      </w:r>
      <w:proofErr w:type="gramStart"/>
      <w:r w:rsidRPr="006B07F0">
        <w:rPr>
          <w:rFonts w:hint="eastAsia"/>
          <w:bCs/>
          <w:color w:val="000000"/>
          <w:sz w:val="21"/>
          <w:szCs w:val="21"/>
          <w:lang w:bidi="en-US"/>
        </w:rPr>
        <w:t>对保利</w:t>
      </w:r>
      <w:proofErr w:type="gramEnd"/>
      <w:r w:rsidRPr="006B07F0">
        <w:rPr>
          <w:rFonts w:hint="eastAsia"/>
          <w:bCs/>
          <w:color w:val="000000"/>
          <w:sz w:val="21"/>
          <w:szCs w:val="21"/>
          <w:lang w:bidi="en-US"/>
        </w:rPr>
        <w:t>和其他客户的收入预计实现及占比情况进行了分析，并客观、充分分析了发行人客户集中度较高特别是第一大客户占比高的风险；</w:t>
      </w:r>
    </w:p>
    <w:p w:rsidR="001E2F08" w:rsidRPr="006B07F0" w:rsidRDefault="001E2F08" w:rsidP="001E2F08">
      <w:pPr>
        <w:spacing w:beforeLines="50" w:before="163" w:afterLines="50" w:after="163" w:line="360" w:lineRule="auto"/>
        <w:ind w:firstLineChars="200" w:firstLine="420"/>
        <w:rPr>
          <w:bCs/>
          <w:color w:val="000000"/>
          <w:sz w:val="21"/>
          <w:szCs w:val="21"/>
          <w:lang w:bidi="en-US"/>
        </w:rPr>
      </w:pPr>
      <w:r w:rsidRPr="006B07F0">
        <w:rPr>
          <w:rFonts w:hint="eastAsia"/>
          <w:bCs/>
          <w:color w:val="000000"/>
          <w:sz w:val="21"/>
          <w:szCs w:val="21"/>
          <w:lang w:bidi="en-US"/>
        </w:rPr>
        <w:t>3、对发行人高管人员进行了访谈，结合主要客户变动情况、客户经营情况及面临的地域限制等因素，对发行人业务发展的可持续性、房地产调控政策对发行人经营业绩的影响进行了分析。</w:t>
      </w:r>
    </w:p>
    <w:p w:rsidR="001E2F08" w:rsidRPr="006B07F0" w:rsidRDefault="001E2F08" w:rsidP="001E2F08">
      <w:pPr>
        <w:spacing w:beforeLines="50" w:before="163" w:afterLines="50" w:after="163" w:line="360" w:lineRule="auto"/>
        <w:ind w:firstLineChars="200" w:firstLine="422"/>
        <w:outlineLvl w:val="2"/>
        <w:rPr>
          <w:rFonts w:cs="Times New Roman"/>
          <w:b/>
          <w:color w:val="000000"/>
          <w:sz w:val="21"/>
          <w:szCs w:val="21"/>
          <w:lang w:bidi="en-US"/>
        </w:rPr>
      </w:pPr>
      <w:r w:rsidRPr="006B07F0">
        <w:rPr>
          <w:rFonts w:cs="Times New Roman" w:hint="eastAsia"/>
          <w:b/>
          <w:color w:val="000000"/>
          <w:sz w:val="21"/>
          <w:szCs w:val="21"/>
          <w:lang w:bidi="en-US"/>
        </w:rPr>
        <w:lastRenderedPageBreak/>
        <w:t>（二）核查意见</w:t>
      </w:r>
    </w:p>
    <w:p w:rsidR="001E2F08" w:rsidRPr="006B07F0" w:rsidRDefault="001E2F08" w:rsidP="001E2F08">
      <w:pPr>
        <w:spacing w:beforeLines="50" w:before="163" w:afterLines="50" w:after="163" w:line="360" w:lineRule="auto"/>
        <w:ind w:firstLineChars="200" w:firstLine="420"/>
        <w:rPr>
          <w:rFonts w:cs="Times New Roman"/>
          <w:bCs/>
          <w:kern w:val="2"/>
          <w:sz w:val="21"/>
          <w:szCs w:val="21"/>
        </w:rPr>
      </w:pPr>
      <w:r w:rsidRPr="006B07F0">
        <w:rPr>
          <w:rFonts w:cs="Times New Roman" w:hint="eastAsia"/>
          <w:bCs/>
          <w:sz w:val="21"/>
          <w:szCs w:val="21"/>
          <w:lang w:val="zh-TW"/>
        </w:rPr>
        <w:t>申报会计师</w:t>
      </w:r>
      <w:r w:rsidRPr="006B07F0">
        <w:rPr>
          <w:rFonts w:cs="Times New Roman" w:hint="eastAsia"/>
          <w:bCs/>
          <w:sz w:val="21"/>
          <w:szCs w:val="21"/>
        </w:rPr>
        <w:t>核查意见如下：</w:t>
      </w:r>
    </w:p>
    <w:p w:rsidR="001E2F08" w:rsidRPr="006B07F0" w:rsidRDefault="001E2F08" w:rsidP="001E2F08">
      <w:pPr>
        <w:spacing w:beforeLines="50" w:before="163" w:afterLines="50" w:after="163" w:line="360" w:lineRule="auto"/>
        <w:ind w:firstLineChars="200" w:firstLine="420"/>
        <w:rPr>
          <w:rFonts w:cs="Times New Roman"/>
          <w:bCs/>
          <w:sz w:val="21"/>
          <w:szCs w:val="21"/>
        </w:rPr>
      </w:pPr>
      <w:r w:rsidRPr="006B07F0">
        <w:rPr>
          <w:rFonts w:cs="Times New Roman"/>
          <w:bCs/>
          <w:sz w:val="21"/>
          <w:szCs w:val="21"/>
        </w:rPr>
        <w:t>1</w:t>
      </w:r>
      <w:r w:rsidRPr="006B07F0">
        <w:rPr>
          <w:rFonts w:cs="Times New Roman" w:hint="eastAsia"/>
          <w:bCs/>
          <w:sz w:val="21"/>
          <w:szCs w:val="21"/>
        </w:rPr>
        <w:t>、发行人已在招股说明书中披露了报告期内与保利合作项目涉及的区域分布情况以及截至</w:t>
      </w:r>
      <w:r w:rsidRPr="006B07F0">
        <w:rPr>
          <w:rFonts w:cs="Times New Roman"/>
          <w:bCs/>
          <w:sz w:val="21"/>
          <w:szCs w:val="21"/>
        </w:rPr>
        <w:t>2020</w:t>
      </w:r>
      <w:r w:rsidRPr="006B07F0">
        <w:rPr>
          <w:rFonts w:cs="Times New Roman" w:hint="eastAsia"/>
          <w:bCs/>
          <w:sz w:val="21"/>
          <w:szCs w:val="21"/>
        </w:rPr>
        <w:t>年末在手合同金额涉及的主要区域及城市，有关数据真实、准确；</w:t>
      </w:r>
    </w:p>
    <w:p w:rsidR="001E2F08" w:rsidRPr="006B07F0" w:rsidRDefault="001E2F08" w:rsidP="001E2F08">
      <w:pPr>
        <w:spacing w:beforeLines="50" w:before="163" w:afterLines="50" w:after="163" w:line="360" w:lineRule="auto"/>
        <w:ind w:firstLineChars="200" w:firstLine="420"/>
        <w:rPr>
          <w:rFonts w:cs="Times New Roman"/>
          <w:bCs/>
          <w:sz w:val="21"/>
          <w:szCs w:val="21"/>
        </w:rPr>
      </w:pPr>
      <w:r w:rsidRPr="006B07F0">
        <w:rPr>
          <w:rFonts w:cs="Times New Roman"/>
          <w:bCs/>
          <w:sz w:val="21"/>
          <w:szCs w:val="21"/>
        </w:rPr>
        <w:t>2</w:t>
      </w:r>
      <w:r w:rsidRPr="006B07F0">
        <w:rPr>
          <w:rFonts w:cs="Times New Roman" w:hint="eastAsia"/>
          <w:bCs/>
          <w:sz w:val="21"/>
          <w:szCs w:val="21"/>
        </w:rPr>
        <w:t>、发行人已在招股说明书中披露了未来</w:t>
      </w:r>
      <w:proofErr w:type="gramStart"/>
      <w:r w:rsidRPr="006B07F0">
        <w:rPr>
          <w:rFonts w:cs="Times New Roman" w:hint="eastAsia"/>
          <w:bCs/>
          <w:sz w:val="21"/>
          <w:szCs w:val="21"/>
        </w:rPr>
        <w:t>对保利</w:t>
      </w:r>
      <w:proofErr w:type="gramEnd"/>
      <w:r w:rsidRPr="006B07F0">
        <w:rPr>
          <w:rFonts w:cs="Times New Roman" w:hint="eastAsia"/>
          <w:bCs/>
          <w:sz w:val="21"/>
          <w:szCs w:val="21"/>
        </w:rPr>
        <w:t>和其他客户的收入预计实现及占比情况，客观、充分披露发行人客户集中度较高特别是第一大客户占比高的风险，并做重大风险提示，相关表述准确、客观；</w:t>
      </w:r>
    </w:p>
    <w:p w:rsidR="001E2F08" w:rsidRPr="006B07F0" w:rsidRDefault="001E2F08" w:rsidP="001E2F08">
      <w:pPr>
        <w:spacing w:beforeLines="50" w:before="163" w:afterLines="50" w:after="163" w:line="360" w:lineRule="auto"/>
        <w:ind w:firstLineChars="200" w:firstLine="420"/>
        <w:rPr>
          <w:bCs/>
          <w:color w:val="000000"/>
          <w:sz w:val="21"/>
          <w:szCs w:val="21"/>
          <w:lang w:bidi="en-US"/>
        </w:rPr>
      </w:pPr>
      <w:r w:rsidRPr="006B07F0">
        <w:rPr>
          <w:rFonts w:cs="Times New Roman"/>
          <w:bCs/>
          <w:sz w:val="21"/>
          <w:szCs w:val="21"/>
        </w:rPr>
        <w:t>3</w:t>
      </w:r>
      <w:r w:rsidRPr="006B07F0">
        <w:rPr>
          <w:rFonts w:cs="Times New Roman" w:hint="eastAsia"/>
          <w:bCs/>
          <w:sz w:val="21"/>
          <w:szCs w:val="21"/>
        </w:rPr>
        <w:t>、发行人已在招股说明书中披露了业务发展的可持续性、房地产调控政策对发行人经营业绩的影响，并做重大风险提示，相关表述准确、客观。发行人业务发展具有可持续性。</w:t>
      </w:r>
    </w:p>
    <w:p w:rsidR="001E2F08" w:rsidRPr="006B07F0" w:rsidRDefault="001E2F08" w:rsidP="001E2F08">
      <w:pPr>
        <w:pStyle w:val="ae"/>
        <w:spacing w:before="163" w:after="163"/>
        <w:ind w:firstLine="420"/>
        <w:rPr>
          <w:rFonts w:ascii="宋体" w:eastAsia="宋体" w:hAnsi="宋体"/>
          <w:b w:val="0"/>
          <w:sz w:val="21"/>
          <w:szCs w:val="21"/>
        </w:rPr>
      </w:pPr>
    </w:p>
    <w:p w:rsidR="001E2F08" w:rsidRPr="006B07F0" w:rsidRDefault="001E2F08" w:rsidP="001E2F08">
      <w:pPr>
        <w:snapToGrid w:val="0"/>
        <w:spacing w:beforeLines="50" w:before="163" w:afterLines="50" w:after="163" w:line="360" w:lineRule="auto"/>
        <w:ind w:firstLineChars="200" w:firstLine="422"/>
        <w:outlineLvl w:val="0"/>
        <w:rPr>
          <w:rFonts w:cs="Times New Roman"/>
          <w:b/>
          <w:sz w:val="21"/>
          <w:szCs w:val="21"/>
        </w:rPr>
      </w:pPr>
      <w:bookmarkStart w:id="5" w:name="_Toc58669586"/>
      <w:r w:rsidRPr="006B07F0">
        <w:rPr>
          <w:rFonts w:cs="Times New Roman" w:hint="eastAsia"/>
          <w:b/>
          <w:sz w:val="21"/>
          <w:szCs w:val="21"/>
        </w:rPr>
        <w:t>问题</w:t>
      </w:r>
      <w:r w:rsidRPr="006B07F0">
        <w:rPr>
          <w:rFonts w:cs="Times New Roman"/>
          <w:b/>
          <w:sz w:val="21"/>
          <w:szCs w:val="21"/>
        </w:rPr>
        <w:t>4</w:t>
      </w:r>
      <w:bookmarkEnd w:id="5"/>
      <w:r w:rsidRPr="006B07F0">
        <w:rPr>
          <w:rFonts w:cs="Times New Roman"/>
          <w:b/>
          <w:sz w:val="21"/>
          <w:szCs w:val="21"/>
        </w:rPr>
        <w:t xml:space="preserve"> </w:t>
      </w:r>
    </w:p>
    <w:p w:rsidR="001E2F08" w:rsidRPr="006B07F0" w:rsidRDefault="001E2F08" w:rsidP="001E2F08">
      <w:pPr>
        <w:pStyle w:val="ae"/>
        <w:spacing w:before="163" w:after="163"/>
        <w:ind w:firstLine="422"/>
        <w:rPr>
          <w:rFonts w:ascii="宋体" w:eastAsia="宋体" w:hAnsi="宋体"/>
          <w:bCs w:val="0"/>
          <w:sz w:val="21"/>
          <w:szCs w:val="21"/>
        </w:rPr>
      </w:pPr>
      <w:r w:rsidRPr="006B07F0">
        <w:rPr>
          <w:rFonts w:ascii="宋体" w:eastAsia="宋体" w:hAnsi="宋体"/>
          <w:bCs w:val="0"/>
          <w:sz w:val="21"/>
          <w:szCs w:val="21"/>
        </w:rPr>
        <w:t>4.</w:t>
      </w:r>
      <w:r w:rsidRPr="006B07F0">
        <w:rPr>
          <w:rFonts w:ascii="宋体" w:eastAsia="宋体" w:hAnsi="宋体" w:hint="eastAsia"/>
          <w:bCs w:val="0"/>
          <w:sz w:val="21"/>
          <w:szCs w:val="21"/>
        </w:rPr>
        <w:t xml:space="preserve"> 根据申报材料和审核问询回复，发行人主要客户均为房地产开发企业，报告期各期应收账款余额分别为</w:t>
      </w:r>
      <w:r w:rsidRPr="006B07F0">
        <w:rPr>
          <w:rFonts w:ascii="宋体" w:eastAsia="宋体" w:hAnsi="宋体"/>
          <w:bCs w:val="0"/>
          <w:sz w:val="21"/>
          <w:szCs w:val="21"/>
        </w:rPr>
        <w:t>3,831.46</w:t>
      </w:r>
      <w:r w:rsidRPr="006B07F0">
        <w:rPr>
          <w:rFonts w:ascii="宋体" w:eastAsia="宋体" w:hAnsi="宋体" w:hint="eastAsia"/>
          <w:bCs w:val="0"/>
          <w:sz w:val="21"/>
          <w:szCs w:val="21"/>
        </w:rPr>
        <w:t>万元、</w:t>
      </w:r>
      <w:r w:rsidRPr="006B07F0">
        <w:rPr>
          <w:rFonts w:ascii="宋体" w:eastAsia="宋体" w:hAnsi="宋体"/>
          <w:bCs w:val="0"/>
          <w:sz w:val="21"/>
          <w:szCs w:val="21"/>
        </w:rPr>
        <w:t>9,752.41</w:t>
      </w:r>
      <w:r w:rsidRPr="006B07F0">
        <w:rPr>
          <w:rFonts w:ascii="宋体" w:eastAsia="宋体" w:hAnsi="宋体" w:hint="eastAsia"/>
          <w:bCs w:val="0"/>
          <w:sz w:val="21"/>
          <w:szCs w:val="21"/>
        </w:rPr>
        <w:t>万元、</w:t>
      </w:r>
      <w:r w:rsidRPr="006B07F0">
        <w:rPr>
          <w:rFonts w:ascii="宋体" w:eastAsia="宋体" w:hAnsi="宋体"/>
          <w:bCs w:val="0"/>
          <w:sz w:val="21"/>
          <w:szCs w:val="21"/>
        </w:rPr>
        <w:t>21,235.39</w:t>
      </w:r>
      <w:r w:rsidRPr="006B07F0">
        <w:rPr>
          <w:rFonts w:ascii="宋体" w:eastAsia="宋体" w:hAnsi="宋体" w:hint="eastAsia"/>
          <w:bCs w:val="0"/>
          <w:sz w:val="21"/>
          <w:szCs w:val="21"/>
        </w:rPr>
        <w:t>万元和</w:t>
      </w:r>
      <w:r w:rsidRPr="006B07F0">
        <w:rPr>
          <w:rFonts w:ascii="宋体" w:eastAsia="宋体" w:hAnsi="宋体"/>
          <w:bCs w:val="0"/>
          <w:sz w:val="21"/>
          <w:szCs w:val="21"/>
        </w:rPr>
        <w:t>24,626.67</w:t>
      </w:r>
      <w:r w:rsidRPr="006B07F0">
        <w:rPr>
          <w:rFonts w:ascii="宋体" w:eastAsia="宋体" w:hAnsi="宋体" w:hint="eastAsia"/>
          <w:bCs w:val="0"/>
          <w:sz w:val="21"/>
          <w:szCs w:val="21"/>
        </w:rPr>
        <w:t>万元，增幅较大；公司</w:t>
      </w:r>
      <w:proofErr w:type="gramStart"/>
      <w:r w:rsidRPr="006B07F0">
        <w:rPr>
          <w:rFonts w:ascii="宋体" w:eastAsia="宋体" w:hAnsi="宋体" w:hint="eastAsia"/>
          <w:bCs w:val="0"/>
          <w:sz w:val="21"/>
          <w:szCs w:val="21"/>
        </w:rPr>
        <w:t>对保利</w:t>
      </w:r>
      <w:proofErr w:type="gramEnd"/>
      <w:r w:rsidRPr="006B07F0">
        <w:rPr>
          <w:rFonts w:ascii="宋体" w:eastAsia="宋体" w:hAnsi="宋体" w:hint="eastAsia"/>
          <w:bCs w:val="0"/>
          <w:sz w:val="21"/>
          <w:szCs w:val="21"/>
        </w:rPr>
        <w:t>的应收</w:t>
      </w:r>
      <w:proofErr w:type="gramStart"/>
      <w:r w:rsidRPr="006B07F0">
        <w:rPr>
          <w:rFonts w:ascii="宋体" w:eastAsia="宋体" w:hAnsi="宋体" w:hint="eastAsia"/>
          <w:bCs w:val="0"/>
          <w:sz w:val="21"/>
          <w:szCs w:val="21"/>
        </w:rPr>
        <w:t>账款占</w:t>
      </w:r>
      <w:proofErr w:type="gramEnd"/>
      <w:r w:rsidRPr="006B07F0">
        <w:rPr>
          <w:rFonts w:ascii="宋体" w:eastAsia="宋体" w:hAnsi="宋体" w:hint="eastAsia"/>
          <w:bCs w:val="0"/>
          <w:sz w:val="21"/>
          <w:szCs w:val="21"/>
        </w:rPr>
        <w:t>当期应收账款余额的比例分别为</w:t>
      </w:r>
      <w:r w:rsidRPr="006B07F0">
        <w:rPr>
          <w:rFonts w:ascii="宋体" w:eastAsia="宋体" w:hAnsi="宋体"/>
          <w:bCs w:val="0"/>
          <w:sz w:val="21"/>
          <w:szCs w:val="21"/>
        </w:rPr>
        <w:t>39.02%</w:t>
      </w:r>
      <w:r w:rsidRPr="006B07F0">
        <w:rPr>
          <w:rFonts w:ascii="宋体" w:eastAsia="宋体" w:hAnsi="宋体" w:hint="eastAsia"/>
          <w:bCs w:val="0"/>
          <w:sz w:val="21"/>
          <w:szCs w:val="21"/>
        </w:rPr>
        <w:t>、</w:t>
      </w:r>
      <w:r w:rsidRPr="006B07F0">
        <w:rPr>
          <w:rFonts w:ascii="宋体" w:eastAsia="宋体" w:hAnsi="宋体"/>
          <w:bCs w:val="0"/>
          <w:sz w:val="21"/>
          <w:szCs w:val="21"/>
        </w:rPr>
        <w:t>37.02%</w:t>
      </w:r>
      <w:r w:rsidRPr="006B07F0">
        <w:rPr>
          <w:rFonts w:ascii="宋体" w:eastAsia="宋体" w:hAnsi="宋体" w:hint="eastAsia"/>
          <w:bCs w:val="0"/>
          <w:sz w:val="21"/>
          <w:szCs w:val="21"/>
        </w:rPr>
        <w:t>、</w:t>
      </w:r>
      <w:r w:rsidRPr="006B07F0">
        <w:rPr>
          <w:rFonts w:ascii="宋体" w:eastAsia="宋体" w:hAnsi="宋体"/>
          <w:bCs w:val="0"/>
          <w:sz w:val="21"/>
          <w:szCs w:val="21"/>
        </w:rPr>
        <w:t>44.18%</w:t>
      </w:r>
      <w:r w:rsidRPr="006B07F0">
        <w:rPr>
          <w:rFonts w:ascii="宋体" w:eastAsia="宋体" w:hAnsi="宋体" w:hint="eastAsia"/>
          <w:bCs w:val="0"/>
          <w:sz w:val="21"/>
          <w:szCs w:val="21"/>
        </w:rPr>
        <w:t>和</w:t>
      </w:r>
      <w:r w:rsidRPr="006B07F0">
        <w:rPr>
          <w:rFonts w:ascii="宋体" w:eastAsia="宋体" w:hAnsi="宋体"/>
          <w:bCs w:val="0"/>
          <w:sz w:val="21"/>
          <w:szCs w:val="21"/>
        </w:rPr>
        <w:t>50.42%</w:t>
      </w:r>
      <w:r w:rsidRPr="006B07F0">
        <w:rPr>
          <w:rFonts w:ascii="宋体" w:eastAsia="宋体" w:hAnsi="宋体" w:hint="eastAsia"/>
          <w:bCs w:val="0"/>
          <w:sz w:val="21"/>
          <w:szCs w:val="21"/>
        </w:rPr>
        <w:t>。截至</w:t>
      </w:r>
      <w:r w:rsidRPr="006B07F0">
        <w:rPr>
          <w:rFonts w:ascii="宋体" w:eastAsia="宋体" w:hAnsi="宋体"/>
          <w:bCs w:val="0"/>
          <w:sz w:val="21"/>
          <w:szCs w:val="21"/>
        </w:rPr>
        <w:t>2020</w:t>
      </w:r>
      <w:r w:rsidRPr="006B07F0">
        <w:rPr>
          <w:rFonts w:ascii="宋体" w:eastAsia="宋体" w:hAnsi="宋体" w:hint="eastAsia"/>
          <w:bCs w:val="0"/>
          <w:sz w:val="21"/>
          <w:szCs w:val="21"/>
        </w:rPr>
        <w:t>年</w:t>
      </w:r>
      <w:r w:rsidRPr="006B07F0">
        <w:rPr>
          <w:rFonts w:ascii="宋体" w:eastAsia="宋体" w:hAnsi="宋体"/>
          <w:bCs w:val="0"/>
          <w:sz w:val="21"/>
          <w:szCs w:val="21"/>
        </w:rPr>
        <w:t>9</w:t>
      </w:r>
      <w:r w:rsidRPr="006B07F0">
        <w:rPr>
          <w:rFonts w:ascii="宋体" w:eastAsia="宋体" w:hAnsi="宋体" w:hint="eastAsia"/>
          <w:bCs w:val="0"/>
          <w:sz w:val="21"/>
          <w:szCs w:val="21"/>
        </w:rPr>
        <w:t>月</w:t>
      </w:r>
      <w:r w:rsidRPr="006B07F0">
        <w:rPr>
          <w:rFonts w:ascii="宋体" w:eastAsia="宋体" w:hAnsi="宋体"/>
          <w:bCs w:val="0"/>
          <w:sz w:val="21"/>
          <w:szCs w:val="21"/>
        </w:rPr>
        <w:t>30</w:t>
      </w:r>
      <w:r w:rsidRPr="006B07F0">
        <w:rPr>
          <w:rFonts w:ascii="宋体" w:eastAsia="宋体" w:hAnsi="宋体" w:hint="eastAsia"/>
          <w:bCs w:val="0"/>
          <w:sz w:val="21"/>
          <w:szCs w:val="21"/>
        </w:rPr>
        <w:t>日，报告期各期末公司应收账款期后回款金额占应收账款余额的比例分别为</w:t>
      </w:r>
      <w:r w:rsidRPr="006B07F0">
        <w:rPr>
          <w:rFonts w:ascii="宋体" w:eastAsia="宋体" w:hAnsi="宋体"/>
          <w:bCs w:val="0"/>
          <w:sz w:val="21"/>
          <w:szCs w:val="21"/>
        </w:rPr>
        <w:t>83.47%</w:t>
      </w:r>
      <w:r w:rsidRPr="006B07F0">
        <w:rPr>
          <w:rFonts w:ascii="宋体" w:eastAsia="宋体" w:hAnsi="宋体" w:hint="eastAsia"/>
          <w:bCs w:val="0"/>
          <w:sz w:val="21"/>
          <w:szCs w:val="21"/>
        </w:rPr>
        <w:t>、</w:t>
      </w:r>
      <w:r w:rsidRPr="006B07F0">
        <w:rPr>
          <w:rFonts w:ascii="宋体" w:eastAsia="宋体" w:hAnsi="宋体"/>
          <w:bCs w:val="0"/>
          <w:sz w:val="21"/>
          <w:szCs w:val="21"/>
        </w:rPr>
        <w:t>74.92%</w:t>
      </w:r>
      <w:r w:rsidRPr="006B07F0">
        <w:rPr>
          <w:rFonts w:ascii="宋体" w:eastAsia="宋体" w:hAnsi="宋体" w:hint="eastAsia"/>
          <w:bCs w:val="0"/>
          <w:sz w:val="21"/>
          <w:szCs w:val="21"/>
        </w:rPr>
        <w:t>、</w:t>
      </w:r>
      <w:r w:rsidRPr="006B07F0">
        <w:rPr>
          <w:rFonts w:ascii="宋体" w:eastAsia="宋体" w:hAnsi="宋体"/>
          <w:bCs w:val="0"/>
          <w:sz w:val="21"/>
          <w:szCs w:val="21"/>
        </w:rPr>
        <w:t>56.41%</w:t>
      </w:r>
      <w:r w:rsidRPr="006B07F0">
        <w:rPr>
          <w:rFonts w:ascii="宋体" w:eastAsia="宋体" w:hAnsi="宋体" w:hint="eastAsia"/>
          <w:bCs w:val="0"/>
          <w:sz w:val="21"/>
          <w:szCs w:val="21"/>
        </w:rPr>
        <w:t>和</w:t>
      </w:r>
      <w:r w:rsidRPr="006B07F0">
        <w:rPr>
          <w:rFonts w:ascii="宋体" w:eastAsia="宋体" w:hAnsi="宋体"/>
          <w:bCs w:val="0"/>
          <w:sz w:val="21"/>
          <w:szCs w:val="21"/>
        </w:rPr>
        <w:t>22.10%</w:t>
      </w:r>
      <w:r w:rsidRPr="006B07F0">
        <w:rPr>
          <w:rFonts w:ascii="宋体" w:eastAsia="宋体" w:hAnsi="宋体" w:hint="eastAsia"/>
          <w:bCs w:val="0"/>
          <w:sz w:val="21"/>
          <w:szCs w:val="21"/>
        </w:rPr>
        <w:t>。请发行人：（</w:t>
      </w:r>
      <w:r w:rsidRPr="006B07F0">
        <w:rPr>
          <w:rFonts w:ascii="宋体" w:eastAsia="宋体" w:hAnsi="宋体"/>
          <w:bCs w:val="0"/>
          <w:sz w:val="21"/>
          <w:szCs w:val="21"/>
        </w:rPr>
        <w:t>1</w:t>
      </w:r>
      <w:r w:rsidRPr="006B07F0">
        <w:rPr>
          <w:rFonts w:ascii="宋体" w:eastAsia="宋体" w:hAnsi="宋体" w:hint="eastAsia"/>
          <w:bCs w:val="0"/>
          <w:sz w:val="21"/>
          <w:szCs w:val="21"/>
        </w:rPr>
        <w:t>）结合主要客户信用状况、资金状况、偿债能力变化情况等，补充披露是否存在回款风险较大、资金</w:t>
      </w:r>
      <w:proofErr w:type="gramStart"/>
      <w:r w:rsidRPr="006B07F0">
        <w:rPr>
          <w:rFonts w:ascii="宋体" w:eastAsia="宋体" w:hAnsi="宋体" w:hint="eastAsia"/>
          <w:bCs w:val="0"/>
          <w:sz w:val="21"/>
          <w:szCs w:val="21"/>
        </w:rPr>
        <w:t>链紧张</w:t>
      </w:r>
      <w:proofErr w:type="gramEnd"/>
      <w:r w:rsidRPr="006B07F0">
        <w:rPr>
          <w:rFonts w:ascii="宋体" w:eastAsia="宋体" w:hAnsi="宋体" w:hint="eastAsia"/>
          <w:bCs w:val="0"/>
          <w:sz w:val="21"/>
          <w:szCs w:val="21"/>
        </w:rPr>
        <w:t>的客户，相关坏账准备计提是否充分；（</w:t>
      </w:r>
      <w:r w:rsidRPr="006B07F0">
        <w:rPr>
          <w:rFonts w:ascii="宋体" w:eastAsia="宋体" w:hAnsi="宋体"/>
          <w:bCs w:val="0"/>
          <w:sz w:val="21"/>
          <w:szCs w:val="21"/>
        </w:rPr>
        <w:t>2</w:t>
      </w:r>
      <w:r w:rsidRPr="006B07F0">
        <w:rPr>
          <w:rFonts w:ascii="宋体" w:eastAsia="宋体" w:hAnsi="宋体" w:hint="eastAsia"/>
          <w:bCs w:val="0"/>
          <w:sz w:val="21"/>
          <w:szCs w:val="21"/>
        </w:rPr>
        <w:t>）补充披露截至目前的期后回款情况，回款比例与同行业可比公司比较情况，如存在较大差异，请分析原因及合理性，发行人是否面临较大的回款风险及对经营业绩的影响；（</w:t>
      </w:r>
      <w:r w:rsidRPr="006B07F0">
        <w:rPr>
          <w:rFonts w:ascii="宋体" w:eastAsia="宋体" w:hAnsi="宋体"/>
          <w:bCs w:val="0"/>
          <w:sz w:val="21"/>
          <w:szCs w:val="21"/>
        </w:rPr>
        <w:t>3</w:t>
      </w:r>
      <w:r w:rsidRPr="006B07F0">
        <w:rPr>
          <w:rFonts w:ascii="宋体" w:eastAsia="宋体" w:hAnsi="宋体" w:hint="eastAsia"/>
          <w:bCs w:val="0"/>
          <w:sz w:val="21"/>
          <w:szCs w:val="21"/>
        </w:rPr>
        <w:t>）补充披露截至目前的应收账款逾期情况，包括但不限于涉及的客户、金额、预期原因等；（</w:t>
      </w:r>
      <w:r w:rsidRPr="006B07F0">
        <w:rPr>
          <w:rFonts w:ascii="宋体" w:eastAsia="宋体" w:hAnsi="宋体"/>
          <w:bCs w:val="0"/>
          <w:sz w:val="21"/>
          <w:szCs w:val="21"/>
        </w:rPr>
        <w:t>4</w:t>
      </w:r>
      <w:r w:rsidRPr="006B07F0">
        <w:rPr>
          <w:rFonts w:ascii="宋体" w:eastAsia="宋体" w:hAnsi="宋体" w:hint="eastAsia"/>
          <w:bCs w:val="0"/>
          <w:sz w:val="21"/>
          <w:szCs w:val="21"/>
        </w:rPr>
        <w:t>）结合上述事项，以及房地产调控政策、新增住宅开发面积等，对发行人面临的应收账款风险、主营业务风险进行有针对性的充分披露和揭示。</w:t>
      </w:r>
    </w:p>
    <w:p w:rsidR="001E2F08" w:rsidRPr="006B07F0" w:rsidRDefault="001E2F08" w:rsidP="001E2F08">
      <w:pPr>
        <w:pStyle w:val="ae"/>
        <w:spacing w:before="163" w:after="163"/>
        <w:ind w:firstLine="422"/>
        <w:rPr>
          <w:rFonts w:ascii="宋体" w:eastAsia="宋体" w:hAnsi="宋体"/>
          <w:bCs w:val="0"/>
          <w:sz w:val="21"/>
          <w:szCs w:val="21"/>
        </w:rPr>
      </w:pPr>
      <w:r w:rsidRPr="006B07F0">
        <w:rPr>
          <w:rFonts w:ascii="宋体" w:eastAsia="宋体" w:hAnsi="宋体" w:hint="eastAsia"/>
          <w:bCs w:val="0"/>
          <w:sz w:val="21"/>
          <w:szCs w:val="21"/>
        </w:rPr>
        <w:t>请保荐人、申报会计师发表明确意见。</w:t>
      </w:r>
    </w:p>
    <w:p w:rsidR="001E2F08" w:rsidRPr="006B07F0" w:rsidRDefault="001E2F08" w:rsidP="001E2F08">
      <w:pPr>
        <w:spacing w:beforeLines="50" w:before="163" w:afterLines="50" w:after="163" w:line="360" w:lineRule="auto"/>
        <w:ind w:firstLineChars="200" w:firstLine="422"/>
        <w:rPr>
          <w:b/>
          <w:sz w:val="21"/>
          <w:szCs w:val="21"/>
          <w:u w:val="double"/>
        </w:rPr>
      </w:pPr>
      <w:r w:rsidRPr="006B07F0">
        <w:rPr>
          <w:rFonts w:hint="eastAsia"/>
          <w:b/>
          <w:sz w:val="21"/>
          <w:szCs w:val="21"/>
          <w:u w:val="double"/>
        </w:rPr>
        <w:t>答复：</w:t>
      </w:r>
    </w:p>
    <w:p w:rsidR="001E2F08" w:rsidRPr="006B07F0" w:rsidRDefault="001E2F08" w:rsidP="001E2F08">
      <w:pPr>
        <w:pStyle w:val="ad"/>
        <w:spacing w:before="163" w:after="163"/>
        <w:ind w:firstLine="422"/>
        <w:rPr>
          <w:rFonts w:ascii="宋体" w:eastAsia="宋体" w:hAnsi="宋体"/>
          <w:bCs w:val="0"/>
          <w:sz w:val="21"/>
          <w:szCs w:val="21"/>
        </w:rPr>
      </w:pPr>
      <w:r w:rsidRPr="006B07F0">
        <w:rPr>
          <w:rFonts w:ascii="宋体" w:eastAsia="宋体" w:hAnsi="宋体" w:hint="eastAsia"/>
          <w:bCs w:val="0"/>
          <w:sz w:val="21"/>
          <w:szCs w:val="21"/>
        </w:rPr>
        <w:lastRenderedPageBreak/>
        <w:t>（一）结合主要客户信用状况、资金状况、偿债能力变化情况等，补充披露是否存在回款风险较大、资金</w:t>
      </w:r>
      <w:proofErr w:type="gramStart"/>
      <w:r w:rsidRPr="006B07F0">
        <w:rPr>
          <w:rFonts w:ascii="宋体" w:eastAsia="宋体" w:hAnsi="宋体" w:hint="eastAsia"/>
          <w:bCs w:val="0"/>
          <w:sz w:val="21"/>
          <w:szCs w:val="21"/>
        </w:rPr>
        <w:t>链紧张</w:t>
      </w:r>
      <w:proofErr w:type="gramEnd"/>
      <w:r w:rsidRPr="006B07F0">
        <w:rPr>
          <w:rFonts w:ascii="宋体" w:eastAsia="宋体" w:hAnsi="宋体" w:hint="eastAsia"/>
          <w:bCs w:val="0"/>
          <w:sz w:val="21"/>
          <w:szCs w:val="21"/>
        </w:rPr>
        <w:t>的客户，相关坏账准备计提是否充分</w:t>
      </w:r>
    </w:p>
    <w:p w:rsidR="001E2F08" w:rsidRPr="006B07F0" w:rsidRDefault="001E2F08" w:rsidP="001E2F08">
      <w:pPr>
        <w:pStyle w:val="12"/>
        <w:spacing w:before="163" w:after="163"/>
        <w:ind w:firstLine="420"/>
        <w:rPr>
          <w:rFonts w:ascii="宋体" w:hAnsi="宋体"/>
          <w:bCs/>
          <w:sz w:val="21"/>
          <w:szCs w:val="21"/>
        </w:rPr>
      </w:pPr>
      <w:r w:rsidRPr="006B07F0">
        <w:rPr>
          <w:rFonts w:ascii="宋体" w:hAnsi="宋体" w:cs="Times New Roman" w:hint="eastAsia"/>
          <w:bCs/>
          <w:sz w:val="21"/>
          <w:szCs w:val="21"/>
        </w:rPr>
        <w:t>报告期内，发行人主要客户为保利、绿地、</w:t>
      </w:r>
      <w:proofErr w:type="gramStart"/>
      <w:r w:rsidRPr="006B07F0">
        <w:rPr>
          <w:rFonts w:ascii="宋体" w:hAnsi="宋体" w:cs="Times New Roman" w:hint="eastAsia"/>
          <w:bCs/>
          <w:sz w:val="21"/>
          <w:szCs w:val="21"/>
        </w:rPr>
        <w:t>世</w:t>
      </w:r>
      <w:proofErr w:type="gramEnd"/>
      <w:r w:rsidRPr="006B07F0">
        <w:rPr>
          <w:rFonts w:ascii="宋体" w:hAnsi="宋体" w:cs="Times New Roman" w:hint="eastAsia"/>
          <w:bCs/>
          <w:sz w:val="21"/>
          <w:szCs w:val="21"/>
        </w:rPr>
        <w:t>茂、</w:t>
      </w:r>
      <w:r w:rsidRPr="006B07F0">
        <w:rPr>
          <w:rFonts w:ascii="宋体" w:hAnsi="宋体" w:hint="eastAsia"/>
          <w:bCs/>
          <w:sz w:val="21"/>
          <w:szCs w:val="21"/>
        </w:rPr>
        <w:t>山湖海（广东）投资控股集团有限公司、融侨集团股份有限公司、金科地产集团股份有限公司（</w:t>
      </w:r>
      <w:r w:rsidRPr="006B07F0">
        <w:rPr>
          <w:rFonts w:ascii="宋体" w:hAnsi="宋体"/>
          <w:bCs/>
          <w:sz w:val="21"/>
          <w:szCs w:val="21"/>
        </w:rPr>
        <w:t>SZ.000656</w:t>
      </w:r>
      <w:r w:rsidRPr="006B07F0">
        <w:rPr>
          <w:rFonts w:ascii="宋体" w:hAnsi="宋体" w:hint="eastAsia"/>
          <w:bCs/>
          <w:sz w:val="21"/>
          <w:szCs w:val="21"/>
        </w:rPr>
        <w:t>）、阳光城集团股份有限公司（</w:t>
      </w:r>
      <w:r w:rsidRPr="006B07F0">
        <w:rPr>
          <w:rFonts w:ascii="宋体" w:hAnsi="宋体"/>
          <w:bCs/>
          <w:sz w:val="21"/>
          <w:szCs w:val="21"/>
        </w:rPr>
        <w:t>SZ.000671</w:t>
      </w:r>
      <w:r w:rsidRPr="006B07F0">
        <w:rPr>
          <w:rFonts w:ascii="宋体" w:hAnsi="宋体" w:hint="eastAsia"/>
          <w:bCs/>
          <w:sz w:val="21"/>
          <w:szCs w:val="21"/>
        </w:rPr>
        <w:t>）、湖州远辉房地产开发有限公司等。</w:t>
      </w:r>
    </w:p>
    <w:p w:rsidR="001E2F08" w:rsidRPr="006B07F0" w:rsidRDefault="001E2F08" w:rsidP="001E2F08">
      <w:pPr>
        <w:pStyle w:val="12"/>
        <w:spacing w:before="163" w:after="163"/>
        <w:ind w:firstLine="420"/>
        <w:rPr>
          <w:rFonts w:ascii="宋体" w:hAnsi="宋体" w:cs="Times New Roman"/>
          <w:bCs/>
          <w:sz w:val="21"/>
          <w:szCs w:val="21"/>
        </w:rPr>
      </w:pPr>
      <w:r w:rsidRPr="006B07F0">
        <w:rPr>
          <w:rFonts w:ascii="宋体" w:hAnsi="宋体" w:cs="Times New Roman"/>
          <w:bCs/>
          <w:sz w:val="21"/>
          <w:szCs w:val="21"/>
        </w:rPr>
        <w:t>1</w:t>
      </w:r>
      <w:r w:rsidRPr="006B07F0">
        <w:rPr>
          <w:rFonts w:ascii="宋体" w:hAnsi="宋体" w:cs="Times New Roman" w:hint="eastAsia"/>
          <w:bCs/>
          <w:sz w:val="21"/>
          <w:szCs w:val="21"/>
        </w:rPr>
        <w:t>、主要客户信用状况</w:t>
      </w:r>
    </w:p>
    <w:p w:rsidR="001E2F08" w:rsidRPr="006B07F0" w:rsidRDefault="001E2F08" w:rsidP="001E2F08">
      <w:pPr>
        <w:pStyle w:val="12"/>
        <w:spacing w:before="163" w:after="163"/>
        <w:ind w:firstLine="420"/>
        <w:rPr>
          <w:rFonts w:ascii="宋体" w:hAnsi="宋体" w:cs="Times New Roman"/>
          <w:bCs/>
          <w:sz w:val="21"/>
          <w:szCs w:val="21"/>
        </w:rPr>
      </w:pPr>
      <w:r w:rsidRPr="006B07F0">
        <w:rPr>
          <w:rFonts w:ascii="宋体" w:hAnsi="宋体" w:cs="Times New Roman" w:hint="eastAsia"/>
          <w:bCs/>
          <w:sz w:val="21"/>
          <w:szCs w:val="21"/>
        </w:rPr>
        <w:t>上述主要客户信用情况如下：</w:t>
      </w:r>
    </w:p>
    <w:tbl>
      <w:tblPr>
        <w:tblW w:w="5554" w:type="pct"/>
        <w:jc w:val="center"/>
        <w:tblBorders>
          <w:top w:val="single" w:sz="12" w:space="0" w:color="333399"/>
          <w:left w:val="single" w:sz="4" w:space="0" w:color="333399"/>
          <w:bottom w:val="single" w:sz="12"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3168"/>
        <w:gridCol w:w="6409"/>
      </w:tblGrid>
      <w:tr w:rsidR="001E2F08" w:rsidRPr="006B07F0" w:rsidTr="001E2F08">
        <w:trPr>
          <w:trHeight w:val="397"/>
          <w:jc w:val="center"/>
        </w:trPr>
        <w:tc>
          <w:tcPr>
            <w:tcW w:w="1654" w:type="pct"/>
            <w:tcBorders>
              <w:top w:val="single" w:sz="12"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color w:val="000000"/>
                <w:sz w:val="18"/>
                <w:szCs w:val="18"/>
              </w:rPr>
              <w:t>客户名称</w:t>
            </w:r>
          </w:p>
        </w:tc>
        <w:tc>
          <w:tcPr>
            <w:tcW w:w="3346" w:type="pct"/>
            <w:tcBorders>
              <w:top w:val="single" w:sz="12" w:space="0" w:color="auto"/>
              <w:left w:val="dotted" w:sz="4" w:space="0" w:color="auto"/>
              <w:bottom w:val="dotted" w:sz="4" w:space="0" w:color="auto"/>
              <w:right w:val="nil"/>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color w:val="000000"/>
                <w:sz w:val="18"/>
                <w:szCs w:val="18"/>
              </w:rPr>
              <w:t>信用情况</w:t>
            </w:r>
          </w:p>
        </w:tc>
      </w:tr>
      <w:tr w:rsidR="001E2F08" w:rsidRPr="006B07F0" w:rsidTr="001E2F08">
        <w:trPr>
          <w:trHeight w:val="397"/>
          <w:jc w:val="center"/>
        </w:trPr>
        <w:tc>
          <w:tcPr>
            <w:tcW w:w="1654"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color w:val="000000"/>
                <w:sz w:val="18"/>
                <w:szCs w:val="18"/>
              </w:rPr>
              <w:t>保利地产</w:t>
            </w:r>
          </w:p>
        </w:tc>
        <w:tc>
          <w:tcPr>
            <w:tcW w:w="3346" w:type="pct"/>
            <w:tcBorders>
              <w:top w:val="dotted" w:sz="4" w:space="0" w:color="auto"/>
              <w:left w:val="dotted" w:sz="4" w:space="0" w:color="auto"/>
              <w:bottom w:val="dotted" w:sz="4" w:space="0" w:color="auto"/>
              <w:right w:val="nil"/>
            </w:tcBorders>
            <w:vAlign w:val="center"/>
            <w:hideMark/>
          </w:tcPr>
          <w:p w:rsidR="001E2F08" w:rsidRPr="006B07F0" w:rsidRDefault="001E2F08">
            <w:pPr>
              <w:rPr>
                <w:rFonts w:cs="Times New Roman"/>
                <w:bCs/>
                <w:color w:val="000000"/>
                <w:sz w:val="18"/>
                <w:szCs w:val="18"/>
              </w:rPr>
            </w:pPr>
            <w:r w:rsidRPr="006B07F0">
              <w:rPr>
                <w:rFonts w:cs="Times New Roman" w:hint="eastAsia"/>
                <w:bCs/>
                <w:color w:val="000000"/>
                <w:sz w:val="18"/>
                <w:szCs w:val="18"/>
              </w:rPr>
              <w:t>保利地产</w:t>
            </w:r>
            <w:r w:rsidRPr="006B07F0">
              <w:rPr>
                <w:rFonts w:cs="Times New Roman"/>
                <w:bCs/>
                <w:color w:val="000000"/>
                <w:sz w:val="18"/>
                <w:szCs w:val="18"/>
              </w:rPr>
              <w:t>2019</w:t>
            </w:r>
            <w:r w:rsidRPr="006B07F0">
              <w:rPr>
                <w:rFonts w:cs="Times New Roman" w:hint="eastAsia"/>
                <w:bCs/>
                <w:color w:val="000000"/>
                <w:sz w:val="18"/>
                <w:szCs w:val="18"/>
              </w:rPr>
              <w:t>年由大公国际资信评估有限公司评定的信用评级为</w:t>
            </w:r>
            <w:r w:rsidRPr="006B07F0">
              <w:rPr>
                <w:rFonts w:cs="Times New Roman"/>
                <w:bCs/>
                <w:color w:val="000000"/>
                <w:sz w:val="18"/>
                <w:szCs w:val="18"/>
              </w:rPr>
              <w:t>AAA</w:t>
            </w:r>
            <w:r w:rsidRPr="006B07F0">
              <w:rPr>
                <w:rFonts w:cs="Times New Roman" w:hint="eastAsia"/>
                <w:bCs/>
                <w:color w:val="000000"/>
                <w:sz w:val="18"/>
                <w:szCs w:val="18"/>
              </w:rPr>
              <w:t>。</w:t>
            </w:r>
          </w:p>
        </w:tc>
      </w:tr>
      <w:tr w:rsidR="001E2F08" w:rsidRPr="006B07F0" w:rsidTr="001E2F08">
        <w:trPr>
          <w:trHeight w:val="397"/>
          <w:jc w:val="center"/>
        </w:trPr>
        <w:tc>
          <w:tcPr>
            <w:tcW w:w="1654"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color w:val="000000"/>
                <w:sz w:val="18"/>
                <w:szCs w:val="18"/>
              </w:rPr>
              <w:t>绿地控股</w:t>
            </w:r>
          </w:p>
        </w:tc>
        <w:tc>
          <w:tcPr>
            <w:tcW w:w="3346" w:type="pct"/>
            <w:tcBorders>
              <w:top w:val="dotted" w:sz="4" w:space="0" w:color="auto"/>
              <w:left w:val="dotted" w:sz="4" w:space="0" w:color="auto"/>
              <w:bottom w:val="dotted" w:sz="4" w:space="0" w:color="auto"/>
              <w:right w:val="nil"/>
            </w:tcBorders>
            <w:vAlign w:val="center"/>
            <w:hideMark/>
          </w:tcPr>
          <w:p w:rsidR="001E2F08" w:rsidRPr="006B07F0" w:rsidRDefault="001E2F08">
            <w:pPr>
              <w:rPr>
                <w:rFonts w:cs="Times New Roman"/>
                <w:bCs/>
                <w:color w:val="000000"/>
                <w:sz w:val="18"/>
                <w:szCs w:val="18"/>
              </w:rPr>
            </w:pPr>
            <w:r w:rsidRPr="006B07F0">
              <w:rPr>
                <w:rFonts w:cs="Times New Roman" w:hint="eastAsia"/>
                <w:bCs/>
                <w:color w:val="000000"/>
                <w:sz w:val="18"/>
                <w:szCs w:val="18"/>
              </w:rPr>
              <w:t>绿地控股</w:t>
            </w:r>
            <w:r w:rsidRPr="006B07F0">
              <w:rPr>
                <w:rFonts w:cs="Times New Roman"/>
                <w:bCs/>
                <w:color w:val="000000"/>
                <w:sz w:val="18"/>
                <w:szCs w:val="18"/>
              </w:rPr>
              <w:t>2020</w:t>
            </w:r>
            <w:r w:rsidRPr="006B07F0">
              <w:rPr>
                <w:rFonts w:cs="Times New Roman" w:hint="eastAsia"/>
                <w:bCs/>
                <w:color w:val="000000"/>
                <w:sz w:val="18"/>
                <w:szCs w:val="18"/>
              </w:rPr>
              <w:t>年由联</w:t>
            </w:r>
            <w:proofErr w:type="gramStart"/>
            <w:r w:rsidRPr="006B07F0">
              <w:rPr>
                <w:rFonts w:cs="Times New Roman" w:hint="eastAsia"/>
                <w:bCs/>
                <w:color w:val="000000"/>
                <w:sz w:val="18"/>
                <w:szCs w:val="18"/>
              </w:rPr>
              <w:t>合资信</w:t>
            </w:r>
            <w:proofErr w:type="gramEnd"/>
            <w:r w:rsidRPr="006B07F0">
              <w:rPr>
                <w:rFonts w:cs="Times New Roman" w:hint="eastAsia"/>
                <w:bCs/>
                <w:color w:val="000000"/>
                <w:sz w:val="18"/>
                <w:szCs w:val="18"/>
              </w:rPr>
              <w:t>评估有限公司评定的信用评级为</w:t>
            </w:r>
            <w:r w:rsidRPr="006B07F0">
              <w:rPr>
                <w:rFonts w:cs="Times New Roman"/>
                <w:bCs/>
                <w:color w:val="000000"/>
                <w:sz w:val="18"/>
                <w:szCs w:val="18"/>
              </w:rPr>
              <w:t>AA+</w:t>
            </w:r>
            <w:r w:rsidRPr="006B07F0">
              <w:rPr>
                <w:rFonts w:cs="Times New Roman" w:hint="eastAsia"/>
                <w:bCs/>
                <w:color w:val="000000"/>
                <w:sz w:val="18"/>
                <w:szCs w:val="18"/>
              </w:rPr>
              <w:t>。</w:t>
            </w:r>
          </w:p>
        </w:tc>
      </w:tr>
      <w:tr w:rsidR="001E2F08" w:rsidRPr="006B07F0" w:rsidTr="001E2F08">
        <w:trPr>
          <w:trHeight w:val="397"/>
          <w:jc w:val="center"/>
        </w:trPr>
        <w:tc>
          <w:tcPr>
            <w:tcW w:w="1654"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proofErr w:type="gramStart"/>
            <w:r w:rsidRPr="006B07F0">
              <w:rPr>
                <w:rFonts w:cs="Times New Roman" w:hint="eastAsia"/>
                <w:bCs/>
                <w:color w:val="000000"/>
                <w:sz w:val="18"/>
                <w:szCs w:val="18"/>
              </w:rPr>
              <w:t>世</w:t>
            </w:r>
            <w:proofErr w:type="gramEnd"/>
            <w:r w:rsidRPr="006B07F0">
              <w:rPr>
                <w:rFonts w:cs="Times New Roman" w:hint="eastAsia"/>
                <w:bCs/>
                <w:color w:val="000000"/>
                <w:sz w:val="18"/>
                <w:szCs w:val="18"/>
              </w:rPr>
              <w:t>茂股份</w:t>
            </w:r>
          </w:p>
        </w:tc>
        <w:tc>
          <w:tcPr>
            <w:tcW w:w="3346" w:type="pct"/>
            <w:tcBorders>
              <w:top w:val="dotted" w:sz="4" w:space="0" w:color="auto"/>
              <w:left w:val="dotted" w:sz="4" w:space="0" w:color="auto"/>
              <w:bottom w:val="dotted" w:sz="4" w:space="0" w:color="auto"/>
              <w:right w:val="nil"/>
            </w:tcBorders>
            <w:vAlign w:val="center"/>
            <w:hideMark/>
          </w:tcPr>
          <w:p w:rsidR="001E2F08" w:rsidRPr="006B07F0" w:rsidRDefault="001E2F08">
            <w:pPr>
              <w:rPr>
                <w:rFonts w:cs="Times New Roman"/>
                <w:bCs/>
                <w:color w:val="000000"/>
                <w:sz w:val="18"/>
                <w:szCs w:val="18"/>
              </w:rPr>
            </w:pPr>
            <w:proofErr w:type="gramStart"/>
            <w:r w:rsidRPr="006B07F0">
              <w:rPr>
                <w:rFonts w:cs="Times New Roman" w:hint="eastAsia"/>
                <w:bCs/>
                <w:color w:val="000000"/>
                <w:sz w:val="18"/>
                <w:szCs w:val="18"/>
              </w:rPr>
              <w:t>世</w:t>
            </w:r>
            <w:proofErr w:type="gramEnd"/>
            <w:r w:rsidRPr="006B07F0">
              <w:rPr>
                <w:rFonts w:cs="Times New Roman" w:hint="eastAsia"/>
                <w:bCs/>
                <w:color w:val="000000"/>
                <w:sz w:val="18"/>
                <w:szCs w:val="18"/>
              </w:rPr>
              <w:t>茂股份</w:t>
            </w:r>
            <w:r w:rsidRPr="006B07F0">
              <w:rPr>
                <w:rFonts w:cs="Times New Roman"/>
                <w:bCs/>
                <w:color w:val="000000"/>
                <w:sz w:val="18"/>
                <w:szCs w:val="18"/>
              </w:rPr>
              <w:t>2020</w:t>
            </w:r>
            <w:r w:rsidRPr="006B07F0">
              <w:rPr>
                <w:rFonts w:cs="Times New Roman" w:hint="eastAsia"/>
                <w:bCs/>
                <w:color w:val="000000"/>
                <w:sz w:val="18"/>
                <w:szCs w:val="18"/>
              </w:rPr>
              <w:t>年由联合信用评级有限公司评定的信用评级为</w:t>
            </w:r>
            <w:r w:rsidRPr="006B07F0">
              <w:rPr>
                <w:rFonts w:cs="Times New Roman"/>
                <w:bCs/>
                <w:color w:val="000000"/>
                <w:sz w:val="18"/>
                <w:szCs w:val="18"/>
              </w:rPr>
              <w:t>AAA</w:t>
            </w:r>
            <w:r w:rsidRPr="006B07F0">
              <w:rPr>
                <w:rFonts w:cs="Times New Roman" w:hint="eastAsia"/>
                <w:bCs/>
                <w:color w:val="000000"/>
                <w:sz w:val="18"/>
                <w:szCs w:val="18"/>
              </w:rPr>
              <w:t>。</w:t>
            </w:r>
          </w:p>
        </w:tc>
      </w:tr>
      <w:tr w:rsidR="001E2F08" w:rsidRPr="006B07F0" w:rsidTr="001E2F08">
        <w:trPr>
          <w:trHeight w:val="397"/>
          <w:jc w:val="center"/>
        </w:trPr>
        <w:tc>
          <w:tcPr>
            <w:tcW w:w="1654"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sz w:val="18"/>
                <w:szCs w:val="18"/>
              </w:rPr>
              <w:t>山湖海（广东）投资控股集团有限公司</w:t>
            </w:r>
          </w:p>
        </w:tc>
        <w:tc>
          <w:tcPr>
            <w:tcW w:w="3346" w:type="pct"/>
            <w:tcBorders>
              <w:top w:val="dotted" w:sz="4" w:space="0" w:color="auto"/>
              <w:left w:val="dotted" w:sz="4" w:space="0" w:color="auto"/>
              <w:bottom w:val="dotted" w:sz="4" w:space="0" w:color="auto"/>
              <w:right w:val="nil"/>
            </w:tcBorders>
            <w:vAlign w:val="center"/>
            <w:hideMark/>
          </w:tcPr>
          <w:p w:rsidR="001E2F08" w:rsidRPr="006B07F0" w:rsidRDefault="001E2F08">
            <w:pPr>
              <w:rPr>
                <w:rFonts w:cs="Times New Roman"/>
                <w:bCs/>
                <w:color w:val="000000"/>
                <w:sz w:val="18"/>
                <w:szCs w:val="18"/>
              </w:rPr>
            </w:pPr>
            <w:r w:rsidRPr="006B07F0">
              <w:rPr>
                <w:rFonts w:cs="Times New Roman" w:hint="eastAsia"/>
                <w:bCs/>
                <w:color w:val="000000"/>
                <w:sz w:val="18"/>
                <w:szCs w:val="18"/>
              </w:rPr>
              <w:t>广东省企业诚信建设促进会、广东省企业信用评审委员会于</w:t>
            </w:r>
            <w:r w:rsidRPr="006B07F0">
              <w:rPr>
                <w:rFonts w:cs="Times New Roman"/>
                <w:bCs/>
                <w:color w:val="000000"/>
                <w:sz w:val="18"/>
                <w:szCs w:val="18"/>
              </w:rPr>
              <w:t>2019</w:t>
            </w:r>
            <w:r w:rsidRPr="006B07F0">
              <w:rPr>
                <w:rFonts w:cs="Times New Roman" w:hint="eastAsia"/>
                <w:bCs/>
                <w:color w:val="000000"/>
                <w:sz w:val="18"/>
                <w:szCs w:val="18"/>
              </w:rPr>
              <w:t>年</w:t>
            </w:r>
            <w:r w:rsidRPr="006B07F0">
              <w:rPr>
                <w:rFonts w:cs="Times New Roman"/>
                <w:bCs/>
                <w:color w:val="000000"/>
                <w:sz w:val="18"/>
                <w:szCs w:val="18"/>
              </w:rPr>
              <w:t>12</w:t>
            </w:r>
            <w:r w:rsidRPr="006B07F0">
              <w:rPr>
                <w:rFonts w:cs="Times New Roman" w:hint="eastAsia"/>
                <w:bCs/>
                <w:color w:val="000000"/>
                <w:sz w:val="18"/>
                <w:szCs w:val="18"/>
              </w:rPr>
              <w:t>月出具《企业信用等级证书》，该公司评定结果为</w:t>
            </w:r>
            <w:r w:rsidRPr="006B07F0">
              <w:rPr>
                <w:rFonts w:cs="Times New Roman"/>
                <w:bCs/>
                <w:color w:val="000000"/>
                <w:sz w:val="18"/>
                <w:szCs w:val="18"/>
              </w:rPr>
              <w:t>AAA</w:t>
            </w:r>
            <w:r w:rsidRPr="006B07F0">
              <w:rPr>
                <w:rFonts w:cs="Times New Roman" w:hint="eastAsia"/>
                <w:bCs/>
                <w:color w:val="000000"/>
                <w:sz w:val="18"/>
                <w:szCs w:val="18"/>
              </w:rPr>
              <w:t>级。</w:t>
            </w:r>
          </w:p>
        </w:tc>
      </w:tr>
      <w:tr w:rsidR="001E2F08" w:rsidRPr="006B07F0" w:rsidTr="001E2F08">
        <w:trPr>
          <w:trHeight w:val="397"/>
          <w:jc w:val="center"/>
        </w:trPr>
        <w:tc>
          <w:tcPr>
            <w:tcW w:w="1654"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sz w:val="18"/>
                <w:szCs w:val="18"/>
              </w:rPr>
              <w:t>融侨集团股份有限公司</w:t>
            </w:r>
          </w:p>
        </w:tc>
        <w:tc>
          <w:tcPr>
            <w:tcW w:w="3346" w:type="pct"/>
            <w:tcBorders>
              <w:top w:val="dotted" w:sz="4" w:space="0" w:color="auto"/>
              <w:left w:val="dotted" w:sz="4" w:space="0" w:color="auto"/>
              <w:bottom w:val="dotted" w:sz="4" w:space="0" w:color="auto"/>
              <w:right w:val="nil"/>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2020</w:t>
            </w:r>
            <w:r w:rsidRPr="006B07F0">
              <w:rPr>
                <w:rFonts w:cs="Times New Roman" w:hint="eastAsia"/>
                <w:bCs/>
                <w:color w:val="000000"/>
                <w:sz w:val="18"/>
                <w:szCs w:val="18"/>
              </w:rPr>
              <w:t>年由联合信用评级有限公司评定的信用评级为</w:t>
            </w:r>
            <w:r w:rsidRPr="006B07F0">
              <w:rPr>
                <w:rFonts w:cs="Times New Roman"/>
                <w:bCs/>
                <w:color w:val="000000"/>
                <w:sz w:val="18"/>
                <w:szCs w:val="18"/>
              </w:rPr>
              <w:t>AA+</w:t>
            </w:r>
            <w:r w:rsidRPr="006B07F0">
              <w:rPr>
                <w:rFonts w:cs="Times New Roman" w:hint="eastAsia"/>
                <w:bCs/>
                <w:color w:val="000000"/>
                <w:sz w:val="18"/>
                <w:szCs w:val="18"/>
              </w:rPr>
              <w:t>。</w:t>
            </w:r>
          </w:p>
        </w:tc>
      </w:tr>
      <w:tr w:rsidR="001E2F08" w:rsidRPr="006B07F0" w:rsidTr="001E2F08">
        <w:trPr>
          <w:trHeight w:val="397"/>
          <w:jc w:val="center"/>
        </w:trPr>
        <w:tc>
          <w:tcPr>
            <w:tcW w:w="1654"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sz w:val="18"/>
                <w:szCs w:val="18"/>
              </w:rPr>
              <w:t>金科地产集团股份有限公司</w:t>
            </w:r>
          </w:p>
        </w:tc>
        <w:tc>
          <w:tcPr>
            <w:tcW w:w="3346" w:type="pct"/>
            <w:tcBorders>
              <w:top w:val="dotted" w:sz="4" w:space="0" w:color="auto"/>
              <w:left w:val="dotted" w:sz="4" w:space="0" w:color="auto"/>
              <w:bottom w:val="dotted" w:sz="4" w:space="0" w:color="auto"/>
              <w:right w:val="nil"/>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2020</w:t>
            </w:r>
            <w:r w:rsidRPr="006B07F0">
              <w:rPr>
                <w:rFonts w:cs="Times New Roman" w:hint="eastAsia"/>
                <w:bCs/>
                <w:color w:val="000000"/>
                <w:sz w:val="18"/>
                <w:szCs w:val="18"/>
              </w:rPr>
              <w:t>年由联合信用评级有限公司评定的信用评级为</w:t>
            </w:r>
            <w:r w:rsidRPr="006B07F0">
              <w:rPr>
                <w:rFonts w:cs="Times New Roman"/>
                <w:bCs/>
                <w:color w:val="000000"/>
                <w:sz w:val="18"/>
                <w:szCs w:val="18"/>
              </w:rPr>
              <w:t>AAA</w:t>
            </w:r>
            <w:r w:rsidRPr="006B07F0">
              <w:rPr>
                <w:rFonts w:cs="Times New Roman" w:hint="eastAsia"/>
                <w:bCs/>
                <w:color w:val="000000"/>
                <w:sz w:val="18"/>
                <w:szCs w:val="18"/>
              </w:rPr>
              <w:t>。</w:t>
            </w:r>
          </w:p>
        </w:tc>
      </w:tr>
      <w:tr w:rsidR="001E2F08" w:rsidRPr="006B07F0" w:rsidTr="001E2F08">
        <w:trPr>
          <w:trHeight w:val="397"/>
          <w:jc w:val="center"/>
        </w:trPr>
        <w:tc>
          <w:tcPr>
            <w:tcW w:w="1654"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sz w:val="18"/>
                <w:szCs w:val="18"/>
              </w:rPr>
              <w:t>阳光城集团股份有限公司</w:t>
            </w:r>
          </w:p>
        </w:tc>
        <w:tc>
          <w:tcPr>
            <w:tcW w:w="3346" w:type="pct"/>
            <w:tcBorders>
              <w:top w:val="dotted" w:sz="4" w:space="0" w:color="auto"/>
              <w:left w:val="dotted" w:sz="4" w:space="0" w:color="auto"/>
              <w:bottom w:val="dotted" w:sz="4" w:space="0" w:color="auto"/>
              <w:right w:val="nil"/>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2020</w:t>
            </w:r>
            <w:r w:rsidRPr="006B07F0">
              <w:rPr>
                <w:rFonts w:cs="Times New Roman" w:hint="eastAsia"/>
                <w:bCs/>
                <w:color w:val="000000"/>
                <w:sz w:val="18"/>
                <w:szCs w:val="18"/>
              </w:rPr>
              <w:t>年由中诚信国际信用评级有限公司评定的信用评级为</w:t>
            </w:r>
            <w:r w:rsidRPr="006B07F0">
              <w:rPr>
                <w:rFonts w:cs="Times New Roman"/>
                <w:bCs/>
                <w:color w:val="000000"/>
                <w:sz w:val="18"/>
                <w:szCs w:val="18"/>
              </w:rPr>
              <w:t>AA+</w:t>
            </w:r>
            <w:r w:rsidRPr="006B07F0">
              <w:rPr>
                <w:rFonts w:cs="Times New Roman" w:hint="eastAsia"/>
                <w:bCs/>
                <w:color w:val="000000"/>
                <w:sz w:val="18"/>
                <w:szCs w:val="18"/>
              </w:rPr>
              <w:t>。</w:t>
            </w:r>
          </w:p>
        </w:tc>
      </w:tr>
      <w:tr w:rsidR="001E2F08" w:rsidRPr="006B07F0" w:rsidTr="001E2F08">
        <w:trPr>
          <w:trHeight w:val="397"/>
          <w:jc w:val="center"/>
        </w:trPr>
        <w:tc>
          <w:tcPr>
            <w:tcW w:w="1654" w:type="pct"/>
            <w:tcBorders>
              <w:top w:val="dotted" w:sz="4" w:space="0" w:color="auto"/>
              <w:left w:val="nil"/>
              <w:bottom w:val="single" w:sz="12" w:space="0" w:color="auto"/>
              <w:right w:val="dotted" w:sz="4" w:space="0" w:color="auto"/>
            </w:tcBorders>
            <w:vAlign w:val="center"/>
            <w:hideMark/>
          </w:tcPr>
          <w:p w:rsidR="001E2F08" w:rsidRPr="006B07F0" w:rsidRDefault="001E2F08">
            <w:pPr>
              <w:rPr>
                <w:rFonts w:cs="Times New Roman"/>
                <w:bCs/>
                <w:color w:val="000000"/>
                <w:sz w:val="18"/>
                <w:szCs w:val="18"/>
              </w:rPr>
            </w:pPr>
            <w:r w:rsidRPr="006B07F0">
              <w:rPr>
                <w:rFonts w:cs="Times New Roman" w:hint="eastAsia"/>
                <w:bCs/>
                <w:sz w:val="18"/>
                <w:szCs w:val="18"/>
              </w:rPr>
              <w:t>湖州远辉房地产开发有限公司</w:t>
            </w:r>
          </w:p>
        </w:tc>
        <w:tc>
          <w:tcPr>
            <w:tcW w:w="3346" w:type="pct"/>
            <w:tcBorders>
              <w:top w:val="dotted" w:sz="4" w:space="0" w:color="auto"/>
              <w:left w:val="dotted" w:sz="4" w:space="0" w:color="auto"/>
              <w:bottom w:val="single" w:sz="12" w:space="0" w:color="auto"/>
              <w:right w:val="nil"/>
            </w:tcBorders>
            <w:vAlign w:val="center"/>
            <w:hideMark/>
          </w:tcPr>
          <w:p w:rsidR="001E2F08" w:rsidRPr="006B07F0" w:rsidRDefault="001E2F08">
            <w:pPr>
              <w:rPr>
                <w:rFonts w:cs="Times New Roman"/>
                <w:bCs/>
                <w:color w:val="000000"/>
                <w:sz w:val="18"/>
                <w:szCs w:val="18"/>
              </w:rPr>
            </w:pPr>
            <w:r w:rsidRPr="006B07F0">
              <w:rPr>
                <w:rFonts w:cs="Times New Roman" w:hint="eastAsia"/>
                <w:bCs/>
                <w:color w:val="000000"/>
                <w:sz w:val="18"/>
                <w:szCs w:val="18"/>
              </w:rPr>
              <w:t>该公司是广东海伦堡地产集团有限公司的控股子公司，广东海伦堡地产集团有限公司</w:t>
            </w:r>
            <w:r w:rsidRPr="006B07F0">
              <w:rPr>
                <w:rFonts w:cs="Times New Roman"/>
                <w:bCs/>
                <w:color w:val="000000"/>
                <w:sz w:val="18"/>
                <w:szCs w:val="18"/>
              </w:rPr>
              <w:t>2017</w:t>
            </w:r>
            <w:r w:rsidRPr="006B07F0">
              <w:rPr>
                <w:rFonts w:cs="Times New Roman" w:hint="eastAsia"/>
                <w:bCs/>
                <w:color w:val="000000"/>
                <w:sz w:val="18"/>
                <w:szCs w:val="18"/>
              </w:rPr>
              <w:t>年由联合信用评级有限公司评定的信用评级为</w:t>
            </w:r>
            <w:r w:rsidRPr="006B07F0">
              <w:rPr>
                <w:rFonts w:cs="Times New Roman"/>
                <w:bCs/>
                <w:color w:val="000000"/>
                <w:sz w:val="18"/>
                <w:szCs w:val="18"/>
              </w:rPr>
              <w:t>AA+</w:t>
            </w:r>
            <w:r w:rsidRPr="006B07F0">
              <w:rPr>
                <w:rFonts w:cs="Times New Roman" w:hint="eastAsia"/>
                <w:bCs/>
                <w:color w:val="000000"/>
                <w:sz w:val="18"/>
                <w:szCs w:val="18"/>
              </w:rPr>
              <w:t>。</w:t>
            </w:r>
          </w:p>
        </w:tc>
      </w:tr>
    </w:tbl>
    <w:p w:rsidR="001E2F08" w:rsidRPr="006B07F0" w:rsidRDefault="001E2F08" w:rsidP="001E2F08">
      <w:pPr>
        <w:pStyle w:val="12"/>
        <w:spacing w:before="163" w:after="163"/>
        <w:ind w:firstLine="420"/>
        <w:rPr>
          <w:rFonts w:ascii="宋体" w:hAnsi="宋体" w:cs="Times New Roman"/>
          <w:bCs/>
          <w:sz w:val="21"/>
          <w:szCs w:val="21"/>
        </w:rPr>
      </w:pPr>
      <w:r w:rsidRPr="006B07F0">
        <w:rPr>
          <w:rFonts w:ascii="宋体" w:hAnsi="宋体" w:cs="Times New Roman"/>
          <w:bCs/>
          <w:sz w:val="21"/>
          <w:szCs w:val="21"/>
        </w:rPr>
        <w:t>2</w:t>
      </w:r>
      <w:r w:rsidRPr="006B07F0">
        <w:rPr>
          <w:rFonts w:ascii="宋体" w:hAnsi="宋体" w:cs="Times New Roman" w:hint="eastAsia"/>
          <w:bCs/>
          <w:sz w:val="21"/>
          <w:szCs w:val="21"/>
        </w:rPr>
        <w:t>、主要客户资金状况、偿债能力变化情况</w:t>
      </w:r>
    </w:p>
    <w:p w:rsidR="001E2F08" w:rsidRPr="006B07F0" w:rsidRDefault="001E2F08" w:rsidP="001E2F08">
      <w:pPr>
        <w:pStyle w:val="12"/>
        <w:spacing w:before="163" w:after="163"/>
        <w:ind w:firstLine="420"/>
        <w:rPr>
          <w:rFonts w:ascii="宋体" w:hAnsi="宋体" w:cs="Times New Roman"/>
          <w:bCs/>
          <w:sz w:val="21"/>
          <w:szCs w:val="21"/>
        </w:rPr>
      </w:pPr>
      <w:r w:rsidRPr="006B07F0">
        <w:rPr>
          <w:rFonts w:ascii="宋体" w:hAnsi="宋体" w:cs="Times New Roman" w:hint="eastAsia"/>
          <w:bCs/>
          <w:sz w:val="21"/>
          <w:szCs w:val="21"/>
        </w:rPr>
        <w:t>上述主要客户资金状况、偿债能力变化情况如下：</w:t>
      </w:r>
    </w:p>
    <w:tbl>
      <w:tblPr>
        <w:tblW w:w="6584" w:type="pct"/>
        <w:jc w:val="center"/>
        <w:tblBorders>
          <w:top w:val="single" w:sz="12" w:space="0" w:color="333399"/>
          <w:left w:val="single" w:sz="4" w:space="0" w:color="333399"/>
          <w:bottom w:val="single" w:sz="12"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1660"/>
        <w:gridCol w:w="850"/>
        <w:gridCol w:w="885"/>
        <w:gridCol w:w="884"/>
        <w:gridCol w:w="885"/>
        <w:gridCol w:w="884"/>
        <w:gridCol w:w="737"/>
        <w:gridCol w:w="737"/>
        <w:gridCol w:w="737"/>
        <w:gridCol w:w="884"/>
        <w:gridCol w:w="737"/>
        <w:gridCol w:w="737"/>
        <w:gridCol w:w="736"/>
      </w:tblGrid>
      <w:tr w:rsidR="001E2F08" w:rsidRPr="006B07F0" w:rsidTr="001E2F08">
        <w:trPr>
          <w:trHeight w:val="397"/>
          <w:jc w:val="center"/>
        </w:trPr>
        <w:tc>
          <w:tcPr>
            <w:tcW w:w="1595" w:type="dxa"/>
            <w:vMerge w:val="restart"/>
            <w:tcBorders>
              <w:top w:val="single" w:sz="12"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color w:val="000000"/>
                <w:sz w:val="18"/>
                <w:szCs w:val="18"/>
              </w:rPr>
              <w:t>客户名称</w:t>
            </w:r>
          </w:p>
        </w:tc>
        <w:tc>
          <w:tcPr>
            <w:tcW w:w="3368" w:type="dxa"/>
            <w:gridSpan w:val="4"/>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color w:val="000000"/>
                <w:sz w:val="18"/>
                <w:szCs w:val="18"/>
              </w:rPr>
              <w:t>资产负债率</w:t>
            </w:r>
          </w:p>
        </w:tc>
        <w:tc>
          <w:tcPr>
            <w:tcW w:w="2977" w:type="dxa"/>
            <w:gridSpan w:val="4"/>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color w:val="000000"/>
                <w:sz w:val="18"/>
                <w:szCs w:val="18"/>
              </w:rPr>
              <w:t>货币资金</w:t>
            </w:r>
            <w:r w:rsidRPr="006B07F0">
              <w:rPr>
                <w:rFonts w:cs="Times New Roman"/>
                <w:bCs/>
                <w:color w:val="000000"/>
                <w:sz w:val="18"/>
                <w:szCs w:val="18"/>
              </w:rPr>
              <w:t>/</w:t>
            </w:r>
            <w:r w:rsidRPr="006B07F0">
              <w:rPr>
                <w:rFonts w:cs="Times New Roman" w:hint="eastAsia"/>
                <w:bCs/>
                <w:color w:val="000000"/>
                <w:sz w:val="18"/>
                <w:szCs w:val="18"/>
              </w:rPr>
              <w:t>短期债务</w:t>
            </w:r>
          </w:p>
        </w:tc>
        <w:tc>
          <w:tcPr>
            <w:tcW w:w="2976" w:type="dxa"/>
            <w:gridSpan w:val="4"/>
            <w:tcBorders>
              <w:top w:val="single" w:sz="12" w:space="0" w:color="auto"/>
              <w:left w:val="dotted" w:sz="4" w:space="0" w:color="auto"/>
              <w:bottom w:val="dotted" w:sz="4" w:space="0" w:color="auto"/>
              <w:right w:val="nil"/>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color w:val="000000"/>
                <w:sz w:val="18"/>
                <w:szCs w:val="18"/>
              </w:rPr>
              <w:t>经营活动产生的现金流量净额</w:t>
            </w:r>
          </w:p>
          <w:p w:rsidR="001E2F08" w:rsidRPr="006B07F0" w:rsidRDefault="001E2F08">
            <w:pPr>
              <w:jc w:val="center"/>
              <w:rPr>
                <w:rFonts w:cs="Times New Roman"/>
                <w:bCs/>
                <w:color w:val="000000"/>
                <w:sz w:val="18"/>
                <w:szCs w:val="18"/>
              </w:rPr>
            </w:pPr>
            <w:r w:rsidRPr="006B07F0">
              <w:rPr>
                <w:rFonts w:cs="Times New Roman"/>
                <w:bCs/>
                <w:color w:val="000000"/>
                <w:sz w:val="18"/>
                <w:szCs w:val="18"/>
              </w:rPr>
              <w:t>/</w:t>
            </w:r>
            <w:r w:rsidRPr="006B07F0">
              <w:rPr>
                <w:rFonts w:cs="Times New Roman" w:hint="eastAsia"/>
                <w:bCs/>
                <w:color w:val="000000"/>
                <w:sz w:val="18"/>
                <w:szCs w:val="18"/>
              </w:rPr>
              <w:t>短期债务</w:t>
            </w:r>
          </w:p>
        </w:tc>
      </w:tr>
      <w:tr w:rsidR="001E2F08" w:rsidRPr="006B07F0" w:rsidTr="001E2F08">
        <w:trPr>
          <w:trHeight w:val="397"/>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color w:val="000000"/>
                <w:sz w:val="18"/>
                <w:szCs w:val="18"/>
              </w:rPr>
            </w:pPr>
          </w:p>
        </w:tc>
        <w:tc>
          <w:tcPr>
            <w:tcW w:w="816"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2020</w:t>
            </w:r>
            <w:r w:rsidRPr="006B07F0">
              <w:rPr>
                <w:rFonts w:cs="Times New Roman" w:hint="eastAsia"/>
                <w:bCs/>
                <w:color w:val="000000"/>
                <w:sz w:val="18"/>
                <w:szCs w:val="18"/>
              </w:rPr>
              <w:t>年</w:t>
            </w:r>
            <w:r w:rsidRPr="006B07F0">
              <w:rPr>
                <w:rFonts w:cs="Times New Roman"/>
                <w:bCs/>
                <w:color w:val="000000"/>
                <w:sz w:val="18"/>
                <w:szCs w:val="18"/>
              </w:rPr>
              <w:t>6</w:t>
            </w:r>
            <w:r w:rsidRPr="006B07F0">
              <w:rPr>
                <w:rFonts w:cs="Times New Roman" w:hint="eastAsia"/>
                <w:bCs/>
                <w:color w:val="000000"/>
                <w:sz w:val="18"/>
                <w:szCs w:val="18"/>
              </w:rPr>
              <w:t>月末</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2019</w:t>
            </w:r>
            <w:r w:rsidRPr="006B07F0">
              <w:rPr>
                <w:rFonts w:cs="Times New Roman" w:hint="eastAsia"/>
                <w:bCs/>
                <w:color w:val="000000"/>
                <w:sz w:val="18"/>
                <w:szCs w:val="18"/>
              </w:rPr>
              <w:t>年末</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2018</w:t>
            </w:r>
            <w:r w:rsidRPr="006B07F0">
              <w:rPr>
                <w:rFonts w:cs="Times New Roman" w:hint="eastAsia"/>
                <w:bCs/>
                <w:color w:val="000000"/>
                <w:sz w:val="18"/>
                <w:szCs w:val="18"/>
              </w:rPr>
              <w:t>年末</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2017</w:t>
            </w:r>
            <w:r w:rsidRPr="006B07F0">
              <w:rPr>
                <w:rFonts w:cs="Times New Roman" w:hint="eastAsia"/>
                <w:bCs/>
                <w:color w:val="000000"/>
                <w:sz w:val="18"/>
                <w:szCs w:val="18"/>
              </w:rPr>
              <w:t>年末</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2020</w:t>
            </w:r>
            <w:r w:rsidRPr="006B07F0">
              <w:rPr>
                <w:rFonts w:cs="Times New Roman" w:hint="eastAsia"/>
                <w:bCs/>
                <w:color w:val="000000"/>
                <w:sz w:val="18"/>
                <w:szCs w:val="18"/>
              </w:rPr>
              <w:t>年</w:t>
            </w:r>
            <w:r w:rsidRPr="006B07F0">
              <w:rPr>
                <w:rFonts w:cs="Times New Roman"/>
                <w:bCs/>
                <w:color w:val="000000"/>
                <w:sz w:val="18"/>
                <w:szCs w:val="18"/>
              </w:rPr>
              <w:t>6</w:t>
            </w:r>
            <w:r w:rsidRPr="006B07F0">
              <w:rPr>
                <w:rFonts w:cs="Times New Roman" w:hint="eastAsia"/>
                <w:bCs/>
                <w:color w:val="000000"/>
                <w:sz w:val="18"/>
                <w:szCs w:val="18"/>
              </w:rPr>
              <w:t>月末</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2019</w:t>
            </w:r>
            <w:r w:rsidRPr="006B07F0">
              <w:rPr>
                <w:rFonts w:cs="Times New Roman" w:hint="eastAsia"/>
                <w:bCs/>
                <w:color w:val="000000"/>
                <w:sz w:val="18"/>
                <w:szCs w:val="18"/>
              </w:rPr>
              <w:t>年末</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2018</w:t>
            </w:r>
            <w:r w:rsidRPr="006B07F0">
              <w:rPr>
                <w:rFonts w:cs="Times New Roman" w:hint="eastAsia"/>
                <w:bCs/>
                <w:color w:val="000000"/>
                <w:sz w:val="18"/>
                <w:szCs w:val="18"/>
              </w:rPr>
              <w:t>年末</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2017</w:t>
            </w:r>
            <w:r w:rsidRPr="006B07F0">
              <w:rPr>
                <w:rFonts w:cs="Times New Roman" w:hint="eastAsia"/>
                <w:bCs/>
                <w:color w:val="000000"/>
                <w:sz w:val="18"/>
                <w:szCs w:val="18"/>
              </w:rPr>
              <w:t>年末</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2020</w:t>
            </w:r>
            <w:r w:rsidRPr="006B07F0">
              <w:rPr>
                <w:rFonts w:cs="Times New Roman" w:hint="eastAsia"/>
                <w:bCs/>
                <w:color w:val="000000"/>
                <w:sz w:val="18"/>
                <w:szCs w:val="18"/>
              </w:rPr>
              <w:t>年</w:t>
            </w:r>
            <w:r w:rsidRPr="006B07F0">
              <w:rPr>
                <w:rFonts w:cs="Times New Roman"/>
                <w:bCs/>
                <w:color w:val="000000"/>
                <w:sz w:val="18"/>
                <w:szCs w:val="18"/>
              </w:rPr>
              <w:t>6</w:t>
            </w:r>
            <w:r w:rsidRPr="006B07F0">
              <w:rPr>
                <w:rFonts w:cs="Times New Roman" w:hint="eastAsia"/>
                <w:bCs/>
                <w:color w:val="000000"/>
                <w:sz w:val="18"/>
                <w:szCs w:val="18"/>
              </w:rPr>
              <w:t>月末</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2019</w:t>
            </w:r>
            <w:r w:rsidRPr="006B07F0">
              <w:rPr>
                <w:rFonts w:cs="Times New Roman" w:hint="eastAsia"/>
                <w:bCs/>
                <w:color w:val="000000"/>
                <w:sz w:val="18"/>
                <w:szCs w:val="18"/>
              </w:rPr>
              <w:t>年末</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2018</w:t>
            </w:r>
            <w:r w:rsidRPr="006B07F0">
              <w:rPr>
                <w:rFonts w:cs="Times New Roman" w:hint="eastAsia"/>
                <w:bCs/>
                <w:color w:val="000000"/>
                <w:sz w:val="18"/>
                <w:szCs w:val="18"/>
              </w:rPr>
              <w:t>年末</w:t>
            </w:r>
          </w:p>
        </w:tc>
        <w:tc>
          <w:tcPr>
            <w:tcW w:w="708" w:type="dxa"/>
            <w:tcBorders>
              <w:top w:val="dotted" w:sz="4" w:space="0" w:color="auto"/>
              <w:left w:val="dotted" w:sz="4" w:space="0" w:color="auto"/>
              <w:bottom w:val="dotted" w:sz="4" w:space="0" w:color="auto"/>
              <w:right w:val="nil"/>
            </w:tcBorders>
            <w:vAlign w:val="center"/>
            <w:hideMark/>
          </w:tcPr>
          <w:p w:rsidR="001E2F08" w:rsidRPr="006B07F0" w:rsidRDefault="001E2F08">
            <w:pPr>
              <w:rPr>
                <w:rFonts w:cs="Times New Roman"/>
                <w:bCs/>
                <w:color w:val="000000"/>
                <w:sz w:val="18"/>
                <w:szCs w:val="18"/>
              </w:rPr>
            </w:pPr>
            <w:r w:rsidRPr="006B07F0">
              <w:rPr>
                <w:rFonts w:cs="Times New Roman"/>
                <w:bCs/>
                <w:color w:val="000000"/>
                <w:sz w:val="18"/>
                <w:szCs w:val="18"/>
              </w:rPr>
              <w:t>2017</w:t>
            </w:r>
            <w:r w:rsidRPr="006B07F0">
              <w:rPr>
                <w:rFonts w:cs="Times New Roman" w:hint="eastAsia"/>
                <w:bCs/>
                <w:color w:val="000000"/>
                <w:sz w:val="18"/>
                <w:szCs w:val="18"/>
              </w:rPr>
              <w:t>年末</w:t>
            </w:r>
          </w:p>
        </w:tc>
      </w:tr>
      <w:tr w:rsidR="001E2F08" w:rsidRPr="006B07F0" w:rsidTr="001E2F08">
        <w:trPr>
          <w:trHeight w:val="397"/>
          <w:jc w:val="center"/>
        </w:trPr>
        <w:tc>
          <w:tcPr>
            <w:tcW w:w="1595" w:type="dxa"/>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color w:val="000000"/>
                <w:sz w:val="18"/>
                <w:szCs w:val="18"/>
              </w:rPr>
              <w:t>保利地产</w:t>
            </w:r>
          </w:p>
        </w:tc>
        <w:tc>
          <w:tcPr>
            <w:tcW w:w="816"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77.66%</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77.79%</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77.97%</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77.28%</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1.96</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2.1</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2.33</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2.3</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-0.39</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0.59</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0.24</w:t>
            </w:r>
          </w:p>
        </w:tc>
        <w:tc>
          <w:tcPr>
            <w:tcW w:w="708" w:type="dxa"/>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-0.99</w:t>
            </w:r>
          </w:p>
        </w:tc>
      </w:tr>
      <w:tr w:rsidR="001E2F08" w:rsidRPr="006B07F0" w:rsidTr="001E2F08">
        <w:trPr>
          <w:trHeight w:val="397"/>
          <w:jc w:val="center"/>
        </w:trPr>
        <w:tc>
          <w:tcPr>
            <w:tcW w:w="1595" w:type="dxa"/>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color w:val="000000"/>
                <w:sz w:val="18"/>
                <w:szCs w:val="18"/>
              </w:rPr>
              <w:t>绿地控股</w:t>
            </w:r>
          </w:p>
        </w:tc>
        <w:tc>
          <w:tcPr>
            <w:tcW w:w="816"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88.51%</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88.53%</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89.49%</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79.74%</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0.72</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0.76</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0.86</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0.81</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0.03</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0.17</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0.45</w:t>
            </w:r>
          </w:p>
        </w:tc>
        <w:tc>
          <w:tcPr>
            <w:tcW w:w="708" w:type="dxa"/>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0.63</w:t>
            </w:r>
          </w:p>
        </w:tc>
      </w:tr>
      <w:tr w:rsidR="001E2F08" w:rsidRPr="006B07F0" w:rsidTr="001E2F08">
        <w:trPr>
          <w:trHeight w:val="397"/>
          <w:jc w:val="center"/>
        </w:trPr>
        <w:tc>
          <w:tcPr>
            <w:tcW w:w="1595" w:type="dxa"/>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proofErr w:type="gramStart"/>
            <w:r w:rsidRPr="006B07F0">
              <w:rPr>
                <w:rFonts w:cs="Times New Roman" w:hint="eastAsia"/>
                <w:bCs/>
                <w:color w:val="000000"/>
                <w:sz w:val="18"/>
                <w:szCs w:val="18"/>
              </w:rPr>
              <w:t>世</w:t>
            </w:r>
            <w:proofErr w:type="gramEnd"/>
            <w:r w:rsidRPr="006B07F0">
              <w:rPr>
                <w:rFonts w:cs="Times New Roman" w:hint="eastAsia"/>
                <w:bCs/>
                <w:color w:val="000000"/>
                <w:sz w:val="18"/>
                <w:szCs w:val="18"/>
              </w:rPr>
              <w:t>茂股份</w:t>
            </w:r>
          </w:p>
        </w:tc>
        <w:tc>
          <w:tcPr>
            <w:tcW w:w="816"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63.56%</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62.21%</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58.65%</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62.33%</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1.63</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1.33</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2.45</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2.66</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0.24</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0.49</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0.94</w:t>
            </w:r>
          </w:p>
        </w:tc>
        <w:tc>
          <w:tcPr>
            <w:tcW w:w="708" w:type="dxa"/>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1.25</w:t>
            </w:r>
          </w:p>
        </w:tc>
      </w:tr>
      <w:tr w:rsidR="001E2F08" w:rsidRPr="006B07F0" w:rsidTr="001E2F08">
        <w:trPr>
          <w:trHeight w:val="397"/>
          <w:jc w:val="center"/>
        </w:trPr>
        <w:tc>
          <w:tcPr>
            <w:tcW w:w="1595" w:type="dxa"/>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sz w:val="18"/>
                <w:szCs w:val="18"/>
              </w:rPr>
              <w:t>山湖海（广东）投资控股集团有限公司</w:t>
            </w:r>
          </w:p>
        </w:tc>
        <w:tc>
          <w:tcPr>
            <w:tcW w:w="816"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708" w:type="dxa"/>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r>
      <w:tr w:rsidR="001E2F08" w:rsidRPr="006B07F0" w:rsidTr="001E2F08">
        <w:trPr>
          <w:trHeight w:val="397"/>
          <w:jc w:val="center"/>
        </w:trPr>
        <w:tc>
          <w:tcPr>
            <w:tcW w:w="1595" w:type="dxa"/>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sz w:val="18"/>
                <w:szCs w:val="18"/>
              </w:rPr>
              <w:lastRenderedPageBreak/>
              <w:t>融侨集团股份有限公司</w:t>
            </w:r>
          </w:p>
        </w:tc>
        <w:tc>
          <w:tcPr>
            <w:tcW w:w="816"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79.04%</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79.75%</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81.97%</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79.74%</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1.41</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1.04</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0.56</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0.45</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0.14</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0.59</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-0.07</w:t>
            </w:r>
          </w:p>
        </w:tc>
        <w:tc>
          <w:tcPr>
            <w:tcW w:w="708" w:type="dxa"/>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-0.56</w:t>
            </w:r>
          </w:p>
        </w:tc>
      </w:tr>
      <w:tr w:rsidR="001E2F08" w:rsidRPr="006B07F0" w:rsidTr="001E2F08">
        <w:trPr>
          <w:trHeight w:val="397"/>
          <w:jc w:val="center"/>
        </w:trPr>
        <w:tc>
          <w:tcPr>
            <w:tcW w:w="1595" w:type="dxa"/>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sz w:val="18"/>
                <w:szCs w:val="18"/>
              </w:rPr>
              <w:t>金科地产集团股份有限公司</w:t>
            </w:r>
          </w:p>
        </w:tc>
        <w:tc>
          <w:tcPr>
            <w:tcW w:w="816"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83.92%</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83.78%</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83.63%</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85.79%</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1.01</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1.1</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1.08</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1.04</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-0.07</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0.07</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0.05</w:t>
            </w:r>
          </w:p>
        </w:tc>
        <w:tc>
          <w:tcPr>
            <w:tcW w:w="708" w:type="dxa"/>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-0.47</w:t>
            </w:r>
          </w:p>
        </w:tc>
      </w:tr>
      <w:tr w:rsidR="001E2F08" w:rsidRPr="006B07F0" w:rsidTr="001E2F08">
        <w:trPr>
          <w:trHeight w:val="397"/>
          <w:jc w:val="center"/>
        </w:trPr>
        <w:tc>
          <w:tcPr>
            <w:tcW w:w="1595" w:type="dxa"/>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sz w:val="18"/>
                <w:szCs w:val="18"/>
              </w:rPr>
              <w:t>阳光城集团股份有限公司</w:t>
            </w:r>
          </w:p>
        </w:tc>
        <w:tc>
          <w:tcPr>
            <w:tcW w:w="816"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83.64%</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83.45%</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84.42%</w:t>
            </w:r>
          </w:p>
        </w:tc>
        <w:tc>
          <w:tcPr>
            <w:tcW w:w="851"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85.66%</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1.39</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1.32</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0.79</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0.75</w:t>
            </w:r>
          </w:p>
        </w:tc>
        <w:tc>
          <w:tcPr>
            <w:tcW w:w="850"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0.44</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0.48</w:t>
            </w:r>
          </w:p>
        </w:tc>
        <w:tc>
          <w:tcPr>
            <w:tcW w:w="709" w:type="dxa"/>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0.46</w:t>
            </w:r>
          </w:p>
        </w:tc>
        <w:tc>
          <w:tcPr>
            <w:tcW w:w="708" w:type="dxa"/>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0.18</w:t>
            </w:r>
          </w:p>
        </w:tc>
      </w:tr>
      <w:tr w:rsidR="001E2F08" w:rsidRPr="006B07F0" w:rsidTr="001E2F08">
        <w:trPr>
          <w:trHeight w:val="397"/>
          <w:jc w:val="center"/>
        </w:trPr>
        <w:tc>
          <w:tcPr>
            <w:tcW w:w="1595" w:type="dxa"/>
            <w:tcBorders>
              <w:top w:val="dotted" w:sz="4" w:space="0" w:color="auto"/>
              <w:left w:val="nil"/>
              <w:bottom w:val="single" w:sz="12" w:space="0" w:color="auto"/>
              <w:right w:val="dotted" w:sz="4" w:space="0" w:color="auto"/>
            </w:tcBorders>
            <w:vAlign w:val="center"/>
            <w:hideMark/>
          </w:tcPr>
          <w:p w:rsidR="001E2F08" w:rsidRPr="006B07F0" w:rsidRDefault="001E2F08">
            <w:pPr>
              <w:jc w:val="center"/>
              <w:rPr>
                <w:rFonts w:cs="Times New Roman"/>
                <w:bCs/>
                <w:color w:val="000000"/>
                <w:sz w:val="18"/>
                <w:szCs w:val="18"/>
              </w:rPr>
            </w:pPr>
            <w:r w:rsidRPr="006B07F0">
              <w:rPr>
                <w:rFonts w:cs="Times New Roman" w:hint="eastAsia"/>
                <w:bCs/>
                <w:sz w:val="18"/>
                <w:szCs w:val="18"/>
              </w:rPr>
              <w:t>湖州远辉房地产开发有限公司</w:t>
            </w:r>
          </w:p>
        </w:tc>
        <w:tc>
          <w:tcPr>
            <w:tcW w:w="816" w:type="dxa"/>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851" w:type="dxa"/>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850" w:type="dxa"/>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851" w:type="dxa"/>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850" w:type="dxa"/>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709" w:type="dxa"/>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709" w:type="dxa"/>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709" w:type="dxa"/>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850" w:type="dxa"/>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709" w:type="dxa"/>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709" w:type="dxa"/>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c>
          <w:tcPr>
            <w:tcW w:w="708" w:type="dxa"/>
            <w:tcBorders>
              <w:top w:val="dotted" w:sz="4" w:space="0" w:color="auto"/>
              <w:left w:val="dotted" w:sz="4" w:space="0" w:color="auto"/>
              <w:bottom w:val="single" w:sz="12" w:space="0" w:color="auto"/>
              <w:right w:val="nil"/>
            </w:tcBorders>
            <w:vAlign w:val="center"/>
            <w:hideMark/>
          </w:tcPr>
          <w:p w:rsidR="001E2F08" w:rsidRPr="006B07F0" w:rsidRDefault="001E2F08">
            <w:pPr>
              <w:jc w:val="right"/>
              <w:rPr>
                <w:rFonts w:cs="Times New Roman"/>
                <w:bCs/>
                <w:color w:val="000000"/>
                <w:sz w:val="18"/>
                <w:szCs w:val="18"/>
              </w:rPr>
            </w:pPr>
            <w:r w:rsidRPr="006B07F0">
              <w:rPr>
                <w:rFonts w:cs="Times New Roman"/>
                <w:bCs/>
                <w:color w:val="000000"/>
                <w:sz w:val="18"/>
                <w:szCs w:val="18"/>
              </w:rPr>
              <w:t>-</w:t>
            </w:r>
          </w:p>
        </w:tc>
      </w:tr>
    </w:tbl>
    <w:p w:rsidR="001E2F08" w:rsidRPr="006B07F0" w:rsidRDefault="001E2F08" w:rsidP="001E2F08">
      <w:pPr>
        <w:pStyle w:val="12"/>
        <w:spacing w:before="163" w:after="163" w:line="240" w:lineRule="auto"/>
        <w:ind w:firstLine="420"/>
        <w:rPr>
          <w:rFonts w:ascii="宋体" w:hAnsi="宋体"/>
          <w:bCs/>
          <w:sz w:val="21"/>
          <w:szCs w:val="21"/>
        </w:rPr>
      </w:pPr>
      <w:r w:rsidRPr="006B07F0">
        <w:rPr>
          <w:rFonts w:ascii="宋体" w:hAnsi="宋体" w:hint="eastAsia"/>
          <w:bCs/>
          <w:sz w:val="21"/>
          <w:szCs w:val="21"/>
        </w:rPr>
        <w:t>注：</w:t>
      </w:r>
      <w:r w:rsidRPr="006B07F0">
        <w:rPr>
          <w:rFonts w:ascii="宋体" w:hAnsi="宋体"/>
          <w:bCs/>
          <w:sz w:val="21"/>
          <w:szCs w:val="21"/>
        </w:rPr>
        <w:t>1</w:t>
      </w:r>
      <w:r w:rsidRPr="006B07F0">
        <w:rPr>
          <w:rFonts w:ascii="宋体" w:hAnsi="宋体" w:hint="eastAsia"/>
          <w:bCs/>
          <w:sz w:val="21"/>
          <w:szCs w:val="21"/>
        </w:rPr>
        <w:t>、数据来源为各公司定期报告；</w:t>
      </w:r>
    </w:p>
    <w:p w:rsidR="001E2F08" w:rsidRPr="006B07F0" w:rsidRDefault="001E2F08" w:rsidP="001E2F08">
      <w:pPr>
        <w:pStyle w:val="12"/>
        <w:spacing w:before="163" w:after="163" w:line="240" w:lineRule="auto"/>
        <w:ind w:firstLine="420"/>
        <w:rPr>
          <w:rFonts w:ascii="宋体" w:hAnsi="宋体"/>
          <w:bCs/>
          <w:sz w:val="21"/>
          <w:szCs w:val="21"/>
        </w:rPr>
      </w:pPr>
      <w:r w:rsidRPr="006B07F0">
        <w:rPr>
          <w:rFonts w:ascii="宋体" w:hAnsi="宋体" w:hint="eastAsia"/>
          <w:bCs/>
          <w:sz w:val="21"/>
          <w:szCs w:val="21"/>
        </w:rPr>
        <w:t>注：</w:t>
      </w:r>
      <w:r w:rsidRPr="006B07F0">
        <w:rPr>
          <w:rFonts w:ascii="宋体" w:hAnsi="宋体"/>
          <w:bCs/>
          <w:sz w:val="21"/>
          <w:szCs w:val="21"/>
        </w:rPr>
        <w:t>2</w:t>
      </w:r>
      <w:r w:rsidRPr="006B07F0">
        <w:rPr>
          <w:rFonts w:ascii="宋体" w:hAnsi="宋体" w:hint="eastAsia"/>
          <w:bCs/>
          <w:sz w:val="21"/>
          <w:szCs w:val="21"/>
        </w:rPr>
        <w:t>、山湖海（广东）投资控股集团有限公司、湖州远辉房地产开发有限公司为非公众公司，无法从公开渠道获取相关财务信息。</w:t>
      </w:r>
    </w:p>
    <w:p w:rsidR="001E2F08" w:rsidRPr="006B07F0" w:rsidRDefault="001E2F08" w:rsidP="001E2F08">
      <w:pPr>
        <w:pStyle w:val="12"/>
        <w:spacing w:before="163" w:after="163"/>
        <w:ind w:firstLine="420"/>
        <w:rPr>
          <w:rFonts w:ascii="宋体" w:hAnsi="宋体" w:cs="Times New Roman"/>
          <w:bCs/>
          <w:sz w:val="21"/>
          <w:szCs w:val="21"/>
        </w:rPr>
      </w:pPr>
      <w:r w:rsidRPr="006B07F0">
        <w:rPr>
          <w:rFonts w:ascii="宋体" w:hAnsi="宋体" w:cs="Times New Roman"/>
          <w:bCs/>
          <w:sz w:val="21"/>
          <w:szCs w:val="21"/>
        </w:rPr>
        <w:t>3</w:t>
      </w:r>
      <w:r w:rsidRPr="006B07F0">
        <w:rPr>
          <w:rFonts w:ascii="宋体" w:hAnsi="宋体" w:cs="Times New Roman" w:hint="eastAsia"/>
          <w:bCs/>
          <w:sz w:val="21"/>
          <w:szCs w:val="21"/>
        </w:rPr>
        <w:t>、结合上述情况，补充披露是否存在回款风险较大、资金</w:t>
      </w:r>
      <w:proofErr w:type="gramStart"/>
      <w:r w:rsidRPr="006B07F0">
        <w:rPr>
          <w:rFonts w:ascii="宋体" w:hAnsi="宋体" w:cs="Times New Roman" w:hint="eastAsia"/>
          <w:bCs/>
          <w:sz w:val="21"/>
          <w:szCs w:val="21"/>
        </w:rPr>
        <w:t>链紧张</w:t>
      </w:r>
      <w:proofErr w:type="gramEnd"/>
      <w:r w:rsidRPr="006B07F0">
        <w:rPr>
          <w:rFonts w:ascii="宋体" w:hAnsi="宋体" w:cs="Times New Roman" w:hint="eastAsia"/>
          <w:bCs/>
          <w:sz w:val="21"/>
          <w:szCs w:val="21"/>
        </w:rPr>
        <w:t>的客户</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hint="eastAsia"/>
          <w:b w:val="0"/>
          <w:sz w:val="21"/>
          <w:szCs w:val="21"/>
        </w:rPr>
        <w:t>房地产行业为资金密集型行业，房地产开发企业通常存在资产负债率高，短期偿债压力较大的特点，资金</w:t>
      </w:r>
      <w:proofErr w:type="gramStart"/>
      <w:r w:rsidRPr="006B07F0">
        <w:rPr>
          <w:rFonts w:ascii="宋体" w:eastAsia="宋体" w:hAnsi="宋体" w:hint="eastAsia"/>
          <w:b w:val="0"/>
          <w:sz w:val="21"/>
          <w:szCs w:val="21"/>
        </w:rPr>
        <w:t>链紧张</w:t>
      </w:r>
      <w:proofErr w:type="gramEnd"/>
      <w:r w:rsidRPr="006B07F0">
        <w:rPr>
          <w:rFonts w:ascii="宋体" w:eastAsia="宋体" w:hAnsi="宋体" w:hint="eastAsia"/>
          <w:b w:val="0"/>
          <w:sz w:val="21"/>
          <w:szCs w:val="21"/>
        </w:rPr>
        <w:t>是很多房地产开发企业都会遇到的情形。但总体看来，报告期内，公司主要客户经营情况正常，资信情况良好，资金状况及偿债能力总体保持稳定，符合行业特性，未出现资金链及信用情况严重恶化的情形，亦不存在明显偿债风险。</w:t>
      </w:r>
    </w:p>
    <w:p w:rsidR="001E2F08" w:rsidRPr="006B07F0" w:rsidRDefault="001E2F08" w:rsidP="001E2F08">
      <w:pPr>
        <w:pStyle w:val="ae"/>
        <w:spacing w:before="163" w:after="163"/>
        <w:ind w:firstLine="420"/>
        <w:rPr>
          <w:rFonts w:ascii="宋体" w:eastAsia="宋体" w:hAnsi="宋体"/>
          <w:b w:val="0"/>
          <w:sz w:val="21"/>
          <w:szCs w:val="21"/>
        </w:rPr>
      </w:pPr>
      <w:r w:rsidRPr="006B07F0">
        <w:rPr>
          <w:rFonts w:ascii="宋体" w:eastAsia="宋体" w:hAnsi="宋体"/>
          <w:b w:val="0"/>
          <w:sz w:val="21"/>
          <w:szCs w:val="21"/>
        </w:rPr>
        <w:t>4</w:t>
      </w:r>
      <w:r w:rsidRPr="006B07F0">
        <w:rPr>
          <w:rFonts w:ascii="宋体" w:eastAsia="宋体" w:hAnsi="宋体" w:hint="eastAsia"/>
          <w:b w:val="0"/>
          <w:sz w:val="21"/>
          <w:szCs w:val="21"/>
        </w:rPr>
        <w:t>、相关坏账准备计提是否充分</w:t>
      </w:r>
    </w:p>
    <w:p w:rsidR="001E2F08" w:rsidRPr="006B07F0" w:rsidRDefault="001E2F08" w:rsidP="001E2F08">
      <w:pPr>
        <w:spacing w:beforeLines="50" w:before="163" w:afterLines="50" w:after="163" w:line="360" w:lineRule="auto"/>
        <w:ind w:firstLineChars="200" w:firstLine="420"/>
        <w:rPr>
          <w:rFonts w:cs="Times New Roman"/>
          <w:bCs/>
          <w:sz w:val="21"/>
          <w:szCs w:val="21"/>
        </w:rPr>
      </w:pPr>
      <w:r w:rsidRPr="006B07F0">
        <w:rPr>
          <w:rFonts w:hint="eastAsia"/>
          <w:bCs/>
          <w:sz w:val="21"/>
          <w:szCs w:val="21"/>
        </w:rPr>
        <w:t>报告期内公司及同行业可比上市公司应收账款坏账计提比例对比如下：</w:t>
      </w:r>
    </w:p>
    <w:tbl>
      <w:tblPr>
        <w:tblW w:w="5000" w:type="pct"/>
        <w:jc w:val="center"/>
        <w:tblBorders>
          <w:top w:val="single" w:sz="12" w:space="0" w:color="35339A"/>
          <w:left w:val="single" w:sz="6" w:space="0" w:color="35339A"/>
          <w:bottom w:val="single" w:sz="12" w:space="0" w:color="35339A"/>
          <w:right w:val="single" w:sz="6" w:space="0" w:color="35339A"/>
          <w:insideH w:val="single" w:sz="6" w:space="0" w:color="35339A"/>
          <w:insideV w:val="single" w:sz="6" w:space="0" w:color="35339A"/>
        </w:tblBorders>
        <w:tblLook w:val="04A0" w:firstRow="1" w:lastRow="0" w:firstColumn="1" w:lastColumn="0" w:noHBand="0" w:noVBand="1"/>
      </w:tblPr>
      <w:tblGrid>
        <w:gridCol w:w="1577"/>
        <w:gridCol w:w="1578"/>
        <w:gridCol w:w="1597"/>
        <w:gridCol w:w="1235"/>
        <w:gridCol w:w="1354"/>
        <w:gridCol w:w="1281"/>
      </w:tblGrid>
      <w:tr w:rsidR="001E2F08" w:rsidRPr="006B07F0" w:rsidTr="001E2F08">
        <w:trPr>
          <w:trHeight w:val="403"/>
          <w:jc w:val="center"/>
        </w:trPr>
        <w:tc>
          <w:tcPr>
            <w:tcW w:w="915" w:type="pct"/>
            <w:tcBorders>
              <w:top w:val="single" w:sz="12"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年度</w:t>
            </w:r>
          </w:p>
        </w:tc>
        <w:tc>
          <w:tcPr>
            <w:tcW w:w="915" w:type="pct"/>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公司</w:t>
            </w:r>
          </w:p>
        </w:tc>
        <w:tc>
          <w:tcPr>
            <w:tcW w:w="926" w:type="pct"/>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w:t>
            </w:r>
            <w:r w:rsidRPr="006B07F0">
              <w:rPr>
                <w:rFonts w:cs="Times New Roman" w:hint="eastAsia"/>
                <w:bCs/>
                <w:sz w:val="18"/>
                <w:szCs w:val="18"/>
              </w:rPr>
              <w:t>年以内</w:t>
            </w:r>
          </w:p>
          <w:p w:rsidR="001E2F08" w:rsidRPr="006B07F0" w:rsidRDefault="001E2F08">
            <w:pPr>
              <w:snapToGrid w:val="0"/>
              <w:jc w:val="center"/>
              <w:rPr>
                <w:rFonts w:cs="Times New Roman"/>
                <w:bCs/>
                <w:sz w:val="18"/>
                <w:szCs w:val="18"/>
              </w:rPr>
            </w:pPr>
            <w:r w:rsidRPr="006B07F0">
              <w:rPr>
                <w:rFonts w:cs="Times New Roman" w:hint="eastAsia"/>
                <w:bCs/>
                <w:sz w:val="18"/>
                <w:szCs w:val="18"/>
              </w:rPr>
              <w:t>（含</w:t>
            </w:r>
            <w:r w:rsidRPr="006B07F0">
              <w:rPr>
                <w:rFonts w:cs="Times New Roman"/>
                <w:bCs/>
                <w:sz w:val="18"/>
                <w:szCs w:val="18"/>
              </w:rPr>
              <w:t>1</w:t>
            </w:r>
            <w:r w:rsidRPr="006B07F0">
              <w:rPr>
                <w:rFonts w:cs="Times New Roman" w:hint="eastAsia"/>
                <w:bCs/>
                <w:sz w:val="18"/>
                <w:szCs w:val="18"/>
              </w:rPr>
              <w:t>年）</w:t>
            </w:r>
          </w:p>
        </w:tc>
        <w:tc>
          <w:tcPr>
            <w:tcW w:w="716" w:type="pct"/>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1-2</w:t>
            </w:r>
            <w:r w:rsidRPr="006B07F0">
              <w:rPr>
                <w:rFonts w:cs="Times New Roman" w:hint="eastAsia"/>
                <w:bCs/>
                <w:sz w:val="18"/>
                <w:szCs w:val="18"/>
              </w:rPr>
              <w:t>年</w:t>
            </w:r>
          </w:p>
        </w:tc>
        <w:tc>
          <w:tcPr>
            <w:tcW w:w="785" w:type="pct"/>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2-3</w:t>
            </w:r>
            <w:r w:rsidRPr="006B07F0">
              <w:rPr>
                <w:rFonts w:cs="Times New Roman" w:hint="eastAsia"/>
                <w:bCs/>
                <w:sz w:val="18"/>
                <w:szCs w:val="18"/>
              </w:rPr>
              <w:t>年</w:t>
            </w:r>
          </w:p>
        </w:tc>
        <w:tc>
          <w:tcPr>
            <w:tcW w:w="743" w:type="pct"/>
            <w:tcBorders>
              <w:top w:val="single" w:sz="12"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3</w:t>
            </w:r>
            <w:r w:rsidRPr="006B07F0">
              <w:rPr>
                <w:rFonts w:cs="Times New Roman" w:hint="eastAsia"/>
                <w:bCs/>
                <w:sz w:val="18"/>
                <w:szCs w:val="18"/>
              </w:rPr>
              <w:t>年以上</w:t>
            </w:r>
          </w:p>
        </w:tc>
      </w:tr>
      <w:tr w:rsidR="001E2F08" w:rsidRPr="006B07F0" w:rsidTr="001E2F08">
        <w:trPr>
          <w:trHeight w:val="403"/>
          <w:jc w:val="center"/>
        </w:trPr>
        <w:tc>
          <w:tcPr>
            <w:tcW w:w="915" w:type="pct"/>
            <w:vMerge w:val="restar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2020年</w:t>
            </w: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杰恩设计</w:t>
            </w:r>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proofErr w:type="gramStart"/>
            <w:r w:rsidRPr="006B07F0">
              <w:rPr>
                <w:rFonts w:cs="Times New Roman" w:hint="eastAsia"/>
                <w:bCs/>
                <w:sz w:val="18"/>
                <w:szCs w:val="18"/>
              </w:rPr>
              <w:t>筑博设计</w:t>
            </w:r>
            <w:proofErr w:type="gramEnd"/>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华阳国际</w:t>
            </w:r>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山</w:t>
            </w:r>
            <w:proofErr w:type="gramStart"/>
            <w:r w:rsidRPr="006B07F0">
              <w:rPr>
                <w:rFonts w:cs="Times New Roman" w:hint="eastAsia"/>
                <w:bCs/>
                <w:sz w:val="18"/>
                <w:szCs w:val="18"/>
              </w:rPr>
              <w:t>鼎设计</w:t>
            </w:r>
            <w:proofErr w:type="gramEnd"/>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尤安设计</w:t>
            </w:r>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hint="eastAsia"/>
                <w:bCs/>
                <w:sz w:val="18"/>
                <w:szCs w:val="18"/>
              </w:rPr>
              <w:t>-</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霍普股份</w:t>
            </w:r>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50%</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100%</w:t>
            </w:r>
          </w:p>
        </w:tc>
      </w:tr>
      <w:tr w:rsidR="001E2F08" w:rsidRPr="006B07F0" w:rsidTr="001E2F08">
        <w:trPr>
          <w:trHeight w:val="403"/>
          <w:jc w:val="center"/>
        </w:trPr>
        <w:tc>
          <w:tcPr>
            <w:tcW w:w="915" w:type="pct"/>
            <w:vMerge w:val="restar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bCs/>
                <w:sz w:val="18"/>
                <w:szCs w:val="18"/>
              </w:rPr>
              <w:t>2019</w:t>
            </w:r>
            <w:r w:rsidRPr="006B07F0">
              <w:rPr>
                <w:rFonts w:cs="Times New Roman" w:hint="eastAsia"/>
                <w:bCs/>
                <w:sz w:val="18"/>
                <w:szCs w:val="18"/>
              </w:rPr>
              <w:t>年度</w:t>
            </w: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杰恩设计</w:t>
            </w:r>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30%</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100%</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proofErr w:type="gramStart"/>
            <w:r w:rsidRPr="006B07F0">
              <w:rPr>
                <w:rFonts w:cs="Times New Roman" w:hint="eastAsia"/>
                <w:bCs/>
                <w:sz w:val="18"/>
                <w:szCs w:val="18"/>
              </w:rPr>
              <w:t>筑博设计</w:t>
            </w:r>
            <w:proofErr w:type="gramEnd"/>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20%</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50%</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100%</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华阳国际</w:t>
            </w:r>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20%</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50%</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100%</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山</w:t>
            </w:r>
            <w:proofErr w:type="gramStart"/>
            <w:r w:rsidRPr="006B07F0">
              <w:rPr>
                <w:rFonts w:cs="Times New Roman" w:hint="eastAsia"/>
                <w:bCs/>
                <w:sz w:val="18"/>
                <w:szCs w:val="18"/>
              </w:rPr>
              <w:t>鼎设计</w:t>
            </w:r>
            <w:proofErr w:type="gramEnd"/>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10.41%</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27.68%</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42.45%</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79.44%</w:t>
            </w:r>
            <w:r w:rsidRPr="006B07F0">
              <w:rPr>
                <w:rFonts w:cs="Times New Roman" w:hint="eastAsia"/>
                <w:bCs/>
                <w:sz w:val="18"/>
                <w:szCs w:val="18"/>
              </w:rPr>
              <w:t>、</w:t>
            </w:r>
            <w:r w:rsidRPr="006B07F0">
              <w:rPr>
                <w:rFonts w:cs="Times New Roman"/>
                <w:bCs/>
                <w:sz w:val="18"/>
                <w:szCs w:val="18"/>
              </w:rPr>
              <w:t>100%</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尤安设计</w:t>
            </w:r>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20%</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50%</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100%</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霍普股份</w:t>
            </w:r>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50%</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100%</w:t>
            </w:r>
          </w:p>
        </w:tc>
      </w:tr>
      <w:tr w:rsidR="001E2F08" w:rsidRPr="006B07F0" w:rsidTr="001E2F08">
        <w:trPr>
          <w:trHeight w:val="403"/>
          <w:jc w:val="center"/>
        </w:trPr>
        <w:tc>
          <w:tcPr>
            <w:tcW w:w="915" w:type="pct"/>
            <w:vMerge w:val="restar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bCs/>
                <w:sz w:val="18"/>
                <w:szCs w:val="18"/>
              </w:rPr>
              <w:t>2018</w:t>
            </w:r>
            <w:r w:rsidRPr="006B07F0">
              <w:rPr>
                <w:rFonts w:cs="Times New Roman" w:hint="eastAsia"/>
                <w:bCs/>
                <w:sz w:val="18"/>
                <w:szCs w:val="18"/>
              </w:rPr>
              <w:t>年度</w:t>
            </w: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杰恩设计</w:t>
            </w:r>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30%</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100%</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proofErr w:type="gramStart"/>
            <w:r w:rsidRPr="006B07F0">
              <w:rPr>
                <w:rFonts w:cs="Times New Roman" w:hint="eastAsia"/>
                <w:bCs/>
                <w:sz w:val="18"/>
                <w:szCs w:val="18"/>
              </w:rPr>
              <w:t>筑博设计</w:t>
            </w:r>
            <w:proofErr w:type="gramEnd"/>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20%</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50%</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100%</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华阳国际</w:t>
            </w:r>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20%</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50%</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100%</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山</w:t>
            </w:r>
            <w:proofErr w:type="gramStart"/>
            <w:r w:rsidRPr="006B07F0">
              <w:rPr>
                <w:rFonts w:cs="Times New Roman" w:hint="eastAsia"/>
                <w:bCs/>
                <w:sz w:val="18"/>
                <w:szCs w:val="18"/>
              </w:rPr>
              <w:t>鼎设计</w:t>
            </w:r>
            <w:proofErr w:type="gramEnd"/>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20%</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50%</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100%</w:t>
            </w:r>
          </w:p>
        </w:tc>
      </w:tr>
      <w:tr w:rsidR="001E2F08" w:rsidRPr="006B07F0" w:rsidTr="001E2F08">
        <w:trPr>
          <w:trHeight w:val="403"/>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尤安设计</w:t>
            </w:r>
          </w:p>
        </w:tc>
        <w:tc>
          <w:tcPr>
            <w:tcW w:w="92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w:t>
            </w:r>
          </w:p>
        </w:tc>
        <w:tc>
          <w:tcPr>
            <w:tcW w:w="716"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20%</w:t>
            </w:r>
          </w:p>
        </w:tc>
        <w:tc>
          <w:tcPr>
            <w:tcW w:w="78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50%</w:t>
            </w:r>
          </w:p>
        </w:tc>
        <w:tc>
          <w:tcPr>
            <w:tcW w:w="743" w:type="pct"/>
            <w:tcBorders>
              <w:top w:val="dotted" w:sz="4" w:space="0" w:color="auto"/>
              <w:left w:val="dotted" w:sz="4" w:space="0" w:color="auto"/>
              <w:bottom w:val="dotted" w:sz="4"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100%</w:t>
            </w:r>
          </w:p>
        </w:tc>
      </w:tr>
      <w:tr w:rsidR="001E2F08" w:rsidRPr="006B07F0" w:rsidTr="001E2F08">
        <w:trPr>
          <w:trHeight w:val="403"/>
          <w:jc w:val="center"/>
        </w:trPr>
        <w:tc>
          <w:tcPr>
            <w:tcW w:w="0" w:type="auto"/>
            <w:vMerge/>
            <w:tcBorders>
              <w:top w:val="dotted" w:sz="4" w:space="0" w:color="auto"/>
              <w:left w:val="nil"/>
              <w:bottom w:val="single" w:sz="12" w:space="0" w:color="auto"/>
              <w:right w:val="dotted" w:sz="4" w:space="0" w:color="auto"/>
            </w:tcBorders>
            <w:vAlign w:val="center"/>
            <w:hideMark/>
          </w:tcPr>
          <w:p w:rsidR="001E2F08" w:rsidRPr="006B07F0" w:rsidRDefault="001E2F08">
            <w:pPr>
              <w:rPr>
                <w:rFonts w:cs="Times New Roman"/>
                <w:bCs/>
                <w:sz w:val="18"/>
                <w:szCs w:val="18"/>
              </w:rPr>
            </w:pPr>
          </w:p>
        </w:tc>
        <w:tc>
          <w:tcPr>
            <w:tcW w:w="915"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center"/>
              <w:rPr>
                <w:rFonts w:cs="Times New Roman"/>
                <w:bCs/>
                <w:sz w:val="18"/>
                <w:szCs w:val="18"/>
              </w:rPr>
            </w:pPr>
            <w:r w:rsidRPr="006B07F0">
              <w:rPr>
                <w:rFonts w:cs="Times New Roman" w:hint="eastAsia"/>
                <w:bCs/>
                <w:sz w:val="18"/>
                <w:szCs w:val="18"/>
              </w:rPr>
              <w:t>霍普股份</w:t>
            </w:r>
          </w:p>
        </w:tc>
        <w:tc>
          <w:tcPr>
            <w:tcW w:w="926"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w:t>
            </w:r>
          </w:p>
        </w:tc>
        <w:tc>
          <w:tcPr>
            <w:tcW w:w="716"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w:t>
            </w:r>
          </w:p>
        </w:tc>
        <w:tc>
          <w:tcPr>
            <w:tcW w:w="785"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50%</w:t>
            </w:r>
          </w:p>
        </w:tc>
        <w:tc>
          <w:tcPr>
            <w:tcW w:w="743" w:type="pct"/>
            <w:tcBorders>
              <w:top w:val="dotted" w:sz="4" w:space="0" w:color="auto"/>
              <w:left w:val="dotted" w:sz="4" w:space="0" w:color="auto"/>
              <w:bottom w:val="single" w:sz="12" w:space="0" w:color="auto"/>
              <w:right w:val="nil"/>
            </w:tcBorders>
            <w:vAlign w:val="center"/>
            <w:hideMark/>
          </w:tcPr>
          <w:p w:rsidR="001E2F08" w:rsidRPr="006B07F0" w:rsidRDefault="001E2F08">
            <w:pPr>
              <w:snapToGrid w:val="0"/>
              <w:jc w:val="center"/>
              <w:rPr>
                <w:rFonts w:cs="Times New Roman"/>
                <w:bCs/>
                <w:sz w:val="18"/>
                <w:szCs w:val="18"/>
              </w:rPr>
            </w:pPr>
            <w:r w:rsidRPr="006B07F0">
              <w:rPr>
                <w:rFonts w:cs="Times New Roman"/>
                <w:bCs/>
                <w:sz w:val="18"/>
                <w:szCs w:val="18"/>
              </w:rPr>
              <w:t>100%</w:t>
            </w:r>
          </w:p>
        </w:tc>
      </w:tr>
    </w:tbl>
    <w:p w:rsidR="001E2F08" w:rsidRPr="006B07F0" w:rsidRDefault="001E2F08" w:rsidP="001E2F08">
      <w:pPr>
        <w:spacing w:beforeLines="50" w:before="163" w:afterLines="50" w:after="163" w:line="360" w:lineRule="auto"/>
        <w:ind w:firstLineChars="200" w:firstLine="420"/>
        <w:rPr>
          <w:rFonts w:cs="Times New Roman"/>
          <w:bCs/>
          <w:color w:val="000000"/>
          <w:sz w:val="21"/>
          <w:szCs w:val="21"/>
          <w:lang w:bidi="en-US"/>
        </w:rPr>
      </w:pPr>
      <w:bookmarkStart w:id="6" w:name="_Hlk58790577"/>
      <w:r w:rsidRPr="006B07F0">
        <w:rPr>
          <w:rFonts w:cs="Times New Roman" w:hint="eastAsia"/>
          <w:bCs/>
          <w:color w:val="000000"/>
          <w:sz w:val="21"/>
          <w:szCs w:val="21"/>
          <w:lang w:bidi="en-US"/>
        </w:rPr>
        <w:t>报告期内，发行人坏账计提比例与同行业可比公司不存较大差异，坏账计提比例谨慎、合理。与此同时，结合发行人主要客户的经营情况、信用信息、偿债能力及现金流等指标，报告期内，公司主要客户经营情况正常，资信情况良好，资金状况及偿债能力总体保持稳定，符合行业特性，未出现资金链及信用情况严重恶化的情形，亦不存在明显偿债风险。发行人主要应收账款回收风险较小，坏账准备计提充分。</w:t>
      </w:r>
      <w:bookmarkEnd w:id="6"/>
    </w:p>
    <w:p w:rsidR="001E2F08" w:rsidRPr="006B07F0" w:rsidRDefault="001E2F08" w:rsidP="001E2F08">
      <w:pPr>
        <w:pStyle w:val="ad"/>
        <w:spacing w:before="163" w:after="163"/>
        <w:ind w:firstLine="420"/>
        <w:rPr>
          <w:rFonts w:ascii="宋体" w:eastAsia="宋体" w:hAnsi="宋体"/>
          <w:b w:val="0"/>
          <w:sz w:val="21"/>
          <w:szCs w:val="21"/>
        </w:rPr>
      </w:pPr>
      <w:r w:rsidRPr="006B07F0">
        <w:rPr>
          <w:rFonts w:ascii="宋体" w:eastAsia="宋体" w:hAnsi="宋体" w:hint="eastAsia"/>
          <w:b w:val="0"/>
          <w:sz w:val="21"/>
          <w:szCs w:val="21"/>
        </w:rPr>
        <w:t>（二）补充披露截至目前的期后回款情况，回款比例与同行业可比公司比较情况，如存在较大差异，请分析原因及合理性，发行人是否面临较大的回款风险及对经营业绩的影响</w:t>
      </w:r>
    </w:p>
    <w:p w:rsidR="001E2F08" w:rsidRPr="006B07F0" w:rsidRDefault="001E2F08" w:rsidP="001E2F08">
      <w:pPr>
        <w:spacing w:beforeLines="50" w:before="163" w:afterLines="50" w:after="163" w:line="360" w:lineRule="auto"/>
        <w:ind w:firstLineChars="200" w:firstLine="420"/>
        <w:rPr>
          <w:rFonts w:cs="Times New Roman"/>
          <w:bCs/>
          <w:sz w:val="21"/>
          <w:szCs w:val="21"/>
        </w:rPr>
      </w:pPr>
      <w:r w:rsidRPr="006B07F0">
        <w:rPr>
          <w:rFonts w:cs="Times New Roman" w:hint="eastAsia"/>
          <w:bCs/>
          <w:sz w:val="21"/>
          <w:szCs w:val="21"/>
        </w:rPr>
        <w:t>报告期各期末公司应收账款期后回收情况如下：</w:t>
      </w:r>
    </w:p>
    <w:p w:rsidR="001E2F08" w:rsidRPr="006B07F0" w:rsidRDefault="001E2F08" w:rsidP="001E2F08">
      <w:pPr>
        <w:spacing w:beforeLines="50" w:before="163"/>
        <w:jc w:val="right"/>
        <w:rPr>
          <w:rFonts w:cs="Times New Roman"/>
          <w:bCs/>
          <w:color w:val="000000"/>
          <w:sz w:val="21"/>
          <w:szCs w:val="21"/>
          <w:lang w:eastAsia="en-US" w:bidi="en-US"/>
        </w:rPr>
      </w:pPr>
      <w:proofErr w:type="spellStart"/>
      <w:r w:rsidRPr="006B07F0">
        <w:rPr>
          <w:rFonts w:cs="Times New Roman" w:hint="eastAsia"/>
          <w:bCs/>
          <w:color w:val="000000"/>
          <w:sz w:val="21"/>
          <w:szCs w:val="21"/>
          <w:lang w:eastAsia="en-US" w:bidi="en-US"/>
        </w:rPr>
        <w:t>单位</w:t>
      </w:r>
      <w:proofErr w:type="gramStart"/>
      <w:r w:rsidRPr="006B07F0">
        <w:rPr>
          <w:rFonts w:cs="Times New Roman" w:hint="eastAsia"/>
          <w:bCs/>
          <w:color w:val="000000"/>
          <w:sz w:val="21"/>
          <w:szCs w:val="21"/>
          <w:lang w:eastAsia="en-US" w:bidi="en-US"/>
        </w:rPr>
        <w:t>:万元</w:t>
      </w:r>
      <w:proofErr w:type="spellEnd"/>
      <w:proofErr w:type="gramEnd"/>
    </w:p>
    <w:tbl>
      <w:tblPr>
        <w:tblW w:w="5000" w:type="pct"/>
        <w:jc w:val="center"/>
        <w:tblBorders>
          <w:top w:val="single" w:sz="12" w:space="0" w:color="333399"/>
          <w:left w:val="single" w:sz="6" w:space="0" w:color="333399"/>
          <w:bottom w:val="single" w:sz="12" w:space="0" w:color="333399"/>
          <w:right w:val="single" w:sz="6" w:space="0" w:color="333399"/>
          <w:insideH w:val="single" w:sz="6" w:space="0" w:color="333399"/>
          <w:insideV w:val="single" w:sz="6" w:space="0" w:color="333399"/>
        </w:tblBorders>
        <w:tblLook w:val="04A0" w:firstRow="1" w:lastRow="0" w:firstColumn="1" w:lastColumn="0" w:noHBand="0" w:noVBand="1"/>
      </w:tblPr>
      <w:tblGrid>
        <w:gridCol w:w="748"/>
        <w:gridCol w:w="2768"/>
        <w:gridCol w:w="1833"/>
        <w:gridCol w:w="1833"/>
        <w:gridCol w:w="1440"/>
      </w:tblGrid>
      <w:tr w:rsidR="001E2F08" w:rsidRPr="006B07F0" w:rsidTr="001E2F08">
        <w:trPr>
          <w:trHeight w:val="397"/>
          <w:jc w:val="center"/>
        </w:trPr>
        <w:tc>
          <w:tcPr>
            <w:tcW w:w="2039" w:type="pct"/>
            <w:gridSpan w:val="2"/>
            <w:tcBorders>
              <w:top w:val="single" w:sz="12"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r w:rsidRPr="006B07F0">
              <w:rPr>
                <w:rFonts w:cs="Times New Roman" w:hint="eastAsia"/>
                <w:bCs/>
                <w:iCs/>
                <w:sz w:val="18"/>
                <w:szCs w:val="18"/>
                <w:lang w:bidi="en-US"/>
              </w:rPr>
              <w:t>时间</w:t>
            </w:r>
          </w:p>
        </w:tc>
        <w:tc>
          <w:tcPr>
            <w:tcW w:w="1063" w:type="pct"/>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2020年</w:t>
            </w:r>
            <w:r w:rsidRPr="006B07F0">
              <w:rPr>
                <w:rFonts w:cs="Times New Roman" w:hint="eastAsia"/>
                <w:bCs/>
                <w:iCs/>
                <w:color w:val="000000"/>
                <w:sz w:val="18"/>
                <w:szCs w:val="18"/>
                <w:lang w:bidi="en-US"/>
              </w:rPr>
              <w:t>末</w:t>
            </w:r>
          </w:p>
        </w:tc>
        <w:tc>
          <w:tcPr>
            <w:tcW w:w="1063" w:type="pct"/>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2019年末</w:t>
            </w:r>
          </w:p>
        </w:tc>
        <w:tc>
          <w:tcPr>
            <w:tcW w:w="835" w:type="pct"/>
            <w:tcBorders>
              <w:top w:val="single" w:sz="12" w:space="0" w:color="auto"/>
              <w:left w:val="dotted" w:sz="4" w:space="0" w:color="auto"/>
              <w:bottom w:val="dotted" w:sz="4" w:space="0" w:color="auto"/>
              <w:right w:val="nil"/>
            </w:tcBorders>
            <w:vAlign w:val="center"/>
            <w:hideMark/>
          </w:tcPr>
          <w:p w:rsidR="001E2F08" w:rsidRPr="006B07F0" w:rsidRDefault="001E2F08">
            <w:pPr>
              <w:jc w:val="center"/>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2018年末</w:t>
            </w:r>
          </w:p>
        </w:tc>
      </w:tr>
      <w:tr w:rsidR="001E2F08" w:rsidRPr="006B07F0" w:rsidTr="001E2F08">
        <w:trPr>
          <w:trHeight w:val="397"/>
          <w:jc w:val="center"/>
        </w:trPr>
        <w:tc>
          <w:tcPr>
            <w:tcW w:w="2039" w:type="pct"/>
            <w:gridSpan w:val="2"/>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proofErr w:type="spellStart"/>
            <w:r w:rsidRPr="006B07F0">
              <w:rPr>
                <w:rFonts w:cs="Times New Roman" w:hint="eastAsia"/>
                <w:bCs/>
                <w:iCs/>
                <w:color w:val="000000"/>
                <w:sz w:val="18"/>
                <w:szCs w:val="18"/>
                <w:lang w:eastAsia="en-US" w:bidi="en-US"/>
              </w:rPr>
              <w:t>应收账款余额</w:t>
            </w:r>
            <w:proofErr w:type="spellEnd"/>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32,638.42 </w:t>
            </w:r>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21,235.39 </w:t>
            </w:r>
          </w:p>
        </w:tc>
        <w:tc>
          <w:tcPr>
            <w:tcW w:w="835"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9,752.41 </w:t>
            </w:r>
          </w:p>
        </w:tc>
      </w:tr>
      <w:tr w:rsidR="001E2F08" w:rsidRPr="006B07F0" w:rsidTr="001E2F08">
        <w:trPr>
          <w:trHeight w:val="397"/>
          <w:jc w:val="center"/>
        </w:trPr>
        <w:tc>
          <w:tcPr>
            <w:tcW w:w="2039" w:type="pct"/>
            <w:gridSpan w:val="2"/>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bidi="en-US"/>
              </w:rPr>
            </w:pPr>
            <w:r w:rsidRPr="006B07F0">
              <w:rPr>
                <w:rFonts w:cs="Times New Roman" w:hint="eastAsia"/>
                <w:bCs/>
                <w:iCs/>
                <w:color w:val="000000"/>
                <w:sz w:val="18"/>
                <w:szCs w:val="18"/>
                <w:lang w:bidi="en-US"/>
              </w:rPr>
              <w:t>期后回款金额</w:t>
            </w:r>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2,683.85 </w:t>
            </w:r>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14,215.39 </w:t>
            </w:r>
          </w:p>
        </w:tc>
        <w:tc>
          <w:tcPr>
            <w:tcW w:w="835"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7,993.99 </w:t>
            </w:r>
          </w:p>
        </w:tc>
      </w:tr>
      <w:tr w:rsidR="001E2F08" w:rsidRPr="006B07F0" w:rsidTr="001E2F08">
        <w:trPr>
          <w:trHeight w:val="397"/>
          <w:jc w:val="center"/>
        </w:trPr>
        <w:tc>
          <w:tcPr>
            <w:tcW w:w="2039" w:type="pct"/>
            <w:gridSpan w:val="2"/>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bidi="en-US"/>
              </w:rPr>
            </w:pPr>
            <w:r w:rsidRPr="006B07F0">
              <w:rPr>
                <w:rFonts w:cs="Times New Roman" w:hint="eastAsia"/>
                <w:bCs/>
                <w:iCs/>
                <w:color w:val="000000"/>
                <w:sz w:val="18"/>
                <w:szCs w:val="18"/>
                <w:lang w:bidi="en-US"/>
              </w:rPr>
              <w:t>期后回款占应收账款余额比</w:t>
            </w:r>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8.22%</w:t>
            </w:r>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66.94%</w:t>
            </w:r>
          </w:p>
        </w:tc>
        <w:tc>
          <w:tcPr>
            <w:tcW w:w="835"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81.97%</w:t>
            </w:r>
          </w:p>
        </w:tc>
      </w:tr>
      <w:tr w:rsidR="001E2F08" w:rsidRPr="006B07F0" w:rsidTr="001E2F08">
        <w:trPr>
          <w:trHeight w:val="397"/>
          <w:jc w:val="center"/>
        </w:trPr>
        <w:tc>
          <w:tcPr>
            <w:tcW w:w="434" w:type="pct"/>
            <w:vMerge w:val="restar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proofErr w:type="spellStart"/>
            <w:r w:rsidRPr="006B07F0">
              <w:rPr>
                <w:rFonts w:cs="Times New Roman" w:hint="eastAsia"/>
                <w:bCs/>
                <w:iCs/>
                <w:color w:val="000000"/>
                <w:sz w:val="18"/>
                <w:szCs w:val="18"/>
                <w:lang w:eastAsia="en-US" w:bidi="en-US"/>
              </w:rPr>
              <w:t>回款明细</w:t>
            </w:r>
            <w:proofErr w:type="spellEnd"/>
          </w:p>
        </w:tc>
        <w:tc>
          <w:tcPr>
            <w:tcW w:w="160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color w:val="000000"/>
                <w:kern w:val="2"/>
                <w:sz w:val="18"/>
                <w:szCs w:val="18"/>
              </w:rPr>
            </w:pPr>
            <w:r w:rsidRPr="006B07F0">
              <w:rPr>
                <w:rFonts w:cs="Times New Roman" w:hint="eastAsia"/>
                <w:bCs/>
                <w:color w:val="000000"/>
                <w:sz w:val="18"/>
                <w:szCs w:val="18"/>
              </w:rPr>
              <w:t>期后半年</w:t>
            </w:r>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2,683.85 </w:t>
            </w:r>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8,632.93 </w:t>
            </w:r>
          </w:p>
        </w:tc>
        <w:tc>
          <w:tcPr>
            <w:tcW w:w="835"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3,578.31 </w:t>
            </w:r>
          </w:p>
        </w:tc>
      </w:tr>
      <w:tr w:rsidR="001E2F08" w:rsidRPr="006B07F0" w:rsidTr="001E2F08">
        <w:trPr>
          <w:trHeight w:val="397"/>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iCs/>
                <w:color w:val="000000"/>
                <w:sz w:val="18"/>
                <w:szCs w:val="18"/>
                <w:lang w:eastAsia="en-US" w:bidi="en-US"/>
              </w:rPr>
            </w:pPr>
          </w:p>
        </w:tc>
        <w:tc>
          <w:tcPr>
            <w:tcW w:w="160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proofErr w:type="spellStart"/>
            <w:r w:rsidRPr="006B07F0">
              <w:rPr>
                <w:rFonts w:cs="Times New Roman" w:hint="eastAsia"/>
                <w:bCs/>
                <w:iCs/>
                <w:color w:val="000000"/>
                <w:sz w:val="18"/>
                <w:szCs w:val="18"/>
                <w:lang w:eastAsia="en-US" w:bidi="en-US"/>
              </w:rPr>
              <w:t>占比</w:t>
            </w:r>
            <w:proofErr w:type="spellEnd"/>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100.00%</w:t>
            </w:r>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60.73%</w:t>
            </w:r>
          </w:p>
        </w:tc>
        <w:tc>
          <w:tcPr>
            <w:tcW w:w="835"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44.76%</w:t>
            </w:r>
          </w:p>
        </w:tc>
      </w:tr>
      <w:tr w:rsidR="001E2F08" w:rsidRPr="006B07F0" w:rsidTr="001E2F08">
        <w:trPr>
          <w:trHeight w:val="397"/>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iCs/>
                <w:color w:val="000000"/>
                <w:sz w:val="18"/>
                <w:szCs w:val="18"/>
                <w:lang w:eastAsia="en-US" w:bidi="en-US"/>
              </w:rPr>
            </w:pPr>
          </w:p>
        </w:tc>
        <w:tc>
          <w:tcPr>
            <w:tcW w:w="160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proofErr w:type="spellStart"/>
            <w:r w:rsidRPr="006B07F0">
              <w:rPr>
                <w:rFonts w:cs="Times New Roman" w:hint="eastAsia"/>
                <w:bCs/>
                <w:iCs/>
                <w:color w:val="000000"/>
                <w:sz w:val="18"/>
                <w:szCs w:val="18"/>
                <w:lang w:eastAsia="en-US" w:bidi="en-US"/>
              </w:rPr>
              <w:t>期后半年至一年</w:t>
            </w:r>
            <w:proofErr w:type="spellEnd"/>
          </w:p>
        </w:tc>
        <w:tc>
          <w:tcPr>
            <w:tcW w:w="1063" w:type="pct"/>
            <w:tcBorders>
              <w:top w:val="dotted" w:sz="4" w:space="0" w:color="auto"/>
              <w:left w:val="dotted" w:sz="4" w:space="0" w:color="auto"/>
              <w:bottom w:val="dotted" w:sz="4" w:space="0" w:color="auto"/>
              <w:right w:val="dotted" w:sz="4" w:space="0" w:color="auto"/>
            </w:tcBorders>
            <w:vAlign w:val="center"/>
          </w:tcPr>
          <w:p w:rsidR="001E2F08" w:rsidRPr="006B07F0" w:rsidRDefault="001E2F08">
            <w:pPr>
              <w:jc w:val="right"/>
              <w:rPr>
                <w:rFonts w:cs="Times New Roman"/>
                <w:bCs/>
                <w:iCs/>
                <w:color w:val="000000"/>
                <w:sz w:val="18"/>
                <w:szCs w:val="18"/>
                <w:lang w:eastAsia="en-US" w:bidi="en-US"/>
              </w:rPr>
            </w:pPr>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4,846.59 </w:t>
            </w:r>
          </w:p>
        </w:tc>
        <w:tc>
          <w:tcPr>
            <w:tcW w:w="835"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2,184.61 </w:t>
            </w:r>
          </w:p>
        </w:tc>
      </w:tr>
      <w:tr w:rsidR="001E2F08" w:rsidRPr="006B07F0" w:rsidTr="001E2F08">
        <w:trPr>
          <w:trHeight w:val="397"/>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iCs/>
                <w:color w:val="000000"/>
                <w:sz w:val="18"/>
                <w:szCs w:val="18"/>
                <w:lang w:eastAsia="en-US" w:bidi="en-US"/>
              </w:rPr>
            </w:pPr>
          </w:p>
        </w:tc>
        <w:tc>
          <w:tcPr>
            <w:tcW w:w="160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proofErr w:type="spellStart"/>
            <w:r w:rsidRPr="006B07F0">
              <w:rPr>
                <w:rFonts w:cs="Times New Roman" w:hint="eastAsia"/>
                <w:bCs/>
                <w:iCs/>
                <w:color w:val="000000"/>
                <w:sz w:val="18"/>
                <w:szCs w:val="18"/>
                <w:lang w:eastAsia="en-US" w:bidi="en-US"/>
              </w:rPr>
              <w:t>占比</w:t>
            </w:r>
            <w:proofErr w:type="spellEnd"/>
          </w:p>
        </w:tc>
        <w:tc>
          <w:tcPr>
            <w:tcW w:w="1063" w:type="pct"/>
            <w:tcBorders>
              <w:top w:val="dotted" w:sz="4" w:space="0" w:color="auto"/>
              <w:left w:val="dotted" w:sz="4" w:space="0" w:color="auto"/>
              <w:bottom w:val="dotted" w:sz="4" w:space="0" w:color="auto"/>
              <w:right w:val="dotted" w:sz="4" w:space="0" w:color="auto"/>
            </w:tcBorders>
            <w:vAlign w:val="center"/>
          </w:tcPr>
          <w:p w:rsidR="001E2F08" w:rsidRPr="006B07F0" w:rsidRDefault="001E2F08">
            <w:pPr>
              <w:jc w:val="right"/>
              <w:rPr>
                <w:rFonts w:cs="Times New Roman"/>
                <w:bCs/>
                <w:iCs/>
                <w:color w:val="000000"/>
                <w:sz w:val="18"/>
                <w:szCs w:val="18"/>
                <w:lang w:eastAsia="en-US" w:bidi="en-US"/>
              </w:rPr>
            </w:pPr>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34.09%</w:t>
            </w:r>
          </w:p>
        </w:tc>
        <w:tc>
          <w:tcPr>
            <w:tcW w:w="835"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27.33%</w:t>
            </w:r>
          </w:p>
        </w:tc>
      </w:tr>
      <w:tr w:rsidR="001E2F08" w:rsidRPr="006B07F0" w:rsidTr="001E2F08">
        <w:trPr>
          <w:trHeight w:val="397"/>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iCs/>
                <w:color w:val="000000"/>
                <w:sz w:val="18"/>
                <w:szCs w:val="18"/>
                <w:lang w:eastAsia="en-US" w:bidi="en-US"/>
              </w:rPr>
            </w:pPr>
          </w:p>
        </w:tc>
        <w:tc>
          <w:tcPr>
            <w:tcW w:w="160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proofErr w:type="spellStart"/>
            <w:r w:rsidRPr="006B07F0">
              <w:rPr>
                <w:rFonts w:cs="Times New Roman" w:hint="eastAsia"/>
                <w:bCs/>
                <w:iCs/>
                <w:color w:val="000000"/>
                <w:sz w:val="18"/>
                <w:szCs w:val="18"/>
                <w:lang w:eastAsia="en-US" w:bidi="en-US"/>
              </w:rPr>
              <w:t>期后一年至两年</w:t>
            </w:r>
            <w:proofErr w:type="spellEnd"/>
          </w:p>
        </w:tc>
        <w:tc>
          <w:tcPr>
            <w:tcW w:w="1063" w:type="pct"/>
            <w:tcBorders>
              <w:top w:val="dotted" w:sz="4" w:space="0" w:color="auto"/>
              <w:left w:val="dotted" w:sz="4" w:space="0" w:color="auto"/>
              <w:bottom w:val="dotted" w:sz="4" w:space="0" w:color="auto"/>
              <w:right w:val="dotted" w:sz="4" w:space="0" w:color="auto"/>
            </w:tcBorders>
            <w:vAlign w:val="center"/>
          </w:tcPr>
          <w:p w:rsidR="001E2F08" w:rsidRPr="006B07F0" w:rsidRDefault="001E2F08">
            <w:pPr>
              <w:jc w:val="right"/>
              <w:rPr>
                <w:rFonts w:cs="Times New Roman"/>
                <w:bCs/>
                <w:iCs/>
                <w:color w:val="000000"/>
                <w:sz w:val="18"/>
                <w:szCs w:val="18"/>
                <w:lang w:eastAsia="en-US" w:bidi="en-US"/>
              </w:rPr>
            </w:pPr>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735.86 </w:t>
            </w:r>
          </w:p>
        </w:tc>
        <w:tc>
          <w:tcPr>
            <w:tcW w:w="835"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2,125.34 </w:t>
            </w:r>
          </w:p>
        </w:tc>
      </w:tr>
      <w:tr w:rsidR="001E2F08" w:rsidRPr="006B07F0" w:rsidTr="001E2F08">
        <w:trPr>
          <w:trHeight w:val="397"/>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iCs/>
                <w:color w:val="000000"/>
                <w:sz w:val="18"/>
                <w:szCs w:val="18"/>
                <w:lang w:eastAsia="en-US" w:bidi="en-US"/>
              </w:rPr>
            </w:pPr>
          </w:p>
        </w:tc>
        <w:tc>
          <w:tcPr>
            <w:tcW w:w="160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proofErr w:type="spellStart"/>
            <w:r w:rsidRPr="006B07F0">
              <w:rPr>
                <w:rFonts w:cs="Times New Roman" w:hint="eastAsia"/>
                <w:bCs/>
                <w:iCs/>
                <w:color w:val="000000"/>
                <w:sz w:val="18"/>
                <w:szCs w:val="18"/>
                <w:lang w:eastAsia="en-US" w:bidi="en-US"/>
              </w:rPr>
              <w:t>占比</w:t>
            </w:r>
            <w:proofErr w:type="spellEnd"/>
          </w:p>
        </w:tc>
        <w:tc>
          <w:tcPr>
            <w:tcW w:w="1063" w:type="pct"/>
            <w:tcBorders>
              <w:top w:val="dotted" w:sz="4" w:space="0" w:color="auto"/>
              <w:left w:val="dotted" w:sz="4" w:space="0" w:color="auto"/>
              <w:bottom w:val="dotted" w:sz="4" w:space="0" w:color="auto"/>
              <w:right w:val="dotted" w:sz="4" w:space="0" w:color="auto"/>
            </w:tcBorders>
            <w:vAlign w:val="center"/>
          </w:tcPr>
          <w:p w:rsidR="001E2F08" w:rsidRPr="006B07F0" w:rsidRDefault="001E2F08">
            <w:pPr>
              <w:jc w:val="right"/>
              <w:rPr>
                <w:rFonts w:cs="Times New Roman"/>
                <w:bCs/>
                <w:iCs/>
                <w:color w:val="000000"/>
                <w:sz w:val="18"/>
                <w:szCs w:val="18"/>
                <w:lang w:eastAsia="en-US" w:bidi="en-US"/>
              </w:rPr>
            </w:pPr>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5.18%</w:t>
            </w:r>
          </w:p>
        </w:tc>
        <w:tc>
          <w:tcPr>
            <w:tcW w:w="835"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26.59%</w:t>
            </w:r>
          </w:p>
        </w:tc>
      </w:tr>
      <w:tr w:rsidR="001E2F08" w:rsidRPr="006B07F0" w:rsidTr="001E2F08">
        <w:trPr>
          <w:trHeight w:val="397"/>
          <w:jc w:val="center"/>
        </w:trPr>
        <w:tc>
          <w:tcPr>
            <w:tcW w:w="0" w:type="auto"/>
            <w:vMerge/>
            <w:tcBorders>
              <w:top w:val="dotted" w:sz="4" w:space="0" w:color="auto"/>
              <w:left w:val="nil"/>
              <w:bottom w:val="dotted" w:sz="4" w:space="0" w:color="auto"/>
              <w:right w:val="dotted" w:sz="4" w:space="0" w:color="auto"/>
            </w:tcBorders>
            <w:vAlign w:val="center"/>
            <w:hideMark/>
          </w:tcPr>
          <w:p w:rsidR="001E2F08" w:rsidRPr="006B07F0" w:rsidRDefault="001E2F08">
            <w:pPr>
              <w:rPr>
                <w:rFonts w:cs="Times New Roman"/>
                <w:bCs/>
                <w:iCs/>
                <w:color w:val="000000"/>
                <w:sz w:val="18"/>
                <w:szCs w:val="18"/>
                <w:lang w:eastAsia="en-US" w:bidi="en-US"/>
              </w:rPr>
            </w:pPr>
          </w:p>
        </w:tc>
        <w:tc>
          <w:tcPr>
            <w:tcW w:w="1605"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proofErr w:type="spellStart"/>
            <w:r w:rsidRPr="006B07F0">
              <w:rPr>
                <w:rFonts w:cs="Times New Roman" w:hint="eastAsia"/>
                <w:bCs/>
                <w:iCs/>
                <w:color w:val="000000"/>
                <w:sz w:val="18"/>
                <w:szCs w:val="18"/>
                <w:lang w:eastAsia="en-US" w:bidi="en-US"/>
              </w:rPr>
              <w:t>期后两年以上</w:t>
            </w:r>
            <w:proofErr w:type="spellEnd"/>
          </w:p>
        </w:tc>
        <w:tc>
          <w:tcPr>
            <w:tcW w:w="1063" w:type="pct"/>
            <w:tcBorders>
              <w:top w:val="dotted" w:sz="4" w:space="0" w:color="auto"/>
              <w:left w:val="dotted" w:sz="4" w:space="0" w:color="auto"/>
              <w:bottom w:val="dotted" w:sz="4" w:space="0" w:color="auto"/>
              <w:right w:val="dotted" w:sz="4" w:space="0" w:color="auto"/>
            </w:tcBorders>
            <w:vAlign w:val="center"/>
          </w:tcPr>
          <w:p w:rsidR="001E2F08" w:rsidRPr="006B07F0" w:rsidRDefault="001E2F08">
            <w:pPr>
              <w:jc w:val="right"/>
              <w:rPr>
                <w:rFonts w:cs="Times New Roman"/>
                <w:bCs/>
                <w:iCs/>
                <w:color w:val="000000"/>
                <w:sz w:val="18"/>
                <w:szCs w:val="18"/>
                <w:lang w:eastAsia="en-US" w:bidi="en-US"/>
              </w:rPr>
            </w:pPr>
          </w:p>
        </w:tc>
        <w:tc>
          <w:tcPr>
            <w:tcW w:w="1063"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   </w:t>
            </w:r>
          </w:p>
        </w:tc>
        <w:tc>
          <w:tcPr>
            <w:tcW w:w="835"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105.74 </w:t>
            </w:r>
          </w:p>
        </w:tc>
      </w:tr>
      <w:tr w:rsidR="001E2F08" w:rsidRPr="006B07F0" w:rsidTr="001E2F08">
        <w:trPr>
          <w:trHeight w:val="397"/>
          <w:jc w:val="center"/>
        </w:trPr>
        <w:tc>
          <w:tcPr>
            <w:tcW w:w="0" w:type="auto"/>
            <w:vMerge/>
            <w:tcBorders>
              <w:top w:val="dotted" w:sz="4" w:space="0" w:color="auto"/>
              <w:left w:val="nil"/>
              <w:bottom w:val="single" w:sz="12" w:space="0" w:color="auto"/>
              <w:right w:val="dotted" w:sz="4" w:space="0" w:color="auto"/>
            </w:tcBorders>
            <w:vAlign w:val="center"/>
            <w:hideMark/>
          </w:tcPr>
          <w:p w:rsidR="001E2F08" w:rsidRPr="006B07F0" w:rsidRDefault="001E2F08">
            <w:pPr>
              <w:rPr>
                <w:rFonts w:cs="Times New Roman"/>
                <w:bCs/>
                <w:iCs/>
                <w:color w:val="000000"/>
                <w:sz w:val="18"/>
                <w:szCs w:val="18"/>
                <w:lang w:eastAsia="en-US" w:bidi="en-US"/>
              </w:rPr>
            </w:pPr>
          </w:p>
        </w:tc>
        <w:tc>
          <w:tcPr>
            <w:tcW w:w="1605"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spacing w:before="120" w:after="120"/>
              <w:ind w:firstLine="482"/>
              <w:jc w:val="center"/>
              <w:rPr>
                <w:rFonts w:cs="Times New Roman"/>
                <w:bCs/>
                <w:iCs/>
                <w:color w:val="000000"/>
                <w:sz w:val="18"/>
                <w:szCs w:val="18"/>
                <w:lang w:eastAsia="en-US" w:bidi="en-US"/>
              </w:rPr>
            </w:pPr>
            <w:proofErr w:type="spellStart"/>
            <w:r w:rsidRPr="006B07F0">
              <w:rPr>
                <w:rFonts w:cs="Times New Roman" w:hint="eastAsia"/>
                <w:bCs/>
                <w:iCs/>
                <w:color w:val="000000"/>
                <w:sz w:val="18"/>
                <w:szCs w:val="18"/>
                <w:lang w:eastAsia="en-US" w:bidi="en-US"/>
              </w:rPr>
              <w:t>占比</w:t>
            </w:r>
            <w:proofErr w:type="spellEnd"/>
          </w:p>
        </w:tc>
        <w:tc>
          <w:tcPr>
            <w:tcW w:w="1063"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   </w:t>
            </w:r>
          </w:p>
        </w:tc>
        <w:tc>
          <w:tcPr>
            <w:tcW w:w="1063"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 xml:space="preserve">-   </w:t>
            </w:r>
          </w:p>
        </w:tc>
        <w:tc>
          <w:tcPr>
            <w:tcW w:w="835" w:type="pct"/>
            <w:tcBorders>
              <w:top w:val="dotted" w:sz="4" w:space="0" w:color="auto"/>
              <w:left w:val="dotted" w:sz="4" w:space="0" w:color="auto"/>
              <w:bottom w:val="single" w:sz="12" w:space="0" w:color="auto"/>
              <w:right w:val="nil"/>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hint="eastAsia"/>
                <w:bCs/>
                <w:iCs/>
                <w:color w:val="000000"/>
                <w:sz w:val="18"/>
                <w:szCs w:val="18"/>
                <w:lang w:eastAsia="en-US" w:bidi="en-US"/>
              </w:rPr>
              <w:t>1.32%</w:t>
            </w:r>
          </w:p>
        </w:tc>
      </w:tr>
    </w:tbl>
    <w:p w:rsidR="001E2F08" w:rsidRPr="006B07F0" w:rsidRDefault="001E2F08" w:rsidP="001E2F08">
      <w:pPr>
        <w:ind w:firstLineChars="200" w:firstLine="420"/>
        <w:rPr>
          <w:rFonts w:cs="Times New Roman"/>
          <w:bCs/>
          <w:color w:val="000000"/>
          <w:sz w:val="21"/>
          <w:szCs w:val="21"/>
          <w:lang w:bidi="en-US"/>
        </w:rPr>
      </w:pPr>
      <w:r w:rsidRPr="006B07F0">
        <w:rPr>
          <w:rFonts w:cs="Times New Roman" w:hint="eastAsia"/>
          <w:bCs/>
          <w:color w:val="000000"/>
          <w:sz w:val="21"/>
          <w:szCs w:val="21"/>
          <w:lang w:bidi="en-US"/>
        </w:rPr>
        <w:t>注：回款统计截至2021年2月末。</w:t>
      </w:r>
    </w:p>
    <w:p w:rsidR="001E2F08" w:rsidRPr="006B07F0" w:rsidRDefault="001E2F08" w:rsidP="001E2F08">
      <w:pPr>
        <w:autoSpaceDE w:val="0"/>
        <w:autoSpaceDN w:val="0"/>
        <w:adjustRightInd w:val="0"/>
        <w:spacing w:beforeLines="50" w:before="163" w:afterLines="50" w:after="163" w:line="360" w:lineRule="auto"/>
        <w:ind w:firstLineChars="200" w:firstLine="420"/>
        <w:rPr>
          <w:rFonts w:cs="Times New Roman"/>
          <w:bCs/>
          <w:kern w:val="2"/>
          <w:sz w:val="21"/>
          <w:szCs w:val="21"/>
        </w:rPr>
      </w:pPr>
      <w:r w:rsidRPr="006B07F0">
        <w:rPr>
          <w:rFonts w:cs="Times New Roman" w:hint="eastAsia"/>
          <w:bCs/>
          <w:sz w:val="21"/>
          <w:szCs w:val="21"/>
        </w:rPr>
        <w:lastRenderedPageBreak/>
        <w:t>由于公开渠道无法查询同行业上市公司的应收账款期后回款数据，因此选择同行业可比设计公司（在审企业）的期后回款比例数据进行比较，具体如下：</w:t>
      </w:r>
    </w:p>
    <w:tbl>
      <w:tblPr>
        <w:tblW w:w="5000" w:type="pct"/>
        <w:jc w:val="center"/>
        <w:tblBorders>
          <w:top w:val="single" w:sz="12" w:space="0" w:color="333399"/>
          <w:left w:val="single" w:sz="6" w:space="0" w:color="333399"/>
          <w:bottom w:val="single" w:sz="12" w:space="0" w:color="333399"/>
          <w:right w:val="single" w:sz="6" w:space="0" w:color="333399"/>
          <w:insideH w:val="single" w:sz="6" w:space="0" w:color="333399"/>
          <w:insideV w:val="single" w:sz="6" w:space="0" w:color="333399"/>
        </w:tblBorders>
        <w:tblLook w:val="04A0" w:firstRow="1" w:lastRow="0" w:firstColumn="1" w:lastColumn="0" w:noHBand="0" w:noVBand="1"/>
      </w:tblPr>
      <w:tblGrid>
        <w:gridCol w:w="2652"/>
        <w:gridCol w:w="1673"/>
        <w:gridCol w:w="1673"/>
        <w:gridCol w:w="1312"/>
        <w:gridCol w:w="1312"/>
      </w:tblGrid>
      <w:tr w:rsidR="001E2F08" w:rsidRPr="006B07F0" w:rsidTr="001E2F08">
        <w:trPr>
          <w:trHeight w:val="397"/>
          <w:jc w:val="center"/>
        </w:trPr>
        <w:tc>
          <w:tcPr>
            <w:tcW w:w="1538" w:type="pct"/>
            <w:tcBorders>
              <w:top w:val="single" w:sz="12"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r w:rsidRPr="006B07F0">
              <w:rPr>
                <w:rFonts w:cs="Times New Roman" w:hint="eastAsia"/>
                <w:bCs/>
                <w:iCs/>
                <w:sz w:val="18"/>
                <w:szCs w:val="18"/>
                <w:lang w:bidi="en-US"/>
              </w:rPr>
              <w:t>比较对象情况</w:t>
            </w:r>
          </w:p>
        </w:tc>
        <w:tc>
          <w:tcPr>
            <w:tcW w:w="970" w:type="pct"/>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r w:rsidRPr="006B07F0">
              <w:rPr>
                <w:rFonts w:cs="Times New Roman"/>
                <w:bCs/>
                <w:iCs/>
                <w:color w:val="000000"/>
                <w:sz w:val="18"/>
                <w:szCs w:val="18"/>
                <w:lang w:eastAsia="en-US" w:bidi="en-US"/>
              </w:rPr>
              <w:t>2020</w:t>
            </w:r>
            <w:r w:rsidRPr="006B07F0">
              <w:rPr>
                <w:rFonts w:cs="Times New Roman" w:hint="eastAsia"/>
                <w:bCs/>
                <w:iCs/>
                <w:color w:val="000000"/>
                <w:sz w:val="18"/>
                <w:szCs w:val="18"/>
                <w:lang w:eastAsia="en-US" w:bidi="en-US"/>
              </w:rPr>
              <w:t>年</w:t>
            </w:r>
            <w:r w:rsidRPr="006B07F0">
              <w:rPr>
                <w:rFonts w:cs="Times New Roman"/>
                <w:bCs/>
                <w:iCs/>
                <w:color w:val="000000"/>
                <w:sz w:val="18"/>
                <w:szCs w:val="18"/>
                <w:lang w:eastAsia="en-US" w:bidi="en-US"/>
              </w:rPr>
              <w:t>6</w:t>
            </w:r>
            <w:r w:rsidRPr="006B07F0">
              <w:rPr>
                <w:rFonts w:cs="Times New Roman" w:hint="eastAsia"/>
                <w:bCs/>
                <w:iCs/>
                <w:color w:val="000000"/>
                <w:sz w:val="18"/>
                <w:szCs w:val="18"/>
                <w:lang w:eastAsia="en-US" w:bidi="en-US"/>
              </w:rPr>
              <w:t>月末</w:t>
            </w:r>
          </w:p>
        </w:tc>
        <w:tc>
          <w:tcPr>
            <w:tcW w:w="970" w:type="pct"/>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r w:rsidRPr="006B07F0">
              <w:rPr>
                <w:rFonts w:cs="Times New Roman"/>
                <w:bCs/>
                <w:iCs/>
                <w:color w:val="000000"/>
                <w:sz w:val="18"/>
                <w:szCs w:val="18"/>
                <w:lang w:eastAsia="en-US" w:bidi="en-US"/>
              </w:rPr>
              <w:t>2019</w:t>
            </w:r>
            <w:r w:rsidRPr="006B07F0">
              <w:rPr>
                <w:rFonts w:cs="Times New Roman" w:hint="eastAsia"/>
                <w:bCs/>
                <w:iCs/>
                <w:color w:val="000000"/>
                <w:sz w:val="18"/>
                <w:szCs w:val="18"/>
                <w:lang w:eastAsia="en-US" w:bidi="en-US"/>
              </w:rPr>
              <w:t>年末</w:t>
            </w:r>
          </w:p>
        </w:tc>
        <w:tc>
          <w:tcPr>
            <w:tcW w:w="761" w:type="pct"/>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r w:rsidRPr="006B07F0">
              <w:rPr>
                <w:rFonts w:cs="Times New Roman"/>
                <w:bCs/>
                <w:iCs/>
                <w:color w:val="000000"/>
                <w:sz w:val="18"/>
                <w:szCs w:val="18"/>
                <w:lang w:eastAsia="en-US" w:bidi="en-US"/>
              </w:rPr>
              <w:t>2018</w:t>
            </w:r>
            <w:r w:rsidRPr="006B07F0">
              <w:rPr>
                <w:rFonts w:cs="Times New Roman" w:hint="eastAsia"/>
                <w:bCs/>
                <w:iCs/>
                <w:color w:val="000000"/>
                <w:sz w:val="18"/>
                <w:szCs w:val="18"/>
                <w:lang w:eastAsia="en-US" w:bidi="en-US"/>
              </w:rPr>
              <w:t>年末</w:t>
            </w:r>
          </w:p>
        </w:tc>
        <w:tc>
          <w:tcPr>
            <w:tcW w:w="761" w:type="pct"/>
            <w:tcBorders>
              <w:top w:val="single" w:sz="12" w:space="0" w:color="auto"/>
              <w:left w:val="dotted" w:sz="4" w:space="0" w:color="auto"/>
              <w:bottom w:val="dotted" w:sz="4" w:space="0" w:color="auto"/>
              <w:right w:val="nil"/>
            </w:tcBorders>
            <w:vAlign w:val="center"/>
            <w:hideMark/>
          </w:tcPr>
          <w:p w:rsidR="001E2F08" w:rsidRPr="006B07F0" w:rsidRDefault="001E2F08">
            <w:pPr>
              <w:jc w:val="center"/>
              <w:rPr>
                <w:rFonts w:cs="Times New Roman"/>
                <w:bCs/>
                <w:iCs/>
                <w:color w:val="000000"/>
                <w:sz w:val="18"/>
                <w:szCs w:val="18"/>
                <w:lang w:eastAsia="en-US" w:bidi="en-US"/>
              </w:rPr>
            </w:pPr>
            <w:r w:rsidRPr="006B07F0">
              <w:rPr>
                <w:rFonts w:cs="Times New Roman"/>
                <w:bCs/>
                <w:iCs/>
                <w:color w:val="000000"/>
                <w:sz w:val="18"/>
                <w:szCs w:val="18"/>
                <w:lang w:eastAsia="en-US" w:bidi="en-US"/>
              </w:rPr>
              <w:t>2017</w:t>
            </w:r>
            <w:r w:rsidRPr="006B07F0">
              <w:rPr>
                <w:rFonts w:cs="Times New Roman" w:hint="eastAsia"/>
                <w:bCs/>
                <w:iCs/>
                <w:color w:val="000000"/>
                <w:sz w:val="18"/>
                <w:szCs w:val="18"/>
                <w:lang w:eastAsia="en-US" w:bidi="en-US"/>
              </w:rPr>
              <w:t>年末</w:t>
            </w:r>
          </w:p>
        </w:tc>
      </w:tr>
      <w:tr w:rsidR="001E2F08" w:rsidRPr="006B07F0" w:rsidTr="001E2F08">
        <w:trPr>
          <w:trHeight w:val="397"/>
          <w:jc w:val="center"/>
        </w:trPr>
        <w:tc>
          <w:tcPr>
            <w:tcW w:w="1538"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bidi="en-US"/>
              </w:rPr>
            </w:pPr>
            <w:r w:rsidRPr="006B07F0">
              <w:rPr>
                <w:rFonts w:cs="Times New Roman" w:hint="eastAsia"/>
                <w:bCs/>
                <w:iCs/>
                <w:color w:val="000000"/>
                <w:sz w:val="18"/>
                <w:szCs w:val="18"/>
                <w:lang w:bidi="en-US"/>
              </w:rPr>
              <w:t>尤安设计（截止</w:t>
            </w:r>
            <w:r w:rsidRPr="006B07F0">
              <w:rPr>
                <w:rFonts w:cs="Times New Roman"/>
                <w:bCs/>
                <w:iCs/>
                <w:color w:val="000000"/>
                <w:sz w:val="18"/>
                <w:szCs w:val="18"/>
                <w:lang w:bidi="en-US"/>
              </w:rPr>
              <w:t>2020</w:t>
            </w:r>
            <w:r w:rsidRPr="006B07F0">
              <w:rPr>
                <w:rFonts w:cs="Times New Roman" w:hint="eastAsia"/>
                <w:bCs/>
                <w:iCs/>
                <w:color w:val="000000"/>
                <w:sz w:val="18"/>
                <w:szCs w:val="18"/>
                <w:lang w:bidi="en-US"/>
              </w:rPr>
              <w:t>年</w:t>
            </w:r>
            <w:r w:rsidRPr="006B07F0">
              <w:rPr>
                <w:rFonts w:cs="Times New Roman"/>
                <w:bCs/>
                <w:iCs/>
                <w:color w:val="000000"/>
                <w:sz w:val="18"/>
                <w:szCs w:val="18"/>
                <w:lang w:bidi="en-US"/>
              </w:rPr>
              <w:t>8</w:t>
            </w:r>
            <w:r w:rsidRPr="006B07F0">
              <w:rPr>
                <w:rFonts w:cs="Times New Roman" w:hint="eastAsia"/>
                <w:bCs/>
                <w:iCs/>
                <w:color w:val="000000"/>
                <w:sz w:val="18"/>
                <w:szCs w:val="18"/>
                <w:lang w:bidi="en-US"/>
              </w:rPr>
              <w:t>月</w:t>
            </w:r>
            <w:r w:rsidRPr="006B07F0">
              <w:rPr>
                <w:rFonts w:cs="Times New Roman"/>
                <w:bCs/>
                <w:iCs/>
                <w:color w:val="000000"/>
                <w:sz w:val="18"/>
                <w:szCs w:val="18"/>
                <w:lang w:bidi="en-US"/>
              </w:rPr>
              <w:t>25</w:t>
            </w:r>
            <w:r w:rsidRPr="006B07F0">
              <w:rPr>
                <w:rFonts w:cs="Times New Roman" w:hint="eastAsia"/>
                <w:bCs/>
                <w:iCs/>
                <w:color w:val="000000"/>
                <w:sz w:val="18"/>
                <w:szCs w:val="18"/>
                <w:lang w:bidi="en-US"/>
              </w:rPr>
              <w:t>日）</w:t>
            </w:r>
          </w:p>
        </w:tc>
        <w:tc>
          <w:tcPr>
            <w:tcW w:w="970"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color w:val="000000"/>
                <w:sz w:val="18"/>
                <w:szCs w:val="18"/>
                <w:lang w:eastAsia="en-US" w:bidi="en-US"/>
              </w:rPr>
            </w:pPr>
            <w:r w:rsidRPr="006B07F0">
              <w:rPr>
                <w:rFonts w:cs="Times New Roman"/>
                <w:bCs/>
                <w:sz w:val="18"/>
                <w:szCs w:val="18"/>
              </w:rPr>
              <w:t>11.65%</w:t>
            </w:r>
          </w:p>
        </w:tc>
        <w:tc>
          <w:tcPr>
            <w:tcW w:w="970"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bCs/>
                <w:sz w:val="18"/>
                <w:szCs w:val="18"/>
              </w:rPr>
              <w:t>28.84%</w:t>
            </w:r>
          </w:p>
        </w:tc>
        <w:tc>
          <w:tcPr>
            <w:tcW w:w="761"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bCs/>
                <w:sz w:val="18"/>
                <w:szCs w:val="18"/>
              </w:rPr>
              <w:t>64.06%</w:t>
            </w:r>
          </w:p>
        </w:tc>
        <w:tc>
          <w:tcPr>
            <w:tcW w:w="761"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iCs/>
                <w:color w:val="000000"/>
                <w:sz w:val="18"/>
                <w:szCs w:val="18"/>
                <w:lang w:eastAsia="en-US" w:bidi="en-US"/>
              </w:rPr>
            </w:pPr>
            <w:r w:rsidRPr="006B07F0">
              <w:rPr>
                <w:rFonts w:cs="Times New Roman"/>
                <w:bCs/>
                <w:sz w:val="18"/>
                <w:szCs w:val="18"/>
              </w:rPr>
              <w:t>78.33%</w:t>
            </w:r>
          </w:p>
        </w:tc>
      </w:tr>
      <w:tr w:rsidR="001E2F08" w:rsidRPr="006B07F0" w:rsidTr="001E2F08">
        <w:trPr>
          <w:trHeight w:val="397"/>
          <w:jc w:val="center"/>
        </w:trPr>
        <w:tc>
          <w:tcPr>
            <w:tcW w:w="1538"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bidi="en-US"/>
              </w:rPr>
            </w:pPr>
            <w:r w:rsidRPr="006B07F0">
              <w:rPr>
                <w:rFonts w:cs="Times New Roman" w:hint="eastAsia"/>
                <w:bCs/>
                <w:sz w:val="18"/>
                <w:szCs w:val="18"/>
              </w:rPr>
              <w:t>徐辉设计</w:t>
            </w:r>
            <w:r w:rsidRPr="006B07F0">
              <w:rPr>
                <w:rFonts w:cs="Times New Roman" w:hint="eastAsia"/>
                <w:bCs/>
                <w:iCs/>
                <w:color w:val="000000"/>
                <w:sz w:val="18"/>
                <w:szCs w:val="18"/>
                <w:lang w:bidi="en-US"/>
              </w:rPr>
              <w:t>（截止</w:t>
            </w:r>
            <w:r w:rsidRPr="006B07F0">
              <w:rPr>
                <w:rFonts w:cs="Times New Roman"/>
                <w:bCs/>
                <w:iCs/>
                <w:color w:val="000000"/>
                <w:sz w:val="18"/>
                <w:szCs w:val="18"/>
                <w:lang w:bidi="en-US"/>
              </w:rPr>
              <w:t>2020</w:t>
            </w:r>
            <w:r w:rsidRPr="006B07F0">
              <w:rPr>
                <w:rFonts w:cs="Times New Roman" w:hint="eastAsia"/>
                <w:bCs/>
                <w:iCs/>
                <w:color w:val="000000"/>
                <w:sz w:val="18"/>
                <w:szCs w:val="18"/>
                <w:lang w:bidi="en-US"/>
              </w:rPr>
              <w:t>年</w:t>
            </w:r>
            <w:r w:rsidRPr="006B07F0">
              <w:rPr>
                <w:rFonts w:cs="Times New Roman"/>
                <w:bCs/>
                <w:iCs/>
                <w:color w:val="000000"/>
                <w:sz w:val="18"/>
                <w:szCs w:val="18"/>
                <w:lang w:bidi="en-US"/>
              </w:rPr>
              <w:t>11</w:t>
            </w:r>
            <w:r w:rsidRPr="006B07F0">
              <w:rPr>
                <w:rFonts w:cs="Times New Roman" w:hint="eastAsia"/>
                <w:bCs/>
                <w:iCs/>
                <w:color w:val="000000"/>
                <w:sz w:val="18"/>
                <w:szCs w:val="18"/>
                <w:lang w:bidi="en-US"/>
              </w:rPr>
              <w:t>月</w:t>
            </w:r>
            <w:r w:rsidRPr="006B07F0">
              <w:rPr>
                <w:rFonts w:cs="Times New Roman"/>
                <w:bCs/>
                <w:iCs/>
                <w:color w:val="000000"/>
                <w:sz w:val="18"/>
                <w:szCs w:val="18"/>
                <w:lang w:bidi="en-US"/>
              </w:rPr>
              <w:t>30</w:t>
            </w:r>
            <w:r w:rsidRPr="006B07F0">
              <w:rPr>
                <w:rFonts w:cs="Times New Roman" w:hint="eastAsia"/>
                <w:bCs/>
                <w:iCs/>
                <w:color w:val="000000"/>
                <w:sz w:val="18"/>
                <w:szCs w:val="18"/>
                <w:lang w:bidi="en-US"/>
              </w:rPr>
              <w:t>日）</w:t>
            </w:r>
          </w:p>
        </w:tc>
        <w:tc>
          <w:tcPr>
            <w:tcW w:w="970"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kern w:val="2"/>
                <w:sz w:val="18"/>
                <w:szCs w:val="18"/>
              </w:rPr>
            </w:pPr>
            <w:r w:rsidRPr="006B07F0">
              <w:rPr>
                <w:rFonts w:cs="Times New Roman"/>
                <w:bCs/>
                <w:sz w:val="18"/>
                <w:szCs w:val="18"/>
              </w:rPr>
              <w:t>29.31%</w:t>
            </w:r>
          </w:p>
        </w:tc>
        <w:tc>
          <w:tcPr>
            <w:tcW w:w="970"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42.77%</w:t>
            </w:r>
          </w:p>
        </w:tc>
        <w:tc>
          <w:tcPr>
            <w:tcW w:w="761"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72.94%</w:t>
            </w:r>
          </w:p>
        </w:tc>
        <w:tc>
          <w:tcPr>
            <w:tcW w:w="761"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78.48%</w:t>
            </w:r>
          </w:p>
        </w:tc>
      </w:tr>
      <w:tr w:rsidR="001E2F08" w:rsidRPr="006B07F0" w:rsidTr="001E2F08">
        <w:trPr>
          <w:trHeight w:val="397"/>
          <w:jc w:val="center"/>
        </w:trPr>
        <w:tc>
          <w:tcPr>
            <w:tcW w:w="1538"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bidi="en-US"/>
              </w:rPr>
            </w:pPr>
            <w:r w:rsidRPr="006B07F0">
              <w:rPr>
                <w:rFonts w:cs="Times New Roman" w:hint="eastAsia"/>
                <w:bCs/>
                <w:iCs/>
                <w:color w:val="000000"/>
                <w:sz w:val="18"/>
                <w:szCs w:val="18"/>
                <w:lang w:bidi="en-US"/>
              </w:rPr>
              <w:t>山水比德（截止</w:t>
            </w:r>
            <w:r w:rsidRPr="006B07F0">
              <w:rPr>
                <w:rFonts w:cs="Times New Roman"/>
                <w:bCs/>
                <w:iCs/>
                <w:color w:val="000000"/>
                <w:sz w:val="18"/>
                <w:szCs w:val="18"/>
                <w:lang w:bidi="en-US"/>
              </w:rPr>
              <w:t>2020</w:t>
            </w:r>
            <w:r w:rsidRPr="006B07F0">
              <w:rPr>
                <w:rFonts w:cs="Times New Roman" w:hint="eastAsia"/>
                <w:bCs/>
                <w:iCs/>
                <w:color w:val="000000"/>
                <w:sz w:val="18"/>
                <w:szCs w:val="18"/>
                <w:lang w:bidi="en-US"/>
              </w:rPr>
              <w:t>年</w:t>
            </w:r>
            <w:r w:rsidRPr="006B07F0">
              <w:rPr>
                <w:rFonts w:cs="Times New Roman"/>
                <w:bCs/>
                <w:iCs/>
                <w:color w:val="000000"/>
                <w:sz w:val="18"/>
                <w:szCs w:val="18"/>
                <w:lang w:bidi="en-US"/>
              </w:rPr>
              <w:t>8</w:t>
            </w:r>
            <w:r w:rsidRPr="006B07F0">
              <w:rPr>
                <w:rFonts w:cs="Times New Roman" w:hint="eastAsia"/>
                <w:bCs/>
                <w:iCs/>
                <w:color w:val="000000"/>
                <w:sz w:val="18"/>
                <w:szCs w:val="18"/>
                <w:lang w:bidi="en-US"/>
              </w:rPr>
              <w:t>月</w:t>
            </w:r>
            <w:r w:rsidRPr="006B07F0">
              <w:rPr>
                <w:rFonts w:cs="Times New Roman"/>
                <w:bCs/>
                <w:iCs/>
                <w:color w:val="000000"/>
                <w:sz w:val="18"/>
                <w:szCs w:val="18"/>
                <w:lang w:bidi="en-US"/>
              </w:rPr>
              <w:t>30</w:t>
            </w:r>
            <w:r w:rsidRPr="006B07F0">
              <w:rPr>
                <w:rFonts w:cs="Times New Roman" w:hint="eastAsia"/>
                <w:bCs/>
                <w:iCs/>
                <w:color w:val="000000"/>
                <w:sz w:val="18"/>
                <w:szCs w:val="18"/>
                <w:lang w:bidi="en-US"/>
              </w:rPr>
              <w:t>日）</w:t>
            </w:r>
          </w:p>
        </w:tc>
        <w:tc>
          <w:tcPr>
            <w:tcW w:w="970"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kern w:val="2"/>
                <w:sz w:val="18"/>
                <w:szCs w:val="18"/>
              </w:rPr>
            </w:pPr>
            <w:r w:rsidRPr="006B07F0">
              <w:rPr>
                <w:rFonts w:cs="Times New Roman"/>
                <w:bCs/>
                <w:sz w:val="18"/>
                <w:szCs w:val="18"/>
              </w:rPr>
              <w:t>19.32%</w:t>
            </w:r>
          </w:p>
        </w:tc>
        <w:tc>
          <w:tcPr>
            <w:tcW w:w="970"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52.12%</w:t>
            </w:r>
          </w:p>
        </w:tc>
        <w:tc>
          <w:tcPr>
            <w:tcW w:w="761"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68.65%</w:t>
            </w:r>
          </w:p>
        </w:tc>
        <w:tc>
          <w:tcPr>
            <w:tcW w:w="761"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bCs/>
                <w:sz w:val="18"/>
                <w:szCs w:val="18"/>
              </w:rPr>
              <w:t>75.71%</w:t>
            </w:r>
          </w:p>
        </w:tc>
      </w:tr>
      <w:tr w:rsidR="001E2F08" w:rsidRPr="006B07F0" w:rsidTr="001E2F08">
        <w:trPr>
          <w:trHeight w:val="397"/>
          <w:jc w:val="center"/>
        </w:trPr>
        <w:tc>
          <w:tcPr>
            <w:tcW w:w="1538" w:type="pct"/>
            <w:tcBorders>
              <w:top w:val="dotted" w:sz="4" w:space="0" w:color="auto"/>
              <w:left w:val="nil"/>
              <w:bottom w:val="single" w:sz="12" w:space="0" w:color="auto"/>
              <w:right w:val="dotted" w:sz="4" w:space="0" w:color="auto"/>
            </w:tcBorders>
            <w:vAlign w:val="center"/>
            <w:hideMark/>
          </w:tcPr>
          <w:p w:rsidR="001E2F08" w:rsidRPr="006B07F0" w:rsidRDefault="001E2F08">
            <w:pPr>
              <w:jc w:val="center"/>
              <w:rPr>
                <w:rFonts w:cs="Times New Roman"/>
                <w:bCs/>
                <w:iCs/>
                <w:color w:val="000000"/>
                <w:sz w:val="18"/>
                <w:szCs w:val="18"/>
                <w:lang w:bidi="en-US"/>
              </w:rPr>
            </w:pPr>
            <w:r w:rsidRPr="006B07F0">
              <w:rPr>
                <w:rFonts w:cs="Times New Roman" w:hint="eastAsia"/>
                <w:bCs/>
                <w:iCs/>
                <w:color w:val="000000"/>
                <w:sz w:val="18"/>
                <w:szCs w:val="18"/>
                <w:lang w:bidi="en-US"/>
              </w:rPr>
              <w:t>霍普股份（截止</w:t>
            </w:r>
            <w:r w:rsidRPr="006B07F0">
              <w:rPr>
                <w:rFonts w:cs="Times New Roman"/>
                <w:bCs/>
                <w:iCs/>
                <w:color w:val="000000"/>
                <w:sz w:val="18"/>
                <w:szCs w:val="18"/>
                <w:lang w:bidi="en-US"/>
              </w:rPr>
              <w:t>2020</w:t>
            </w:r>
            <w:r w:rsidRPr="006B07F0">
              <w:rPr>
                <w:rFonts w:cs="Times New Roman" w:hint="eastAsia"/>
                <w:bCs/>
                <w:iCs/>
                <w:color w:val="000000"/>
                <w:sz w:val="18"/>
                <w:szCs w:val="18"/>
                <w:lang w:bidi="en-US"/>
              </w:rPr>
              <w:t>年</w:t>
            </w:r>
            <w:r w:rsidRPr="006B07F0">
              <w:rPr>
                <w:rFonts w:cs="Times New Roman"/>
                <w:bCs/>
                <w:iCs/>
                <w:color w:val="000000"/>
                <w:sz w:val="18"/>
                <w:szCs w:val="18"/>
                <w:lang w:bidi="en-US"/>
              </w:rPr>
              <w:t>12</w:t>
            </w:r>
            <w:r w:rsidRPr="006B07F0">
              <w:rPr>
                <w:rFonts w:cs="Times New Roman" w:hint="eastAsia"/>
                <w:bCs/>
                <w:iCs/>
                <w:color w:val="000000"/>
                <w:sz w:val="18"/>
                <w:szCs w:val="18"/>
                <w:lang w:bidi="en-US"/>
              </w:rPr>
              <w:t>月</w:t>
            </w:r>
            <w:r w:rsidRPr="006B07F0">
              <w:rPr>
                <w:rFonts w:cs="Times New Roman"/>
                <w:bCs/>
                <w:iCs/>
                <w:color w:val="000000"/>
                <w:sz w:val="18"/>
                <w:szCs w:val="18"/>
                <w:lang w:bidi="en-US"/>
              </w:rPr>
              <w:t>31</w:t>
            </w:r>
            <w:r w:rsidRPr="006B07F0">
              <w:rPr>
                <w:rFonts w:cs="Times New Roman" w:hint="eastAsia"/>
                <w:bCs/>
                <w:iCs/>
                <w:color w:val="000000"/>
                <w:sz w:val="18"/>
                <w:szCs w:val="18"/>
                <w:lang w:bidi="en-US"/>
              </w:rPr>
              <w:t>日）</w:t>
            </w:r>
          </w:p>
        </w:tc>
        <w:tc>
          <w:tcPr>
            <w:tcW w:w="970"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lang w:eastAsia="en-US" w:bidi="en-US"/>
              </w:rPr>
            </w:pPr>
            <w:r w:rsidRPr="006B07F0">
              <w:rPr>
                <w:rFonts w:cs="Times New Roman"/>
                <w:bCs/>
                <w:color w:val="000000"/>
                <w:sz w:val="18"/>
                <w:szCs w:val="18"/>
                <w:lang w:bidi="ar"/>
              </w:rPr>
              <w:t>30.72%</w:t>
            </w:r>
          </w:p>
        </w:tc>
        <w:tc>
          <w:tcPr>
            <w:tcW w:w="970"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lang w:eastAsia="en-US" w:bidi="en-US"/>
              </w:rPr>
            </w:pPr>
            <w:r w:rsidRPr="006B07F0">
              <w:rPr>
                <w:rFonts w:cs="Times New Roman"/>
                <w:bCs/>
                <w:color w:val="000000"/>
                <w:sz w:val="18"/>
                <w:szCs w:val="18"/>
                <w:lang w:bidi="ar"/>
              </w:rPr>
              <w:t>65.55%</w:t>
            </w:r>
          </w:p>
        </w:tc>
        <w:tc>
          <w:tcPr>
            <w:tcW w:w="761"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color w:val="000000"/>
                <w:sz w:val="18"/>
                <w:szCs w:val="18"/>
                <w:lang w:eastAsia="en-US" w:bidi="en-US"/>
              </w:rPr>
            </w:pPr>
            <w:r w:rsidRPr="006B07F0">
              <w:rPr>
                <w:rFonts w:cs="Times New Roman"/>
                <w:bCs/>
                <w:color w:val="000000"/>
                <w:sz w:val="18"/>
                <w:szCs w:val="18"/>
                <w:lang w:bidi="ar"/>
              </w:rPr>
              <w:t>77.02%</w:t>
            </w:r>
          </w:p>
        </w:tc>
        <w:tc>
          <w:tcPr>
            <w:tcW w:w="761" w:type="pct"/>
            <w:tcBorders>
              <w:top w:val="dotted" w:sz="4" w:space="0" w:color="auto"/>
              <w:left w:val="dotted" w:sz="4" w:space="0" w:color="auto"/>
              <w:bottom w:val="single" w:sz="12" w:space="0" w:color="auto"/>
              <w:right w:val="nil"/>
            </w:tcBorders>
            <w:vAlign w:val="center"/>
            <w:hideMark/>
          </w:tcPr>
          <w:p w:rsidR="001E2F08" w:rsidRPr="006B07F0" w:rsidRDefault="001E2F08">
            <w:pPr>
              <w:jc w:val="right"/>
              <w:rPr>
                <w:rFonts w:cs="Times New Roman"/>
                <w:bCs/>
                <w:color w:val="000000"/>
                <w:sz w:val="18"/>
                <w:szCs w:val="18"/>
                <w:lang w:eastAsia="en-US" w:bidi="en-US"/>
              </w:rPr>
            </w:pPr>
            <w:r w:rsidRPr="006B07F0">
              <w:rPr>
                <w:rFonts w:cs="Times New Roman"/>
                <w:bCs/>
                <w:color w:val="000000"/>
                <w:sz w:val="18"/>
                <w:szCs w:val="18"/>
                <w:lang w:bidi="ar"/>
              </w:rPr>
              <w:t>84.03%</w:t>
            </w:r>
          </w:p>
        </w:tc>
      </w:tr>
    </w:tbl>
    <w:p w:rsidR="001E2F08" w:rsidRPr="006B07F0" w:rsidRDefault="001E2F08" w:rsidP="001E2F08">
      <w:pPr>
        <w:autoSpaceDE w:val="0"/>
        <w:autoSpaceDN w:val="0"/>
        <w:adjustRightInd w:val="0"/>
        <w:spacing w:afterLines="50" w:after="163"/>
        <w:ind w:firstLineChars="200" w:firstLine="420"/>
        <w:rPr>
          <w:rFonts w:cs="Times New Roman"/>
          <w:bCs/>
          <w:kern w:val="2"/>
          <w:sz w:val="21"/>
          <w:szCs w:val="21"/>
        </w:rPr>
      </w:pPr>
      <w:r w:rsidRPr="006B07F0">
        <w:rPr>
          <w:rFonts w:cs="Times New Roman" w:hint="eastAsia"/>
          <w:bCs/>
          <w:sz w:val="21"/>
          <w:szCs w:val="21"/>
        </w:rPr>
        <w:t>注：因上述公司尚未披露以2020年末为审计基准日的期后回款数据，因此摘取以2020年6月末为审计基准日的期后回款数据进行比较。</w:t>
      </w:r>
    </w:p>
    <w:p w:rsidR="001E2F08" w:rsidRPr="006B07F0" w:rsidRDefault="001E2F08" w:rsidP="001E2F08">
      <w:pPr>
        <w:autoSpaceDE w:val="0"/>
        <w:autoSpaceDN w:val="0"/>
        <w:adjustRightInd w:val="0"/>
        <w:spacing w:beforeLines="50" w:before="163" w:afterLines="50" w:after="163" w:line="360" w:lineRule="auto"/>
        <w:ind w:firstLineChars="200" w:firstLine="420"/>
        <w:rPr>
          <w:rFonts w:cs="Times New Roman"/>
          <w:bCs/>
          <w:sz w:val="21"/>
          <w:szCs w:val="21"/>
        </w:rPr>
      </w:pPr>
      <w:r w:rsidRPr="006B07F0">
        <w:rPr>
          <w:rFonts w:cs="Times New Roman" w:hint="eastAsia"/>
          <w:bCs/>
          <w:sz w:val="21"/>
          <w:szCs w:val="21"/>
        </w:rPr>
        <w:t>报告期各期，公司应收账款期后回款情况与同行业可比公司相比，不存在较大差异，公司应收账款期后回款情况符合行业情况。</w:t>
      </w:r>
    </w:p>
    <w:p w:rsidR="001E2F08" w:rsidRPr="006B07F0" w:rsidRDefault="001E2F08" w:rsidP="001E2F08">
      <w:pPr>
        <w:pStyle w:val="ad"/>
        <w:spacing w:before="163" w:after="163"/>
        <w:ind w:firstLine="422"/>
        <w:rPr>
          <w:rFonts w:ascii="宋体" w:eastAsia="宋体" w:hAnsi="宋体"/>
          <w:bCs w:val="0"/>
          <w:sz w:val="21"/>
          <w:szCs w:val="21"/>
        </w:rPr>
      </w:pPr>
      <w:r w:rsidRPr="006B07F0">
        <w:rPr>
          <w:rFonts w:ascii="宋体" w:eastAsia="宋体" w:hAnsi="宋体" w:hint="eastAsia"/>
          <w:bCs w:val="0"/>
          <w:sz w:val="21"/>
          <w:szCs w:val="21"/>
        </w:rPr>
        <w:t>（三）补充披露截至目前的应收账款逾期情况，包括但不限于涉及的客户、金额、预期原因等</w:t>
      </w:r>
    </w:p>
    <w:p w:rsidR="001E2F08" w:rsidRPr="006B07F0" w:rsidRDefault="001E2F08" w:rsidP="001E2F08">
      <w:pPr>
        <w:spacing w:before="120" w:after="120" w:line="360" w:lineRule="auto"/>
        <w:ind w:firstLineChars="200" w:firstLine="420"/>
        <w:rPr>
          <w:rFonts w:cs="Times New Roman"/>
          <w:bCs/>
          <w:sz w:val="21"/>
          <w:szCs w:val="21"/>
        </w:rPr>
      </w:pPr>
      <w:r w:rsidRPr="006B07F0">
        <w:rPr>
          <w:rFonts w:cs="Times New Roman" w:hint="eastAsia"/>
          <w:bCs/>
          <w:sz w:val="21"/>
          <w:szCs w:val="21"/>
        </w:rPr>
        <w:t>根据公司与主要下游客户的合同约定，客户应当按照合同约定在确认公司提交的工作成果且收到相应结算金额的发票后付款。公司一般与客户签订的合同中</w:t>
      </w:r>
      <w:bookmarkStart w:id="7" w:name="_Hlk66050134"/>
      <w:r w:rsidRPr="006B07F0">
        <w:rPr>
          <w:rFonts w:cs="Times New Roman" w:hint="eastAsia"/>
          <w:bCs/>
          <w:sz w:val="21"/>
          <w:szCs w:val="21"/>
        </w:rPr>
        <w:t>未明确约定具体的信用期。</w:t>
      </w:r>
      <w:bookmarkStart w:id="8" w:name="_Hlk64583795"/>
      <w:r w:rsidRPr="006B07F0">
        <w:rPr>
          <w:rFonts w:cs="Times New Roman" w:hint="eastAsia"/>
          <w:bCs/>
          <w:sz w:val="21"/>
          <w:szCs w:val="21"/>
        </w:rPr>
        <w:t>截至</w:t>
      </w:r>
      <w:r w:rsidRPr="006B07F0">
        <w:rPr>
          <w:rFonts w:cs="Times New Roman"/>
          <w:bCs/>
          <w:sz w:val="21"/>
          <w:szCs w:val="21"/>
        </w:rPr>
        <w:t>2020</w:t>
      </w:r>
      <w:r w:rsidRPr="006B07F0">
        <w:rPr>
          <w:rFonts w:cs="Times New Roman" w:hint="eastAsia"/>
          <w:bCs/>
          <w:sz w:val="21"/>
          <w:szCs w:val="21"/>
        </w:rPr>
        <w:t>年</w:t>
      </w:r>
      <w:r w:rsidRPr="006B07F0">
        <w:rPr>
          <w:rFonts w:cs="Times New Roman" w:hint="eastAsia"/>
          <w:bCs/>
          <w:iCs/>
          <w:sz w:val="21"/>
          <w:szCs w:val="21"/>
          <w:lang w:bidi="en-US"/>
        </w:rPr>
        <w:t>12月31日</w:t>
      </w:r>
      <w:r w:rsidRPr="006B07F0">
        <w:rPr>
          <w:rFonts w:cs="Times New Roman" w:hint="eastAsia"/>
          <w:bCs/>
          <w:sz w:val="21"/>
          <w:szCs w:val="21"/>
        </w:rPr>
        <w:t>，公司应收账款余额为</w:t>
      </w:r>
      <w:r w:rsidRPr="006B07F0">
        <w:rPr>
          <w:rFonts w:cs="Times New Roman" w:hint="eastAsia"/>
          <w:bCs/>
          <w:iCs/>
          <w:sz w:val="21"/>
          <w:szCs w:val="21"/>
          <w:lang w:bidi="en-US"/>
        </w:rPr>
        <w:t>3.26</w:t>
      </w:r>
      <w:r w:rsidRPr="006B07F0">
        <w:rPr>
          <w:rFonts w:cs="Times New Roman" w:hint="eastAsia"/>
          <w:bCs/>
          <w:sz w:val="21"/>
          <w:szCs w:val="21"/>
        </w:rPr>
        <w:t>亿元，其中，账龄一年以上应收账款金额为</w:t>
      </w:r>
      <w:r w:rsidRPr="006B07F0">
        <w:rPr>
          <w:rFonts w:cs="Times New Roman" w:hint="eastAsia"/>
          <w:bCs/>
          <w:iCs/>
          <w:sz w:val="21"/>
          <w:szCs w:val="21"/>
          <w:lang w:bidi="en-US"/>
        </w:rPr>
        <w:t>7,918.76</w:t>
      </w:r>
      <w:r w:rsidRPr="006B07F0">
        <w:rPr>
          <w:rFonts w:cs="Times New Roman" w:hint="eastAsia"/>
          <w:bCs/>
          <w:sz w:val="21"/>
          <w:szCs w:val="21"/>
        </w:rPr>
        <w:t>万元，占比</w:t>
      </w:r>
      <w:r w:rsidRPr="006B07F0">
        <w:rPr>
          <w:rFonts w:cs="Times New Roman" w:hint="eastAsia"/>
          <w:bCs/>
          <w:iCs/>
          <w:sz w:val="21"/>
          <w:szCs w:val="21"/>
          <w:lang w:bidi="en-US"/>
        </w:rPr>
        <w:t>24.26%</w:t>
      </w:r>
      <w:r w:rsidRPr="006B07F0">
        <w:rPr>
          <w:rFonts w:cs="Times New Roman" w:hint="eastAsia"/>
          <w:bCs/>
          <w:sz w:val="21"/>
          <w:szCs w:val="21"/>
        </w:rPr>
        <w:t>。账龄一年以上应收账款主要客户情况如下：</w:t>
      </w:r>
    </w:p>
    <w:p w:rsidR="001E2F08" w:rsidRPr="006B07F0" w:rsidRDefault="001E2F08" w:rsidP="001E2F08">
      <w:pPr>
        <w:spacing w:beforeLines="50" w:before="163"/>
        <w:jc w:val="right"/>
        <w:rPr>
          <w:rFonts w:cs="Times New Roman"/>
          <w:bCs/>
          <w:color w:val="000000"/>
          <w:sz w:val="21"/>
          <w:szCs w:val="21"/>
          <w:lang w:bidi="en-US"/>
        </w:rPr>
      </w:pPr>
      <w:r w:rsidRPr="006B07F0">
        <w:rPr>
          <w:rFonts w:cs="Times New Roman" w:hint="eastAsia"/>
          <w:bCs/>
          <w:color w:val="000000"/>
          <w:sz w:val="21"/>
          <w:szCs w:val="21"/>
          <w:lang w:bidi="en-US"/>
        </w:rPr>
        <w:t>单位</w:t>
      </w:r>
      <w:r w:rsidRPr="006B07F0">
        <w:rPr>
          <w:rFonts w:cs="Times New Roman"/>
          <w:bCs/>
          <w:color w:val="000000"/>
          <w:sz w:val="21"/>
          <w:szCs w:val="21"/>
          <w:lang w:bidi="en-US"/>
        </w:rPr>
        <w:t>:</w:t>
      </w:r>
      <w:r w:rsidRPr="006B07F0">
        <w:rPr>
          <w:rFonts w:cs="Times New Roman" w:hint="eastAsia"/>
          <w:bCs/>
          <w:color w:val="000000"/>
          <w:sz w:val="21"/>
          <w:szCs w:val="21"/>
          <w:lang w:bidi="en-US"/>
        </w:rPr>
        <w:t>万元</w:t>
      </w:r>
    </w:p>
    <w:tbl>
      <w:tblPr>
        <w:tblW w:w="5000" w:type="pct"/>
        <w:jc w:val="center"/>
        <w:tblBorders>
          <w:top w:val="single" w:sz="12" w:space="0" w:color="333399"/>
          <w:left w:val="single" w:sz="6" w:space="0" w:color="333399"/>
          <w:bottom w:val="single" w:sz="12" w:space="0" w:color="333399"/>
          <w:right w:val="single" w:sz="6" w:space="0" w:color="333399"/>
          <w:insideH w:val="single" w:sz="6" w:space="0" w:color="333399"/>
          <w:insideV w:val="single" w:sz="6" w:space="0" w:color="333399"/>
        </w:tblBorders>
        <w:tblLook w:val="04A0" w:firstRow="1" w:lastRow="0" w:firstColumn="1" w:lastColumn="0" w:noHBand="0" w:noVBand="1"/>
      </w:tblPr>
      <w:tblGrid>
        <w:gridCol w:w="707"/>
        <w:gridCol w:w="3963"/>
        <w:gridCol w:w="1240"/>
        <w:gridCol w:w="2712"/>
      </w:tblGrid>
      <w:tr w:rsidR="001E2F08" w:rsidRPr="006B07F0" w:rsidTr="001E2F08">
        <w:trPr>
          <w:trHeight w:val="397"/>
          <w:jc w:val="center"/>
        </w:trPr>
        <w:tc>
          <w:tcPr>
            <w:tcW w:w="410" w:type="pct"/>
            <w:tcBorders>
              <w:top w:val="single" w:sz="12"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r w:rsidRPr="006B07F0">
              <w:rPr>
                <w:rFonts w:cs="Times New Roman" w:hint="eastAsia"/>
                <w:bCs/>
                <w:iCs/>
                <w:color w:val="000000"/>
                <w:sz w:val="18"/>
                <w:szCs w:val="18"/>
                <w:lang w:bidi="en-US"/>
              </w:rPr>
              <w:t>序号</w:t>
            </w:r>
          </w:p>
        </w:tc>
        <w:tc>
          <w:tcPr>
            <w:tcW w:w="2298" w:type="pct"/>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r w:rsidRPr="006B07F0">
              <w:rPr>
                <w:rFonts w:cs="Times New Roman" w:hint="eastAsia"/>
                <w:bCs/>
                <w:iCs/>
                <w:color w:val="000000"/>
                <w:sz w:val="18"/>
                <w:szCs w:val="18"/>
                <w:lang w:bidi="en-US"/>
              </w:rPr>
              <w:t>客户名称</w:t>
            </w:r>
          </w:p>
        </w:tc>
        <w:tc>
          <w:tcPr>
            <w:tcW w:w="719" w:type="pct"/>
            <w:tcBorders>
              <w:top w:val="single" w:sz="12"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iCs/>
                <w:color w:val="000000"/>
                <w:sz w:val="18"/>
                <w:szCs w:val="18"/>
                <w:lang w:eastAsia="en-US" w:bidi="en-US"/>
              </w:rPr>
            </w:pPr>
            <w:r w:rsidRPr="006B07F0">
              <w:rPr>
                <w:rFonts w:cs="Times New Roman" w:hint="eastAsia"/>
                <w:bCs/>
                <w:iCs/>
                <w:color w:val="000000"/>
                <w:sz w:val="18"/>
                <w:szCs w:val="18"/>
                <w:lang w:bidi="en-US"/>
              </w:rPr>
              <w:t>金额</w:t>
            </w:r>
          </w:p>
        </w:tc>
        <w:tc>
          <w:tcPr>
            <w:tcW w:w="1573" w:type="pct"/>
            <w:tcBorders>
              <w:top w:val="single" w:sz="12" w:space="0" w:color="auto"/>
              <w:left w:val="dotted" w:sz="4" w:space="0" w:color="auto"/>
              <w:bottom w:val="dotted" w:sz="4" w:space="0" w:color="auto"/>
              <w:right w:val="nil"/>
            </w:tcBorders>
            <w:vAlign w:val="center"/>
            <w:hideMark/>
          </w:tcPr>
          <w:p w:rsidR="001E2F08" w:rsidRPr="006B07F0" w:rsidRDefault="001E2F08">
            <w:pPr>
              <w:jc w:val="center"/>
              <w:rPr>
                <w:rFonts w:cs="Times New Roman"/>
                <w:bCs/>
                <w:iCs/>
                <w:color w:val="000000"/>
                <w:sz w:val="18"/>
                <w:szCs w:val="18"/>
                <w:lang w:bidi="en-US"/>
              </w:rPr>
            </w:pPr>
            <w:r w:rsidRPr="006B07F0">
              <w:rPr>
                <w:rFonts w:cs="Times New Roman" w:hint="eastAsia"/>
                <w:bCs/>
                <w:iCs/>
                <w:color w:val="000000"/>
                <w:sz w:val="18"/>
                <w:szCs w:val="18"/>
                <w:lang w:bidi="en-US"/>
              </w:rPr>
              <w:t>账龄一年以上应收账款余额的比例</w:t>
            </w:r>
          </w:p>
        </w:tc>
      </w:tr>
      <w:tr w:rsidR="001E2F08" w:rsidRPr="006B07F0" w:rsidTr="001E2F08">
        <w:trPr>
          <w:trHeight w:val="397"/>
          <w:jc w:val="center"/>
        </w:trPr>
        <w:tc>
          <w:tcPr>
            <w:tcW w:w="410"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lang w:eastAsia="en-US" w:bidi="en-US"/>
              </w:rPr>
            </w:pPr>
            <w:r w:rsidRPr="006B07F0">
              <w:rPr>
                <w:rFonts w:cs="Times New Roman"/>
                <w:bCs/>
                <w:color w:val="000000"/>
                <w:sz w:val="18"/>
                <w:szCs w:val="18"/>
                <w:lang w:bidi="en-US"/>
              </w:rPr>
              <w:t>1</w:t>
            </w:r>
          </w:p>
        </w:tc>
        <w:tc>
          <w:tcPr>
            <w:tcW w:w="2298"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kern w:val="2"/>
                <w:sz w:val="18"/>
                <w:szCs w:val="18"/>
              </w:rPr>
            </w:pPr>
            <w:r w:rsidRPr="006B07F0">
              <w:rPr>
                <w:rFonts w:cs="Times New Roman" w:hint="eastAsia"/>
                <w:bCs/>
                <w:sz w:val="18"/>
                <w:szCs w:val="18"/>
              </w:rPr>
              <w:t>保利</w:t>
            </w:r>
          </w:p>
        </w:tc>
        <w:tc>
          <w:tcPr>
            <w:tcW w:w="719"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2,896.75</w:t>
            </w:r>
          </w:p>
        </w:tc>
        <w:tc>
          <w:tcPr>
            <w:tcW w:w="1573"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36.58%</w:t>
            </w:r>
          </w:p>
        </w:tc>
      </w:tr>
      <w:tr w:rsidR="001E2F08" w:rsidRPr="006B07F0" w:rsidTr="001E2F08">
        <w:trPr>
          <w:trHeight w:val="397"/>
          <w:jc w:val="center"/>
        </w:trPr>
        <w:tc>
          <w:tcPr>
            <w:tcW w:w="410"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lang w:eastAsia="en-US" w:bidi="en-US"/>
              </w:rPr>
            </w:pPr>
            <w:r w:rsidRPr="006B07F0">
              <w:rPr>
                <w:rFonts w:cs="Times New Roman"/>
                <w:bCs/>
                <w:color w:val="000000"/>
                <w:sz w:val="18"/>
                <w:szCs w:val="18"/>
                <w:lang w:bidi="en-US"/>
              </w:rPr>
              <w:t>2</w:t>
            </w:r>
          </w:p>
        </w:tc>
        <w:tc>
          <w:tcPr>
            <w:tcW w:w="2298"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kern w:val="2"/>
                <w:sz w:val="18"/>
                <w:szCs w:val="18"/>
              </w:rPr>
            </w:pPr>
            <w:r w:rsidRPr="006B07F0">
              <w:rPr>
                <w:rFonts w:cs="Times New Roman" w:hint="eastAsia"/>
                <w:bCs/>
                <w:sz w:val="18"/>
                <w:szCs w:val="18"/>
              </w:rPr>
              <w:t>绿地</w:t>
            </w:r>
          </w:p>
        </w:tc>
        <w:tc>
          <w:tcPr>
            <w:tcW w:w="719"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1,378.66</w:t>
            </w:r>
          </w:p>
        </w:tc>
        <w:tc>
          <w:tcPr>
            <w:tcW w:w="1573"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17.41%</w:t>
            </w:r>
          </w:p>
        </w:tc>
      </w:tr>
      <w:tr w:rsidR="001E2F08" w:rsidRPr="006B07F0" w:rsidTr="001E2F08">
        <w:trPr>
          <w:trHeight w:val="397"/>
          <w:jc w:val="center"/>
        </w:trPr>
        <w:tc>
          <w:tcPr>
            <w:tcW w:w="410"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lang w:eastAsia="en-US" w:bidi="en-US"/>
              </w:rPr>
            </w:pPr>
            <w:r w:rsidRPr="006B07F0">
              <w:rPr>
                <w:rFonts w:cs="Times New Roman"/>
                <w:bCs/>
                <w:color w:val="000000"/>
                <w:sz w:val="18"/>
                <w:szCs w:val="18"/>
                <w:lang w:bidi="en-US"/>
              </w:rPr>
              <w:t>3</w:t>
            </w:r>
          </w:p>
        </w:tc>
        <w:tc>
          <w:tcPr>
            <w:tcW w:w="2298"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lang w:bidi="en-US"/>
              </w:rPr>
            </w:pPr>
            <w:r w:rsidRPr="006B07F0">
              <w:rPr>
                <w:rFonts w:cs="Times New Roman" w:hint="eastAsia"/>
                <w:bCs/>
                <w:sz w:val="18"/>
                <w:szCs w:val="18"/>
              </w:rPr>
              <w:t>山湖海（广东）投资控股集团有限公司</w:t>
            </w:r>
          </w:p>
        </w:tc>
        <w:tc>
          <w:tcPr>
            <w:tcW w:w="719"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kern w:val="2"/>
                <w:sz w:val="18"/>
                <w:szCs w:val="18"/>
              </w:rPr>
            </w:pPr>
            <w:r w:rsidRPr="006B07F0">
              <w:rPr>
                <w:rFonts w:cs="Times New Roman" w:hint="eastAsia"/>
                <w:bCs/>
                <w:sz w:val="18"/>
                <w:szCs w:val="18"/>
              </w:rPr>
              <w:t>843.89</w:t>
            </w:r>
          </w:p>
        </w:tc>
        <w:tc>
          <w:tcPr>
            <w:tcW w:w="1573"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10.66%</w:t>
            </w:r>
          </w:p>
        </w:tc>
      </w:tr>
      <w:tr w:rsidR="001E2F08" w:rsidRPr="006B07F0" w:rsidTr="001E2F08">
        <w:trPr>
          <w:trHeight w:val="397"/>
          <w:jc w:val="center"/>
        </w:trPr>
        <w:tc>
          <w:tcPr>
            <w:tcW w:w="410"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lang w:eastAsia="en-US" w:bidi="en-US"/>
              </w:rPr>
            </w:pPr>
            <w:r w:rsidRPr="006B07F0">
              <w:rPr>
                <w:rFonts w:cs="Times New Roman"/>
                <w:bCs/>
                <w:color w:val="000000"/>
                <w:sz w:val="18"/>
                <w:szCs w:val="18"/>
                <w:lang w:bidi="en-US"/>
              </w:rPr>
              <w:t>4</w:t>
            </w:r>
          </w:p>
        </w:tc>
        <w:tc>
          <w:tcPr>
            <w:tcW w:w="2298"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lang w:eastAsia="en-US" w:bidi="en-US"/>
              </w:rPr>
            </w:pPr>
            <w:proofErr w:type="gramStart"/>
            <w:r w:rsidRPr="006B07F0">
              <w:rPr>
                <w:rFonts w:cs="Times New Roman" w:hint="eastAsia"/>
                <w:bCs/>
                <w:sz w:val="18"/>
                <w:szCs w:val="18"/>
              </w:rPr>
              <w:t>世</w:t>
            </w:r>
            <w:proofErr w:type="gramEnd"/>
            <w:r w:rsidRPr="006B07F0">
              <w:rPr>
                <w:rFonts w:cs="Times New Roman" w:hint="eastAsia"/>
                <w:bCs/>
                <w:sz w:val="18"/>
                <w:szCs w:val="18"/>
              </w:rPr>
              <w:t>茂</w:t>
            </w:r>
          </w:p>
        </w:tc>
        <w:tc>
          <w:tcPr>
            <w:tcW w:w="719"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kern w:val="2"/>
                <w:sz w:val="18"/>
                <w:szCs w:val="18"/>
              </w:rPr>
            </w:pPr>
            <w:r w:rsidRPr="006B07F0">
              <w:rPr>
                <w:rFonts w:cs="Times New Roman" w:hint="eastAsia"/>
                <w:bCs/>
                <w:sz w:val="18"/>
                <w:szCs w:val="18"/>
              </w:rPr>
              <w:t>618.47</w:t>
            </w:r>
          </w:p>
        </w:tc>
        <w:tc>
          <w:tcPr>
            <w:tcW w:w="1573"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7.81%</w:t>
            </w:r>
          </w:p>
        </w:tc>
      </w:tr>
      <w:tr w:rsidR="001E2F08" w:rsidRPr="006B07F0" w:rsidTr="001E2F08">
        <w:trPr>
          <w:trHeight w:val="397"/>
          <w:jc w:val="center"/>
        </w:trPr>
        <w:tc>
          <w:tcPr>
            <w:tcW w:w="410" w:type="pct"/>
            <w:tcBorders>
              <w:top w:val="dotted" w:sz="4" w:space="0" w:color="auto"/>
              <w:left w:val="nil"/>
              <w:bottom w:val="dotted" w:sz="4" w:space="0" w:color="auto"/>
              <w:right w:val="dotted" w:sz="4" w:space="0" w:color="auto"/>
            </w:tcBorders>
            <w:vAlign w:val="center"/>
            <w:hideMark/>
          </w:tcPr>
          <w:p w:rsidR="001E2F08" w:rsidRPr="006B07F0" w:rsidRDefault="001E2F08">
            <w:pPr>
              <w:jc w:val="center"/>
              <w:rPr>
                <w:rFonts w:cs="Times New Roman"/>
                <w:bCs/>
                <w:color w:val="000000"/>
                <w:sz w:val="18"/>
                <w:szCs w:val="18"/>
                <w:lang w:eastAsia="en-US" w:bidi="en-US"/>
              </w:rPr>
            </w:pPr>
            <w:r w:rsidRPr="006B07F0">
              <w:rPr>
                <w:rFonts w:cs="Times New Roman"/>
                <w:bCs/>
                <w:color w:val="000000"/>
                <w:sz w:val="18"/>
                <w:szCs w:val="18"/>
                <w:lang w:bidi="en-US"/>
              </w:rPr>
              <w:t>5</w:t>
            </w:r>
          </w:p>
        </w:tc>
        <w:tc>
          <w:tcPr>
            <w:tcW w:w="2298"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center"/>
              <w:rPr>
                <w:rFonts w:cs="Times New Roman"/>
                <w:bCs/>
                <w:kern w:val="2"/>
                <w:sz w:val="18"/>
                <w:szCs w:val="18"/>
              </w:rPr>
            </w:pPr>
            <w:proofErr w:type="gramStart"/>
            <w:r w:rsidRPr="006B07F0">
              <w:rPr>
                <w:rFonts w:cs="Times New Roman" w:hint="eastAsia"/>
                <w:bCs/>
                <w:sz w:val="18"/>
                <w:szCs w:val="18"/>
              </w:rPr>
              <w:t>中国奥园集团</w:t>
            </w:r>
            <w:proofErr w:type="gramEnd"/>
            <w:r w:rsidRPr="006B07F0">
              <w:rPr>
                <w:rFonts w:cs="Times New Roman" w:hint="eastAsia"/>
                <w:bCs/>
                <w:sz w:val="18"/>
                <w:szCs w:val="18"/>
              </w:rPr>
              <w:t>股份有限公司</w:t>
            </w:r>
          </w:p>
        </w:tc>
        <w:tc>
          <w:tcPr>
            <w:tcW w:w="719" w:type="pct"/>
            <w:tcBorders>
              <w:top w:val="dotted" w:sz="4" w:space="0" w:color="auto"/>
              <w:left w:val="dotted" w:sz="4" w:space="0" w:color="auto"/>
              <w:bottom w:val="dotted" w:sz="4" w:space="0" w:color="auto"/>
              <w:right w:val="dotted" w:sz="4" w:space="0" w:color="auto"/>
            </w:tcBorders>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235.94</w:t>
            </w:r>
          </w:p>
        </w:tc>
        <w:tc>
          <w:tcPr>
            <w:tcW w:w="1573" w:type="pct"/>
            <w:tcBorders>
              <w:top w:val="dotted" w:sz="4" w:space="0" w:color="auto"/>
              <w:left w:val="dotted" w:sz="4" w:space="0" w:color="auto"/>
              <w:bottom w:val="dotted" w:sz="4"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2.98%</w:t>
            </w:r>
          </w:p>
        </w:tc>
      </w:tr>
      <w:tr w:rsidR="001E2F08" w:rsidRPr="006B07F0" w:rsidTr="001E2F08">
        <w:trPr>
          <w:trHeight w:val="397"/>
          <w:jc w:val="center"/>
        </w:trPr>
        <w:tc>
          <w:tcPr>
            <w:tcW w:w="2708" w:type="pct"/>
            <w:gridSpan w:val="2"/>
            <w:tcBorders>
              <w:top w:val="dotted" w:sz="4" w:space="0" w:color="auto"/>
              <w:left w:val="nil"/>
              <w:bottom w:val="single" w:sz="12" w:space="0" w:color="auto"/>
              <w:right w:val="dotted" w:sz="4" w:space="0" w:color="auto"/>
            </w:tcBorders>
            <w:vAlign w:val="center"/>
            <w:hideMark/>
          </w:tcPr>
          <w:p w:rsidR="001E2F08" w:rsidRPr="006B07F0" w:rsidRDefault="001E2F08">
            <w:pPr>
              <w:jc w:val="center"/>
              <w:rPr>
                <w:rFonts w:cs="Times New Roman"/>
                <w:bCs/>
                <w:color w:val="000000"/>
                <w:sz w:val="18"/>
                <w:szCs w:val="18"/>
                <w:lang w:eastAsia="en-US" w:bidi="en-US"/>
              </w:rPr>
            </w:pPr>
            <w:r w:rsidRPr="006B07F0">
              <w:rPr>
                <w:rFonts w:cs="Times New Roman" w:hint="eastAsia"/>
                <w:bCs/>
                <w:color w:val="000000"/>
                <w:sz w:val="18"/>
                <w:szCs w:val="18"/>
                <w:lang w:bidi="en-US"/>
              </w:rPr>
              <w:t>合计</w:t>
            </w:r>
          </w:p>
        </w:tc>
        <w:tc>
          <w:tcPr>
            <w:tcW w:w="719" w:type="pct"/>
            <w:tcBorders>
              <w:top w:val="dotted" w:sz="4" w:space="0" w:color="auto"/>
              <w:left w:val="dotted" w:sz="4" w:space="0" w:color="auto"/>
              <w:bottom w:val="single" w:sz="12" w:space="0" w:color="auto"/>
              <w:right w:val="dotted" w:sz="4" w:space="0" w:color="auto"/>
            </w:tcBorders>
            <w:vAlign w:val="center"/>
            <w:hideMark/>
          </w:tcPr>
          <w:p w:rsidR="001E2F08" w:rsidRPr="006B07F0" w:rsidRDefault="001E2F08">
            <w:pPr>
              <w:jc w:val="right"/>
              <w:rPr>
                <w:rFonts w:cs="Times New Roman"/>
                <w:bCs/>
                <w:kern w:val="2"/>
                <w:sz w:val="18"/>
                <w:szCs w:val="18"/>
              </w:rPr>
            </w:pPr>
            <w:r w:rsidRPr="006B07F0">
              <w:rPr>
                <w:rFonts w:cs="Times New Roman" w:hint="eastAsia"/>
                <w:bCs/>
                <w:sz w:val="18"/>
                <w:szCs w:val="18"/>
              </w:rPr>
              <w:t>5,973.71</w:t>
            </w:r>
          </w:p>
        </w:tc>
        <w:tc>
          <w:tcPr>
            <w:tcW w:w="1573" w:type="pct"/>
            <w:tcBorders>
              <w:top w:val="dotted" w:sz="4" w:space="0" w:color="auto"/>
              <w:left w:val="dotted" w:sz="4" w:space="0" w:color="auto"/>
              <w:bottom w:val="single" w:sz="12" w:space="0" w:color="auto"/>
              <w:right w:val="nil"/>
            </w:tcBorders>
            <w:vAlign w:val="center"/>
            <w:hideMark/>
          </w:tcPr>
          <w:p w:rsidR="001E2F08" w:rsidRPr="006B07F0" w:rsidRDefault="001E2F08">
            <w:pPr>
              <w:jc w:val="right"/>
              <w:rPr>
                <w:rFonts w:cs="Times New Roman"/>
                <w:bCs/>
                <w:sz w:val="18"/>
                <w:szCs w:val="18"/>
              </w:rPr>
            </w:pPr>
            <w:r w:rsidRPr="006B07F0">
              <w:rPr>
                <w:rFonts w:cs="Times New Roman" w:hint="eastAsia"/>
                <w:bCs/>
                <w:sz w:val="18"/>
                <w:szCs w:val="18"/>
              </w:rPr>
              <w:t>75.44%</w:t>
            </w:r>
          </w:p>
        </w:tc>
      </w:tr>
    </w:tbl>
    <w:bookmarkEnd w:id="7"/>
    <w:bookmarkEnd w:id="8"/>
    <w:p w:rsidR="001E2F08" w:rsidRPr="006B07F0" w:rsidRDefault="001E2F08" w:rsidP="001E2F08">
      <w:pPr>
        <w:spacing w:before="156" w:after="156" w:line="360" w:lineRule="auto"/>
        <w:ind w:firstLineChars="200" w:firstLine="420"/>
        <w:rPr>
          <w:rFonts w:cs="Times New Roman"/>
          <w:bCs/>
          <w:color w:val="000000"/>
          <w:sz w:val="21"/>
          <w:szCs w:val="21"/>
          <w:lang w:bidi="en-US"/>
        </w:rPr>
      </w:pPr>
      <w:r w:rsidRPr="006B07F0">
        <w:rPr>
          <w:rFonts w:cs="Times New Roman" w:hint="eastAsia"/>
          <w:bCs/>
          <w:color w:val="000000"/>
          <w:sz w:val="21"/>
          <w:szCs w:val="21"/>
          <w:lang w:bidi="en-US"/>
        </w:rPr>
        <w:lastRenderedPageBreak/>
        <w:t>截止</w:t>
      </w:r>
      <w:r w:rsidRPr="006B07F0">
        <w:rPr>
          <w:rFonts w:cs="Times New Roman" w:hint="eastAsia"/>
          <w:bCs/>
          <w:iCs/>
          <w:sz w:val="21"/>
          <w:szCs w:val="21"/>
          <w:lang w:bidi="en-US"/>
        </w:rPr>
        <w:t>2020年12月31日</w:t>
      </w:r>
      <w:r w:rsidRPr="006B07F0">
        <w:rPr>
          <w:rFonts w:cs="Times New Roman" w:hint="eastAsia"/>
          <w:bCs/>
          <w:color w:val="000000"/>
          <w:sz w:val="21"/>
          <w:szCs w:val="21"/>
          <w:lang w:bidi="en-US"/>
        </w:rPr>
        <w:t>，公司存在账龄一年以上应收账款未能收回的原因主要为：第一，公司客户主要为保利、绿地等大型房地产开发商，客户内部付款审批程序较长，同时可能会根据项目的开发进度和对资金的整体安排缓付上游供应商款项，因此行业普遍存在结算周期较长的情况；第二，近年来，随着房地产行业调控政策的深化，房地产行业融资渠道阶段性趋紧、监管趋严、融资成本有所上升，房地产企业加强了资金管控，公司作为房地产企业的设计服务供应商受此影响，销售回款进一步放缓；第三，</w:t>
      </w:r>
      <w:r w:rsidRPr="006B07F0">
        <w:rPr>
          <w:rFonts w:cs="Times New Roman"/>
          <w:bCs/>
          <w:color w:val="000000"/>
          <w:sz w:val="21"/>
          <w:szCs w:val="21"/>
          <w:lang w:bidi="en-US"/>
        </w:rPr>
        <w:t>2020</w:t>
      </w:r>
      <w:r w:rsidRPr="006B07F0">
        <w:rPr>
          <w:rFonts w:cs="Times New Roman" w:hint="eastAsia"/>
          <w:bCs/>
          <w:color w:val="000000"/>
          <w:sz w:val="21"/>
          <w:szCs w:val="21"/>
          <w:lang w:bidi="en-US"/>
        </w:rPr>
        <w:t>年，房地产行业受疫情冲击，生产经营受到一定影响，进一步使得其回款周期有所延长。</w:t>
      </w:r>
    </w:p>
    <w:p w:rsidR="001E2F08" w:rsidRPr="006B07F0" w:rsidRDefault="001E2F08" w:rsidP="001E2F08">
      <w:pPr>
        <w:pStyle w:val="ad"/>
        <w:spacing w:before="163" w:after="163"/>
        <w:ind w:firstLine="422"/>
        <w:rPr>
          <w:rFonts w:ascii="宋体" w:eastAsia="宋体" w:hAnsi="宋体"/>
          <w:bCs w:val="0"/>
          <w:sz w:val="21"/>
          <w:szCs w:val="21"/>
        </w:rPr>
      </w:pPr>
      <w:r w:rsidRPr="006B07F0">
        <w:rPr>
          <w:rFonts w:ascii="宋体" w:eastAsia="宋体" w:hAnsi="宋体" w:hint="eastAsia"/>
          <w:bCs w:val="0"/>
          <w:sz w:val="21"/>
          <w:szCs w:val="21"/>
        </w:rPr>
        <w:t>（四）结合上述事项，以及房地产调控政策、新增住宅开发面积等，对发行人面临的应收账款风险、主营业务风险进行有针对性的充分披露和揭示</w:t>
      </w:r>
    </w:p>
    <w:p w:rsidR="001E2F08" w:rsidRPr="006B07F0" w:rsidRDefault="001E2F08" w:rsidP="001E2F08">
      <w:pPr>
        <w:pStyle w:val="12"/>
        <w:spacing w:before="163" w:after="163"/>
        <w:ind w:firstLine="420"/>
        <w:rPr>
          <w:rFonts w:ascii="宋体" w:hAnsi="宋体" w:cs="Times New Roman"/>
          <w:bCs/>
          <w:sz w:val="21"/>
          <w:szCs w:val="21"/>
        </w:rPr>
      </w:pPr>
      <w:r w:rsidRPr="006B07F0">
        <w:rPr>
          <w:rFonts w:ascii="宋体" w:hAnsi="宋体" w:cs="Times New Roman"/>
          <w:bCs/>
          <w:sz w:val="21"/>
          <w:szCs w:val="21"/>
        </w:rPr>
        <w:t>1</w:t>
      </w:r>
      <w:r w:rsidRPr="006B07F0">
        <w:rPr>
          <w:rFonts w:ascii="宋体" w:hAnsi="宋体" w:cs="Times New Roman" w:hint="eastAsia"/>
          <w:bCs/>
          <w:sz w:val="21"/>
          <w:szCs w:val="21"/>
        </w:rPr>
        <w:t>、近年来房地产调控政策情况</w:t>
      </w:r>
    </w:p>
    <w:p w:rsidR="001E2F08" w:rsidRPr="006B07F0" w:rsidRDefault="001E2F08" w:rsidP="001E2F08">
      <w:pPr>
        <w:topLinePunct/>
        <w:adjustRightInd w:val="0"/>
        <w:snapToGrid w:val="0"/>
        <w:spacing w:beforeLines="50" w:before="163" w:line="360" w:lineRule="auto"/>
        <w:ind w:firstLineChars="200" w:firstLine="420"/>
        <w:rPr>
          <w:rFonts w:cs="Times New Roman"/>
          <w:bCs/>
          <w:sz w:val="21"/>
          <w:szCs w:val="21"/>
        </w:rPr>
      </w:pPr>
      <w:r w:rsidRPr="006B07F0">
        <w:rPr>
          <w:rFonts w:cs="Times New Roman" w:hint="eastAsia"/>
          <w:bCs/>
          <w:sz w:val="21"/>
          <w:szCs w:val="21"/>
        </w:rPr>
        <w:t>长期以来，我国政府针对房地产行业出台了一系列调控政策，在“不将房地产作为短期刺激经济的手段”的主基调指引下，各地坚持“房子是用来住的、不是用来炒的”这一定位，按照“稳地价、稳房价、稳预期”要求，保持调控政策连续性、稳定性和一致性，落实“因城施策”、差别调控的综合措施，完善房地产长效管理机制，市场预期进一步回归理性。</w:t>
      </w:r>
    </w:p>
    <w:p w:rsidR="001E2F08" w:rsidRPr="006B07F0" w:rsidRDefault="001E2F08" w:rsidP="001E2F08">
      <w:pPr>
        <w:topLinePunct/>
        <w:adjustRightInd w:val="0"/>
        <w:snapToGrid w:val="0"/>
        <w:spacing w:beforeLines="50" w:before="163" w:line="360" w:lineRule="auto"/>
        <w:ind w:firstLineChars="200" w:firstLine="420"/>
        <w:rPr>
          <w:rFonts w:cs="Times New Roman"/>
          <w:bCs/>
          <w:sz w:val="21"/>
          <w:szCs w:val="21"/>
        </w:rPr>
      </w:pPr>
      <w:r w:rsidRPr="006B07F0">
        <w:rPr>
          <w:rFonts w:cs="Times New Roman"/>
          <w:bCs/>
          <w:iCs/>
          <w:sz w:val="21"/>
          <w:szCs w:val="21"/>
          <w:lang w:bidi="en-US"/>
        </w:rPr>
        <w:t>2018</w:t>
      </w:r>
      <w:r w:rsidRPr="006B07F0">
        <w:rPr>
          <w:rFonts w:cs="Times New Roman" w:hint="eastAsia"/>
          <w:bCs/>
          <w:iCs/>
          <w:sz w:val="21"/>
          <w:szCs w:val="21"/>
          <w:lang w:bidi="en-US"/>
        </w:rPr>
        <w:t>年</w:t>
      </w:r>
      <w:r w:rsidRPr="006B07F0">
        <w:rPr>
          <w:rFonts w:cs="Times New Roman"/>
          <w:bCs/>
          <w:iCs/>
          <w:sz w:val="21"/>
          <w:szCs w:val="21"/>
          <w:lang w:bidi="en-US"/>
        </w:rPr>
        <w:t>4</w:t>
      </w:r>
      <w:r w:rsidRPr="006B07F0">
        <w:rPr>
          <w:rFonts w:cs="Times New Roman" w:hint="eastAsia"/>
          <w:bCs/>
          <w:iCs/>
          <w:sz w:val="21"/>
          <w:szCs w:val="21"/>
          <w:lang w:bidi="en-US"/>
        </w:rPr>
        <w:t>月央行、银保监会、证监会、外汇局联合发布《关于规范金融机构资产管理业务的指导意见》（“资管新规”），</w:t>
      </w:r>
      <w:r w:rsidRPr="006B07F0">
        <w:rPr>
          <w:rFonts w:cs="Times New Roman"/>
          <w:bCs/>
          <w:iCs/>
          <w:sz w:val="21"/>
          <w:szCs w:val="21"/>
          <w:lang w:bidi="en-US"/>
        </w:rPr>
        <w:t>2019</w:t>
      </w:r>
      <w:r w:rsidRPr="006B07F0">
        <w:rPr>
          <w:rFonts w:cs="Times New Roman" w:hint="eastAsia"/>
          <w:bCs/>
          <w:iCs/>
          <w:sz w:val="21"/>
          <w:szCs w:val="21"/>
          <w:lang w:bidi="en-US"/>
        </w:rPr>
        <w:t>年</w:t>
      </w:r>
      <w:r w:rsidRPr="006B07F0">
        <w:rPr>
          <w:rFonts w:cs="Times New Roman"/>
          <w:bCs/>
          <w:iCs/>
          <w:sz w:val="21"/>
          <w:szCs w:val="21"/>
          <w:lang w:bidi="en-US"/>
        </w:rPr>
        <w:t>5</w:t>
      </w:r>
      <w:r w:rsidRPr="006B07F0">
        <w:rPr>
          <w:rFonts w:cs="Times New Roman" w:hint="eastAsia"/>
          <w:bCs/>
          <w:iCs/>
          <w:sz w:val="21"/>
          <w:szCs w:val="21"/>
          <w:lang w:bidi="en-US"/>
        </w:rPr>
        <w:t>月银保监会发布《关于开展</w:t>
      </w:r>
      <w:r w:rsidRPr="006B07F0">
        <w:rPr>
          <w:rFonts w:cs="Times New Roman"/>
          <w:bCs/>
          <w:iCs/>
          <w:sz w:val="21"/>
          <w:szCs w:val="21"/>
          <w:lang w:bidi="en-US"/>
        </w:rPr>
        <w:t>“</w:t>
      </w:r>
      <w:r w:rsidRPr="006B07F0">
        <w:rPr>
          <w:rFonts w:cs="Times New Roman" w:hint="eastAsia"/>
          <w:bCs/>
          <w:iCs/>
          <w:sz w:val="21"/>
          <w:szCs w:val="21"/>
          <w:lang w:bidi="en-US"/>
        </w:rPr>
        <w:t>巩固治乱象成果</w:t>
      </w:r>
      <w:r w:rsidRPr="006B07F0">
        <w:rPr>
          <w:rFonts w:cs="Times New Roman"/>
          <w:bCs/>
          <w:iCs/>
          <w:sz w:val="21"/>
          <w:szCs w:val="21"/>
          <w:lang w:bidi="en-US"/>
        </w:rPr>
        <w:t xml:space="preserve"> </w:t>
      </w:r>
      <w:r w:rsidRPr="006B07F0">
        <w:rPr>
          <w:rFonts w:cs="Times New Roman" w:hint="eastAsia"/>
          <w:bCs/>
          <w:iCs/>
          <w:sz w:val="21"/>
          <w:szCs w:val="21"/>
          <w:lang w:bidi="en-US"/>
        </w:rPr>
        <w:t>促进合规建设</w:t>
      </w:r>
      <w:r w:rsidRPr="006B07F0">
        <w:rPr>
          <w:rFonts w:cs="Times New Roman"/>
          <w:bCs/>
          <w:iCs/>
          <w:sz w:val="21"/>
          <w:szCs w:val="21"/>
          <w:lang w:bidi="en-US"/>
        </w:rPr>
        <w:t>”</w:t>
      </w:r>
      <w:r w:rsidRPr="006B07F0">
        <w:rPr>
          <w:rFonts w:cs="Times New Roman" w:hint="eastAsia"/>
          <w:bCs/>
          <w:iCs/>
          <w:sz w:val="21"/>
          <w:szCs w:val="21"/>
          <w:lang w:bidi="en-US"/>
        </w:rPr>
        <w:t>工作的通知》（“</w:t>
      </w:r>
      <w:r w:rsidRPr="006B07F0">
        <w:rPr>
          <w:rFonts w:cs="Times New Roman"/>
          <w:bCs/>
          <w:iCs/>
          <w:sz w:val="21"/>
          <w:szCs w:val="21"/>
          <w:lang w:bidi="en-US"/>
        </w:rPr>
        <w:t>23</w:t>
      </w:r>
      <w:r w:rsidRPr="006B07F0">
        <w:rPr>
          <w:rFonts w:cs="Times New Roman" w:hint="eastAsia"/>
          <w:bCs/>
          <w:iCs/>
          <w:sz w:val="21"/>
          <w:szCs w:val="21"/>
          <w:lang w:bidi="en-US"/>
        </w:rPr>
        <w:t>号文”）等，上述政策从限制房地产企业融资规模、增加保障性住房和普通商品住房有效供给、抑制投资投机性购房需求、促进供应土地的及时开发利用等多个方面进行调控。同时，政府推出的限购、提高交易税费等短期调控政策，也直接影响了商品住宅的短期需求，一定程度上造成了房地产市场成交量的下降。</w:t>
      </w:r>
    </w:p>
    <w:p w:rsidR="001E2F08" w:rsidRPr="006B07F0" w:rsidRDefault="001E2F08" w:rsidP="001E2F08">
      <w:pPr>
        <w:topLinePunct/>
        <w:adjustRightInd w:val="0"/>
        <w:snapToGrid w:val="0"/>
        <w:spacing w:beforeLines="50" w:before="163" w:line="360" w:lineRule="auto"/>
        <w:ind w:firstLineChars="200" w:firstLine="420"/>
        <w:rPr>
          <w:rFonts w:cs="Times New Roman"/>
          <w:bCs/>
          <w:sz w:val="21"/>
          <w:szCs w:val="21"/>
        </w:rPr>
      </w:pPr>
      <w:r w:rsidRPr="006B07F0">
        <w:rPr>
          <w:rFonts w:cs="Times New Roman" w:hint="eastAsia"/>
          <w:bCs/>
          <w:sz w:val="21"/>
          <w:szCs w:val="21"/>
        </w:rPr>
        <w:t>同时，</w:t>
      </w:r>
      <w:r w:rsidRPr="006B07F0">
        <w:rPr>
          <w:rFonts w:cs="Times New Roman"/>
          <w:bCs/>
          <w:sz w:val="21"/>
          <w:szCs w:val="21"/>
        </w:rPr>
        <w:t>2020</w:t>
      </w:r>
      <w:r w:rsidRPr="006B07F0">
        <w:rPr>
          <w:rFonts w:cs="Times New Roman" w:hint="eastAsia"/>
          <w:bCs/>
          <w:sz w:val="21"/>
          <w:szCs w:val="21"/>
        </w:rPr>
        <w:t>年</w:t>
      </w:r>
      <w:r w:rsidRPr="006B07F0">
        <w:rPr>
          <w:rFonts w:cs="Times New Roman"/>
          <w:bCs/>
          <w:sz w:val="21"/>
          <w:szCs w:val="21"/>
        </w:rPr>
        <w:t>8</w:t>
      </w:r>
      <w:r w:rsidRPr="006B07F0">
        <w:rPr>
          <w:rFonts w:cs="Times New Roman" w:hint="eastAsia"/>
          <w:bCs/>
          <w:sz w:val="21"/>
          <w:szCs w:val="21"/>
        </w:rPr>
        <w:t>月，监管部门出台房地产融资新</w:t>
      </w:r>
      <w:proofErr w:type="gramStart"/>
      <w:r w:rsidRPr="006B07F0">
        <w:rPr>
          <w:rFonts w:cs="Times New Roman" w:hint="eastAsia"/>
          <w:bCs/>
          <w:sz w:val="21"/>
          <w:szCs w:val="21"/>
        </w:rPr>
        <w:t>规</w:t>
      </w:r>
      <w:proofErr w:type="gramEnd"/>
      <w:r w:rsidRPr="006B07F0">
        <w:rPr>
          <w:rFonts w:cs="Times New Roman" w:hint="eastAsia"/>
          <w:bCs/>
          <w:sz w:val="21"/>
          <w:szCs w:val="21"/>
        </w:rPr>
        <w:t>，设置</w:t>
      </w:r>
      <w:r w:rsidRPr="006B07F0">
        <w:rPr>
          <w:rFonts w:cs="Times New Roman"/>
          <w:bCs/>
          <w:sz w:val="21"/>
          <w:szCs w:val="21"/>
        </w:rPr>
        <w:t>“</w:t>
      </w:r>
      <w:r w:rsidRPr="006B07F0">
        <w:rPr>
          <w:rFonts w:cs="Times New Roman" w:hint="eastAsia"/>
          <w:bCs/>
          <w:sz w:val="21"/>
          <w:szCs w:val="21"/>
        </w:rPr>
        <w:t>三道红线</w:t>
      </w:r>
      <w:r w:rsidRPr="006B07F0">
        <w:rPr>
          <w:rFonts w:cs="Times New Roman"/>
          <w:bCs/>
          <w:sz w:val="21"/>
          <w:szCs w:val="21"/>
        </w:rPr>
        <w:t>”</w:t>
      </w:r>
      <w:r w:rsidRPr="006B07F0">
        <w:rPr>
          <w:rFonts w:cs="Times New Roman" w:hint="eastAsia"/>
          <w:bCs/>
          <w:sz w:val="21"/>
          <w:szCs w:val="21"/>
        </w:rPr>
        <w:t>控制房地产企业有息债务的增长，旨在保障地产行业的持续健康发展，通过</w:t>
      </w:r>
      <w:proofErr w:type="gramStart"/>
      <w:r w:rsidRPr="006B07F0">
        <w:rPr>
          <w:rFonts w:cs="Times New Roman" w:hint="eastAsia"/>
          <w:bCs/>
          <w:sz w:val="21"/>
          <w:szCs w:val="21"/>
        </w:rPr>
        <w:t>控制房企有息</w:t>
      </w:r>
      <w:proofErr w:type="gramEnd"/>
      <w:r w:rsidRPr="006B07F0">
        <w:rPr>
          <w:rFonts w:cs="Times New Roman" w:hint="eastAsia"/>
          <w:bCs/>
          <w:sz w:val="21"/>
          <w:szCs w:val="21"/>
        </w:rPr>
        <w:t>负债规模增长速度，对地产行业融资供给进行结构性调控。2020年12月31日，央行、银保监会公布《关于建立银行业金融机构房地产贷款集中度管理制度的通知》，分档设置房地产贷款余额占比和个人住房贷款余额占比两个上限，从资金供给端进一步限制。</w:t>
      </w:r>
    </w:p>
    <w:p w:rsidR="001E2F08" w:rsidRPr="006B07F0" w:rsidRDefault="001E2F08" w:rsidP="001E2F08">
      <w:pPr>
        <w:topLinePunct/>
        <w:adjustRightInd w:val="0"/>
        <w:snapToGrid w:val="0"/>
        <w:spacing w:beforeLines="50" w:before="163" w:line="360" w:lineRule="auto"/>
        <w:ind w:firstLineChars="200" w:firstLine="420"/>
        <w:rPr>
          <w:rFonts w:cs="Times New Roman"/>
          <w:bCs/>
          <w:sz w:val="21"/>
          <w:szCs w:val="21"/>
        </w:rPr>
      </w:pPr>
      <w:r w:rsidRPr="006B07F0">
        <w:rPr>
          <w:rFonts w:cs="Times New Roman"/>
          <w:bCs/>
          <w:sz w:val="21"/>
          <w:szCs w:val="21"/>
        </w:rPr>
        <w:t>2</w:t>
      </w:r>
      <w:r w:rsidRPr="006B07F0">
        <w:rPr>
          <w:rFonts w:cs="Times New Roman" w:hint="eastAsia"/>
          <w:bCs/>
          <w:sz w:val="21"/>
          <w:szCs w:val="21"/>
        </w:rPr>
        <w:t>、结合房地产开发投资额、新增住宅开发面积等，近年来房地产行业发展情况</w:t>
      </w:r>
    </w:p>
    <w:p w:rsidR="001E2F08" w:rsidRPr="006B07F0" w:rsidRDefault="001E2F08" w:rsidP="001E2F08">
      <w:pPr>
        <w:topLinePunct/>
        <w:adjustRightInd w:val="0"/>
        <w:snapToGrid w:val="0"/>
        <w:spacing w:beforeLines="50" w:before="163" w:line="360" w:lineRule="auto"/>
        <w:ind w:firstLineChars="200" w:firstLine="420"/>
        <w:rPr>
          <w:rFonts w:cs="Times New Roman"/>
          <w:bCs/>
          <w:sz w:val="21"/>
          <w:szCs w:val="21"/>
        </w:rPr>
      </w:pPr>
      <w:r w:rsidRPr="006B07F0">
        <w:rPr>
          <w:rFonts w:cs="Times New Roman" w:hint="eastAsia"/>
          <w:bCs/>
          <w:sz w:val="21"/>
          <w:szCs w:val="21"/>
        </w:rPr>
        <w:t>近年来，房地产行业在国家调控政策的引导下保持了健康稳定的发展。</w:t>
      </w:r>
      <w:r w:rsidRPr="006B07F0">
        <w:rPr>
          <w:rFonts w:cs="Times New Roman"/>
          <w:bCs/>
          <w:sz w:val="21"/>
          <w:szCs w:val="21"/>
        </w:rPr>
        <w:t>2017</w:t>
      </w:r>
      <w:r w:rsidRPr="006B07F0">
        <w:rPr>
          <w:rFonts w:cs="Times New Roman" w:hint="eastAsia"/>
          <w:bCs/>
          <w:sz w:val="21"/>
          <w:szCs w:val="21"/>
        </w:rPr>
        <w:t>年至</w:t>
      </w:r>
      <w:r w:rsidRPr="006B07F0">
        <w:rPr>
          <w:rFonts w:cs="Times New Roman"/>
          <w:bCs/>
          <w:sz w:val="21"/>
          <w:szCs w:val="21"/>
        </w:rPr>
        <w:t>2019</w:t>
      </w:r>
      <w:r w:rsidRPr="006B07F0">
        <w:rPr>
          <w:rFonts w:cs="Times New Roman" w:hint="eastAsia"/>
          <w:bCs/>
          <w:sz w:val="21"/>
          <w:szCs w:val="21"/>
        </w:rPr>
        <w:t>年，全国房地产开发投资额分别为</w:t>
      </w:r>
      <w:r w:rsidRPr="006B07F0">
        <w:rPr>
          <w:rFonts w:cs="Times New Roman"/>
          <w:bCs/>
          <w:sz w:val="21"/>
          <w:szCs w:val="21"/>
        </w:rPr>
        <w:t>109,798.53</w:t>
      </w:r>
      <w:r w:rsidRPr="006B07F0">
        <w:rPr>
          <w:rFonts w:cs="Times New Roman" w:hint="eastAsia"/>
          <w:bCs/>
          <w:sz w:val="21"/>
          <w:szCs w:val="21"/>
        </w:rPr>
        <w:t>亿元、</w:t>
      </w:r>
      <w:r w:rsidRPr="006B07F0">
        <w:rPr>
          <w:rFonts w:cs="Times New Roman"/>
          <w:bCs/>
          <w:sz w:val="21"/>
          <w:szCs w:val="21"/>
        </w:rPr>
        <w:t>120,263.51</w:t>
      </w:r>
      <w:r w:rsidRPr="006B07F0">
        <w:rPr>
          <w:rFonts w:cs="Times New Roman" w:hint="eastAsia"/>
          <w:bCs/>
          <w:sz w:val="21"/>
          <w:szCs w:val="21"/>
        </w:rPr>
        <w:t>亿元和</w:t>
      </w:r>
      <w:r w:rsidRPr="006B07F0">
        <w:rPr>
          <w:rFonts w:cs="Times New Roman"/>
          <w:bCs/>
          <w:sz w:val="21"/>
          <w:szCs w:val="21"/>
        </w:rPr>
        <w:t>132,194.00</w:t>
      </w:r>
      <w:r w:rsidRPr="006B07F0">
        <w:rPr>
          <w:rFonts w:cs="Times New Roman" w:hint="eastAsia"/>
          <w:bCs/>
          <w:sz w:val="21"/>
          <w:szCs w:val="21"/>
        </w:rPr>
        <w:t>亿元，</w:t>
      </w:r>
      <w:r w:rsidRPr="006B07F0">
        <w:rPr>
          <w:rFonts w:cs="Times New Roman" w:hint="eastAsia"/>
          <w:bCs/>
          <w:sz w:val="21"/>
          <w:szCs w:val="21"/>
        </w:rPr>
        <w:lastRenderedPageBreak/>
        <w:t>同比增长分别为</w:t>
      </w:r>
      <w:r w:rsidRPr="006B07F0">
        <w:rPr>
          <w:rFonts w:cs="Times New Roman"/>
          <w:bCs/>
          <w:sz w:val="21"/>
          <w:szCs w:val="21"/>
        </w:rPr>
        <w:t>7.04%</w:t>
      </w:r>
      <w:r w:rsidRPr="006B07F0">
        <w:rPr>
          <w:rFonts w:cs="Times New Roman" w:hint="eastAsia"/>
          <w:bCs/>
          <w:sz w:val="21"/>
          <w:szCs w:val="21"/>
        </w:rPr>
        <w:t>、</w:t>
      </w:r>
      <w:r w:rsidRPr="006B07F0">
        <w:rPr>
          <w:rFonts w:cs="Times New Roman"/>
          <w:bCs/>
          <w:sz w:val="21"/>
          <w:szCs w:val="21"/>
        </w:rPr>
        <w:t>9.53%</w:t>
      </w:r>
      <w:r w:rsidRPr="006B07F0">
        <w:rPr>
          <w:rFonts w:cs="Times New Roman" w:hint="eastAsia"/>
          <w:bCs/>
          <w:sz w:val="21"/>
          <w:szCs w:val="21"/>
        </w:rPr>
        <w:t>和</w:t>
      </w:r>
      <w:r w:rsidRPr="006B07F0">
        <w:rPr>
          <w:rFonts w:cs="Times New Roman"/>
          <w:bCs/>
          <w:sz w:val="21"/>
          <w:szCs w:val="21"/>
        </w:rPr>
        <w:t>9.92%</w:t>
      </w:r>
      <w:r w:rsidRPr="006B07F0">
        <w:rPr>
          <w:rFonts w:cs="Times New Roman" w:hint="eastAsia"/>
          <w:bCs/>
          <w:sz w:val="21"/>
          <w:szCs w:val="21"/>
        </w:rPr>
        <w:t>；其中，住宅投资额分别为</w:t>
      </w:r>
      <w:r w:rsidRPr="006B07F0">
        <w:rPr>
          <w:rFonts w:cs="Times New Roman"/>
          <w:bCs/>
          <w:sz w:val="21"/>
          <w:szCs w:val="21"/>
        </w:rPr>
        <w:t>75,147.88</w:t>
      </w:r>
      <w:r w:rsidRPr="006B07F0">
        <w:rPr>
          <w:rFonts w:cs="Times New Roman" w:hint="eastAsia"/>
          <w:bCs/>
          <w:sz w:val="21"/>
          <w:szCs w:val="21"/>
        </w:rPr>
        <w:t>亿元、</w:t>
      </w:r>
      <w:r w:rsidRPr="006B07F0">
        <w:rPr>
          <w:rFonts w:cs="Times New Roman"/>
          <w:bCs/>
          <w:sz w:val="21"/>
          <w:szCs w:val="21"/>
        </w:rPr>
        <w:t>85,192.25</w:t>
      </w:r>
      <w:r w:rsidRPr="006B07F0">
        <w:rPr>
          <w:rFonts w:cs="Times New Roman" w:hint="eastAsia"/>
          <w:bCs/>
          <w:sz w:val="21"/>
          <w:szCs w:val="21"/>
        </w:rPr>
        <w:t>亿元和</w:t>
      </w:r>
      <w:r w:rsidRPr="006B07F0">
        <w:rPr>
          <w:rFonts w:cs="Times New Roman"/>
          <w:bCs/>
          <w:sz w:val="21"/>
          <w:szCs w:val="21"/>
        </w:rPr>
        <w:t>97,071.00</w:t>
      </w:r>
      <w:r w:rsidRPr="006B07F0">
        <w:rPr>
          <w:rFonts w:cs="Times New Roman" w:hint="eastAsia"/>
          <w:bCs/>
          <w:sz w:val="21"/>
          <w:szCs w:val="21"/>
        </w:rPr>
        <w:t>亿元，同比增长分别为</w:t>
      </w:r>
      <w:r w:rsidRPr="006B07F0">
        <w:rPr>
          <w:rFonts w:cs="Times New Roman"/>
          <w:bCs/>
          <w:sz w:val="21"/>
          <w:szCs w:val="21"/>
        </w:rPr>
        <w:t>9.38%</w:t>
      </w:r>
      <w:r w:rsidRPr="006B07F0">
        <w:rPr>
          <w:rFonts w:cs="Times New Roman" w:hint="eastAsia"/>
          <w:bCs/>
          <w:sz w:val="21"/>
          <w:szCs w:val="21"/>
        </w:rPr>
        <w:t>、</w:t>
      </w:r>
      <w:r w:rsidRPr="006B07F0">
        <w:rPr>
          <w:rFonts w:cs="Times New Roman"/>
          <w:bCs/>
          <w:sz w:val="21"/>
          <w:szCs w:val="21"/>
        </w:rPr>
        <w:t>13.37%</w:t>
      </w:r>
      <w:r w:rsidRPr="006B07F0">
        <w:rPr>
          <w:rFonts w:cs="Times New Roman" w:hint="eastAsia"/>
          <w:bCs/>
          <w:sz w:val="21"/>
          <w:szCs w:val="21"/>
        </w:rPr>
        <w:t>和</w:t>
      </w:r>
      <w:r w:rsidRPr="006B07F0">
        <w:rPr>
          <w:rFonts w:cs="Times New Roman"/>
          <w:bCs/>
          <w:sz w:val="21"/>
          <w:szCs w:val="21"/>
        </w:rPr>
        <w:t>13.94%</w:t>
      </w:r>
      <w:r w:rsidRPr="006B07F0">
        <w:rPr>
          <w:rFonts w:cs="Times New Roman" w:hint="eastAsia"/>
          <w:bCs/>
          <w:sz w:val="21"/>
          <w:szCs w:val="21"/>
        </w:rPr>
        <w:t>，全国房地产开发投资与住宅地产开发整体呈现稳定增长态势。</w:t>
      </w:r>
      <w:r w:rsidRPr="006B07F0">
        <w:rPr>
          <w:rFonts w:hint="eastAsia"/>
          <w:bCs/>
          <w:iCs/>
          <w:sz w:val="21"/>
          <w:szCs w:val="21"/>
          <w:lang w:bidi="en-US"/>
        </w:rPr>
        <w:t>2020年，全国房地产开发投资额为141,443亿元，同比增长7.0%；其中，住宅投资额为104,446亿元，同比增长7.6%，住宅投资占房地产开发投资的比重为73.84%。</w:t>
      </w:r>
      <w:r w:rsidRPr="006B07F0">
        <w:rPr>
          <w:rFonts w:cs="Times New Roman"/>
          <w:bCs/>
          <w:sz w:val="21"/>
          <w:szCs w:val="21"/>
        </w:rPr>
        <w:t>2017</w:t>
      </w:r>
      <w:r w:rsidRPr="006B07F0">
        <w:rPr>
          <w:rFonts w:cs="Times New Roman" w:hint="eastAsia"/>
          <w:bCs/>
          <w:sz w:val="21"/>
          <w:szCs w:val="21"/>
        </w:rPr>
        <w:t>年至</w:t>
      </w:r>
      <w:r w:rsidRPr="006B07F0">
        <w:rPr>
          <w:rFonts w:cs="Times New Roman"/>
          <w:bCs/>
          <w:sz w:val="21"/>
          <w:szCs w:val="21"/>
        </w:rPr>
        <w:t>2019</w:t>
      </w:r>
      <w:r w:rsidRPr="006B07F0">
        <w:rPr>
          <w:rFonts w:cs="Times New Roman" w:hint="eastAsia"/>
          <w:bCs/>
          <w:sz w:val="21"/>
          <w:szCs w:val="21"/>
        </w:rPr>
        <w:t>年，我国住宅新开工面积分别为</w:t>
      </w:r>
      <w:r w:rsidRPr="006B07F0">
        <w:rPr>
          <w:rFonts w:cs="Times New Roman"/>
          <w:bCs/>
          <w:sz w:val="21"/>
          <w:szCs w:val="21"/>
        </w:rPr>
        <w:t>128,098</w:t>
      </w:r>
      <w:r w:rsidRPr="006B07F0">
        <w:rPr>
          <w:rFonts w:cs="Times New Roman" w:hint="eastAsia"/>
          <w:bCs/>
          <w:sz w:val="21"/>
          <w:szCs w:val="21"/>
        </w:rPr>
        <w:t>万平方米、</w:t>
      </w:r>
      <w:r w:rsidRPr="006B07F0">
        <w:rPr>
          <w:rFonts w:cs="Times New Roman"/>
          <w:bCs/>
          <w:sz w:val="21"/>
          <w:szCs w:val="21"/>
        </w:rPr>
        <w:t>153,353</w:t>
      </w:r>
      <w:r w:rsidRPr="006B07F0">
        <w:rPr>
          <w:rFonts w:cs="Times New Roman" w:hint="eastAsia"/>
          <w:bCs/>
          <w:sz w:val="21"/>
          <w:szCs w:val="21"/>
        </w:rPr>
        <w:t>万平方米及</w:t>
      </w:r>
      <w:r w:rsidRPr="006B07F0">
        <w:rPr>
          <w:rFonts w:cs="Times New Roman"/>
          <w:bCs/>
          <w:sz w:val="21"/>
          <w:szCs w:val="21"/>
        </w:rPr>
        <w:t>167,463</w:t>
      </w:r>
      <w:r w:rsidRPr="006B07F0">
        <w:rPr>
          <w:rFonts w:cs="Times New Roman" w:hint="eastAsia"/>
          <w:bCs/>
          <w:sz w:val="21"/>
          <w:szCs w:val="21"/>
        </w:rPr>
        <w:t>万平方米，</w:t>
      </w:r>
      <w:r w:rsidRPr="006B07F0">
        <w:rPr>
          <w:rFonts w:cs="Times New Roman"/>
          <w:bCs/>
          <w:sz w:val="21"/>
          <w:szCs w:val="21"/>
        </w:rPr>
        <w:t>2018</w:t>
      </w:r>
      <w:r w:rsidRPr="006B07F0">
        <w:rPr>
          <w:rFonts w:cs="Times New Roman" w:hint="eastAsia"/>
          <w:bCs/>
          <w:sz w:val="21"/>
          <w:szCs w:val="21"/>
        </w:rPr>
        <w:t>年、</w:t>
      </w:r>
      <w:r w:rsidRPr="006B07F0">
        <w:rPr>
          <w:rFonts w:cs="Times New Roman"/>
          <w:bCs/>
          <w:sz w:val="21"/>
          <w:szCs w:val="21"/>
        </w:rPr>
        <w:t>2019</w:t>
      </w:r>
      <w:r w:rsidRPr="006B07F0">
        <w:rPr>
          <w:rFonts w:cs="Times New Roman" w:hint="eastAsia"/>
          <w:bCs/>
          <w:sz w:val="21"/>
          <w:szCs w:val="21"/>
        </w:rPr>
        <w:t>年分别较上年增长</w:t>
      </w:r>
      <w:r w:rsidRPr="006B07F0">
        <w:rPr>
          <w:rFonts w:cs="Times New Roman"/>
          <w:bCs/>
          <w:sz w:val="21"/>
          <w:szCs w:val="21"/>
        </w:rPr>
        <w:t>19.72%</w:t>
      </w:r>
      <w:r w:rsidRPr="006B07F0">
        <w:rPr>
          <w:rFonts w:cs="Times New Roman" w:hint="eastAsia"/>
          <w:bCs/>
          <w:sz w:val="21"/>
          <w:szCs w:val="21"/>
        </w:rPr>
        <w:t>和</w:t>
      </w:r>
      <w:r w:rsidRPr="006B07F0">
        <w:rPr>
          <w:rFonts w:cs="Times New Roman"/>
          <w:bCs/>
          <w:sz w:val="21"/>
          <w:szCs w:val="21"/>
        </w:rPr>
        <w:t>9.20%</w:t>
      </w:r>
      <w:r w:rsidRPr="006B07F0">
        <w:rPr>
          <w:rFonts w:cs="Times New Roman" w:hint="eastAsia"/>
          <w:bCs/>
          <w:sz w:val="21"/>
          <w:szCs w:val="21"/>
        </w:rPr>
        <w:t>。在下游市场持续稳定增长的良好环境下，报告期内公司</w:t>
      </w:r>
      <w:r w:rsidRPr="006B07F0">
        <w:rPr>
          <w:rFonts w:cs="Times New Roman" w:hint="eastAsia"/>
          <w:bCs/>
          <w:iCs/>
          <w:sz w:val="21"/>
          <w:szCs w:val="21"/>
          <w:lang w:bidi="en-US"/>
        </w:rPr>
        <w:t>建筑设计业务收入</w:t>
      </w:r>
      <w:proofErr w:type="gramStart"/>
      <w:r w:rsidRPr="006B07F0">
        <w:rPr>
          <w:rFonts w:cs="Times New Roman" w:hint="eastAsia"/>
          <w:bCs/>
          <w:sz w:val="21"/>
          <w:szCs w:val="21"/>
        </w:rPr>
        <w:t>亦实现</w:t>
      </w:r>
      <w:proofErr w:type="gramEnd"/>
      <w:r w:rsidRPr="006B07F0">
        <w:rPr>
          <w:rFonts w:cs="Times New Roman" w:hint="eastAsia"/>
          <w:bCs/>
          <w:sz w:val="21"/>
          <w:szCs w:val="21"/>
        </w:rPr>
        <w:t>了持续的同步增长。</w:t>
      </w:r>
    </w:p>
    <w:p w:rsidR="001E2F08" w:rsidRPr="006B07F0" w:rsidRDefault="001E2F08" w:rsidP="001E2F08">
      <w:pPr>
        <w:topLinePunct/>
        <w:adjustRightInd w:val="0"/>
        <w:snapToGrid w:val="0"/>
        <w:spacing w:beforeLines="50" w:before="163" w:line="360" w:lineRule="auto"/>
        <w:ind w:firstLineChars="200" w:firstLine="420"/>
        <w:rPr>
          <w:rFonts w:cs="Times New Roman"/>
          <w:bCs/>
          <w:sz w:val="21"/>
          <w:szCs w:val="21"/>
        </w:rPr>
      </w:pPr>
      <w:r w:rsidRPr="006B07F0">
        <w:rPr>
          <w:rFonts w:cs="Times New Roman"/>
          <w:bCs/>
          <w:sz w:val="21"/>
          <w:szCs w:val="21"/>
        </w:rPr>
        <w:t>2020</w:t>
      </w:r>
      <w:r w:rsidRPr="006B07F0">
        <w:rPr>
          <w:rFonts w:cs="Times New Roman" w:hint="eastAsia"/>
          <w:bCs/>
          <w:sz w:val="21"/>
          <w:szCs w:val="21"/>
        </w:rPr>
        <w:t>年前三季度，我国住宅新开工面积共计</w:t>
      </w:r>
      <w:r w:rsidRPr="006B07F0">
        <w:rPr>
          <w:rFonts w:cs="Times New Roman"/>
          <w:bCs/>
          <w:sz w:val="21"/>
          <w:szCs w:val="21"/>
        </w:rPr>
        <w:t>117,193</w:t>
      </w:r>
      <w:r w:rsidRPr="006B07F0">
        <w:rPr>
          <w:rFonts w:cs="Times New Roman" w:hint="eastAsia"/>
          <w:bCs/>
          <w:sz w:val="21"/>
          <w:szCs w:val="21"/>
        </w:rPr>
        <w:t>万平方米，较</w:t>
      </w:r>
      <w:r w:rsidRPr="006B07F0">
        <w:rPr>
          <w:rFonts w:cs="Times New Roman"/>
          <w:bCs/>
          <w:sz w:val="21"/>
          <w:szCs w:val="21"/>
        </w:rPr>
        <w:t>2019</w:t>
      </w:r>
      <w:r w:rsidRPr="006B07F0">
        <w:rPr>
          <w:rFonts w:cs="Times New Roman" w:hint="eastAsia"/>
          <w:bCs/>
          <w:sz w:val="21"/>
          <w:szCs w:val="21"/>
        </w:rPr>
        <w:t>年前三季度下降</w:t>
      </w:r>
      <w:r w:rsidRPr="006B07F0">
        <w:rPr>
          <w:rFonts w:cs="Times New Roman"/>
          <w:bCs/>
          <w:sz w:val="21"/>
          <w:szCs w:val="21"/>
        </w:rPr>
        <w:t>4.18%</w:t>
      </w:r>
      <w:r w:rsidRPr="006B07F0">
        <w:rPr>
          <w:rFonts w:cs="Times New Roman" w:hint="eastAsia"/>
          <w:bCs/>
          <w:sz w:val="21"/>
          <w:szCs w:val="21"/>
        </w:rPr>
        <w:t>。其中，受新冠疫情影响，</w:t>
      </w:r>
      <w:r w:rsidRPr="006B07F0">
        <w:rPr>
          <w:rFonts w:cs="Times New Roman"/>
          <w:bCs/>
          <w:sz w:val="21"/>
          <w:szCs w:val="21"/>
        </w:rPr>
        <w:t>2020</w:t>
      </w:r>
      <w:r w:rsidRPr="006B07F0">
        <w:rPr>
          <w:rFonts w:cs="Times New Roman" w:hint="eastAsia"/>
          <w:bCs/>
          <w:sz w:val="21"/>
          <w:szCs w:val="21"/>
        </w:rPr>
        <w:t>年第一季度住宅新开工面积</w:t>
      </w:r>
      <w:r w:rsidRPr="006B07F0">
        <w:rPr>
          <w:rFonts w:cs="Times New Roman"/>
          <w:bCs/>
          <w:sz w:val="21"/>
          <w:szCs w:val="21"/>
        </w:rPr>
        <w:t>20,799</w:t>
      </w:r>
      <w:r w:rsidRPr="006B07F0">
        <w:rPr>
          <w:rFonts w:cs="Times New Roman" w:hint="eastAsia"/>
          <w:bCs/>
          <w:sz w:val="21"/>
          <w:szCs w:val="21"/>
        </w:rPr>
        <w:t>万平方米，较</w:t>
      </w:r>
      <w:r w:rsidRPr="006B07F0">
        <w:rPr>
          <w:rFonts w:cs="Times New Roman"/>
          <w:bCs/>
          <w:sz w:val="21"/>
          <w:szCs w:val="21"/>
        </w:rPr>
        <w:t>2019</w:t>
      </w:r>
      <w:r w:rsidRPr="006B07F0">
        <w:rPr>
          <w:rFonts w:cs="Times New Roman" w:hint="eastAsia"/>
          <w:bCs/>
          <w:sz w:val="21"/>
          <w:szCs w:val="21"/>
        </w:rPr>
        <w:t>年同期下降</w:t>
      </w:r>
      <w:r w:rsidRPr="006B07F0">
        <w:rPr>
          <w:rFonts w:cs="Times New Roman"/>
          <w:bCs/>
          <w:sz w:val="21"/>
          <w:szCs w:val="21"/>
        </w:rPr>
        <w:t>26.94%</w:t>
      </w:r>
      <w:r w:rsidRPr="006B07F0">
        <w:rPr>
          <w:rFonts w:cs="Times New Roman" w:hint="eastAsia"/>
          <w:bCs/>
          <w:sz w:val="21"/>
          <w:szCs w:val="21"/>
        </w:rPr>
        <w:t>。随着国内普遍复产复工，第二季度及第三季度住宅新开工面积分别为</w:t>
      </w:r>
      <w:r w:rsidRPr="006B07F0">
        <w:rPr>
          <w:rFonts w:cs="Times New Roman"/>
          <w:bCs/>
          <w:sz w:val="21"/>
          <w:szCs w:val="21"/>
        </w:rPr>
        <w:t>50,784</w:t>
      </w:r>
      <w:r w:rsidRPr="006B07F0">
        <w:rPr>
          <w:rFonts w:cs="Times New Roman" w:hint="eastAsia"/>
          <w:bCs/>
          <w:sz w:val="21"/>
          <w:szCs w:val="21"/>
        </w:rPr>
        <w:t>万平方米及</w:t>
      </w:r>
      <w:r w:rsidRPr="006B07F0">
        <w:rPr>
          <w:rFonts w:cs="Times New Roman"/>
          <w:bCs/>
          <w:sz w:val="21"/>
          <w:szCs w:val="21"/>
        </w:rPr>
        <w:t>45,610</w:t>
      </w:r>
      <w:r w:rsidRPr="006B07F0">
        <w:rPr>
          <w:rFonts w:cs="Times New Roman" w:hint="eastAsia"/>
          <w:bCs/>
          <w:sz w:val="21"/>
          <w:szCs w:val="21"/>
        </w:rPr>
        <w:t>万平方米，较</w:t>
      </w:r>
      <w:r w:rsidRPr="006B07F0">
        <w:rPr>
          <w:rFonts w:cs="Times New Roman"/>
          <w:bCs/>
          <w:sz w:val="21"/>
          <w:szCs w:val="21"/>
        </w:rPr>
        <w:t>2019</w:t>
      </w:r>
      <w:r w:rsidRPr="006B07F0">
        <w:rPr>
          <w:rFonts w:cs="Times New Roman" w:hint="eastAsia"/>
          <w:bCs/>
          <w:sz w:val="21"/>
          <w:szCs w:val="21"/>
        </w:rPr>
        <w:t>年同期分别增长</w:t>
      </w:r>
      <w:r w:rsidRPr="006B07F0">
        <w:rPr>
          <w:rFonts w:cs="Times New Roman"/>
          <w:bCs/>
          <w:sz w:val="21"/>
          <w:szCs w:val="21"/>
        </w:rPr>
        <w:t>2.53%</w:t>
      </w:r>
      <w:r w:rsidRPr="006B07F0">
        <w:rPr>
          <w:rFonts w:cs="Times New Roman" w:hint="eastAsia"/>
          <w:bCs/>
          <w:sz w:val="21"/>
          <w:szCs w:val="21"/>
        </w:rPr>
        <w:t>及</w:t>
      </w:r>
      <w:r w:rsidRPr="006B07F0">
        <w:rPr>
          <w:rFonts w:cs="Times New Roman"/>
          <w:bCs/>
          <w:sz w:val="21"/>
          <w:szCs w:val="21"/>
        </w:rPr>
        <w:t>2.93%</w:t>
      </w:r>
      <w:r w:rsidRPr="006B07F0">
        <w:rPr>
          <w:rFonts w:cs="Times New Roman" w:hint="eastAsia"/>
          <w:bCs/>
          <w:sz w:val="21"/>
          <w:szCs w:val="21"/>
        </w:rPr>
        <w:t>，基本恢复正常增长水平。</w:t>
      </w:r>
    </w:p>
    <w:p w:rsidR="001E2F08" w:rsidRPr="006B07F0" w:rsidRDefault="001E2F08" w:rsidP="001E2F08">
      <w:pPr>
        <w:pStyle w:val="12"/>
        <w:spacing w:before="163" w:after="163"/>
        <w:ind w:firstLine="420"/>
        <w:rPr>
          <w:rFonts w:ascii="宋体" w:hAnsi="宋体" w:cs="Times New Roman"/>
          <w:bCs/>
          <w:sz w:val="21"/>
          <w:szCs w:val="21"/>
        </w:rPr>
      </w:pPr>
      <w:r w:rsidRPr="006B07F0">
        <w:rPr>
          <w:rFonts w:ascii="宋体" w:hAnsi="宋体" w:cs="Times New Roman"/>
          <w:bCs/>
          <w:sz w:val="21"/>
          <w:szCs w:val="21"/>
        </w:rPr>
        <w:t>3</w:t>
      </w:r>
      <w:r w:rsidRPr="006B07F0">
        <w:rPr>
          <w:rFonts w:ascii="宋体" w:hAnsi="宋体" w:cs="Times New Roman" w:hint="eastAsia"/>
          <w:bCs/>
          <w:sz w:val="21"/>
          <w:szCs w:val="21"/>
        </w:rPr>
        <w:t>、结合上述事项，以及房地产调控政策、新增住宅开发面积等，对发行人面临的应收账款风险、主营业务风险进行有针对性的充分披露和揭示</w:t>
      </w:r>
    </w:p>
    <w:p w:rsidR="001E2F08" w:rsidRPr="006B07F0" w:rsidRDefault="001E2F08" w:rsidP="001E2F08">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6B07F0">
        <w:rPr>
          <w:rFonts w:cs="Times New Roman" w:hint="eastAsia"/>
          <w:bCs/>
          <w:iCs/>
          <w:sz w:val="21"/>
          <w:szCs w:val="21"/>
          <w:lang w:bidi="en-US"/>
        </w:rPr>
        <w:t>报告期内，公司应收账款账面价值分别为</w:t>
      </w:r>
      <w:r w:rsidRPr="006B07F0">
        <w:rPr>
          <w:rFonts w:cs="Times New Roman"/>
          <w:bCs/>
          <w:iCs/>
          <w:sz w:val="21"/>
          <w:szCs w:val="21"/>
          <w:lang w:bidi="en-US"/>
        </w:rPr>
        <w:t>9,217.23</w:t>
      </w:r>
      <w:r w:rsidRPr="006B07F0">
        <w:rPr>
          <w:rFonts w:cs="Times New Roman" w:hint="eastAsia"/>
          <w:bCs/>
          <w:iCs/>
          <w:sz w:val="21"/>
          <w:szCs w:val="21"/>
          <w:lang w:bidi="en-US"/>
        </w:rPr>
        <w:t>万元、</w:t>
      </w:r>
      <w:r w:rsidRPr="006B07F0">
        <w:rPr>
          <w:rFonts w:cs="Times New Roman"/>
          <w:bCs/>
          <w:iCs/>
          <w:sz w:val="21"/>
          <w:szCs w:val="21"/>
          <w:lang w:bidi="en-US"/>
        </w:rPr>
        <w:t>19,941.49</w:t>
      </w:r>
      <w:r w:rsidRPr="006B07F0">
        <w:rPr>
          <w:rFonts w:cs="Times New Roman" w:hint="eastAsia"/>
          <w:bCs/>
          <w:iCs/>
          <w:sz w:val="21"/>
          <w:szCs w:val="21"/>
          <w:lang w:bidi="en-US"/>
        </w:rPr>
        <w:t>万元和29,903.53万元，占同期营业收入的比例分别为</w:t>
      </w:r>
      <w:r w:rsidRPr="006B07F0">
        <w:rPr>
          <w:rFonts w:cs="Times New Roman"/>
          <w:bCs/>
          <w:iCs/>
          <w:sz w:val="21"/>
          <w:szCs w:val="21"/>
          <w:lang w:bidi="en-US"/>
        </w:rPr>
        <w:t>38.17%</w:t>
      </w:r>
      <w:r w:rsidRPr="006B07F0">
        <w:rPr>
          <w:rFonts w:cs="Times New Roman" w:hint="eastAsia"/>
          <w:bCs/>
          <w:iCs/>
          <w:sz w:val="21"/>
          <w:szCs w:val="21"/>
          <w:lang w:bidi="en-US"/>
        </w:rPr>
        <w:t>、</w:t>
      </w:r>
      <w:r w:rsidRPr="006B07F0">
        <w:rPr>
          <w:rFonts w:cs="Times New Roman"/>
          <w:bCs/>
          <w:iCs/>
          <w:sz w:val="21"/>
          <w:szCs w:val="21"/>
          <w:lang w:bidi="en-US"/>
        </w:rPr>
        <w:t>74.79%</w:t>
      </w:r>
      <w:r w:rsidRPr="006B07F0">
        <w:rPr>
          <w:rFonts w:cs="Times New Roman" w:hint="eastAsia"/>
          <w:bCs/>
          <w:iCs/>
          <w:sz w:val="21"/>
          <w:szCs w:val="21"/>
          <w:lang w:bidi="en-US"/>
        </w:rPr>
        <w:t>和93.98%。一方面，随着公司业务规模的增加，应收账款余额增幅较快，</w:t>
      </w:r>
      <w:r w:rsidRPr="006B07F0">
        <w:rPr>
          <w:rFonts w:cs="Times New Roman"/>
          <w:bCs/>
          <w:iCs/>
          <w:sz w:val="21"/>
          <w:szCs w:val="21"/>
          <w:lang w:bidi="en-US"/>
        </w:rPr>
        <w:t>2018</w:t>
      </w:r>
      <w:r w:rsidRPr="006B07F0">
        <w:rPr>
          <w:rFonts w:cs="Times New Roman" w:hint="eastAsia"/>
          <w:bCs/>
          <w:iCs/>
          <w:sz w:val="21"/>
          <w:szCs w:val="21"/>
          <w:lang w:bidi="en-US"/>
        </w:rPr>
        <w:t>年、</w:t>
      </w:r>
      <w:r w:rsidRPr="006B07F0">
        <w:rPr>
          <w:rFonts w:cs="Times New Roman"/>
          <w:bCs/>
          <w:iCs/>
          <w:sz w:val="21"/>
          <w:szCs w:val="21"/>
          <w:lang w:bidi="en-US"/>
        </w:rPr>
        <w:t>2019</w:t>
      </w:r>
      <w:r w:rsidRPr="006B07F0">
        <w:rPr>
          <w:rFonts w:cs="Times New Roman" w:hint="eastAsia"/>
          <w:bCs/>
          <w:iCs/>
          <w:sz w:val="21"/>
          <w:szCs w:val="21"/>
          <w:lang w:bidi="en-US"/>
        </w:rPr>
        <w:t>年、2020年，应收账款账面价值增幅同比分别达到</w:t>
      </w:r>
      <w:r w:rsidRPr="006B07F0">
        <w:rPr>
          <w:rFonts w:cs="Times New Roman"/>
          <w:bCs/>
          <w:iCs/>
          <w:sz w:val="21"/>
          <w:szCs w:val="21"/>
          <w:lang w:bidi="en-US"/>
        </w:rPr>
        <w:t>184.67%</w:t>
      </w:r>
      <w:r w:rsidRPr="006B07F0">
        <w:rPr>
          <w:rFonts w:cs="Times New Roman" w:hint="eastAsia"/>
          <w:bCs/>
          <w:iCs/>
          <w:sz w:val="21"/>
          <w:szCs w:val="21"/>
          <w:lang w:bidi="en-US"/>
        </w:rPr>
        <w:t>、</w:t>
      </w:r>
      <w:r w:rsidRPr="006B07F0">
        <w:rPr>
          <w:rFonts w:cs="Times New Roman"/>
          <w:bCs/>
          <w:iCs/>
          <w:sz w:val="21"/>
          <w:szCs w:val="21"/>
          <w:lang w:bidi="en-US"/>
        </w:rPr>
        <w:t>116.35%</w:t>
      </w:r>
      <w:r w:rsidRPr="006B07F0">
        <w:rPr>
          <w:rFonts w:cs="Times New Roman" w:hint="eastAsia"/>
          <w:bCs/>
          <w:iCs/>
          <w:sz w:val="21"/>
          <w:szCs w:val="21"/>
          <w:lang w:bidi="en-US"/>
        </w:rPr>
        <w:t>、49.96%，另一方面，账</w:t>
      </w:r>
      <w:proofErr w:type="gramStart"/>
      <w:r w:rsidRPr="006B07F0">
        <w:rPr>
          <w:rFonts w:cs="Times New Roman" w:hint="eastAsia"/>
          <w:bCs/>
          <w:iCs/>
          <w:sz w:val="21"/>
          <w:szCs w:val="21"/>
          <w:lang w:bidi="en-US"/>
        </w:rPr>
        <w:t>龄结构</w:t>
      </w:r>
      <w:proofErr w:type="gramEnd"/>
      <w:r w:rsidRPr="006B07F0">
        <w:rPr>
          <w:rFonts w:cs="Times New Roman" w:hint="eastAsia"/>
          <w:bCs/>
          <w:iCs/>
          <w:sz w:val="21"/>
          <w:szCs w:val="21"/>
          <w:lang w:bidi="en-US"/>
        </w:rPr>
        <w:t>有所延长，报告期各期末，公司账龄一年以上应收账款金额分别为</w:t>
      </w:r>
      <w:r w:rsidRPr="006B07F0">
        <w:rPr>
          <w:rFonts w:cs="Times New Roman"/>
          <w:bCs/>
          <w:iCs/>
          <w:sz w:val="21"/>
          <w:szCs w:val="21"/>
          <w:lang w:bidi="en-US"/>
        </w:rPr>
        <w:t>584.20</w:t>
      </w:r>
      <w:r w:rsidRPr="006B07F0">
        <w:rPr>
          <w:rFonts w:cs="Times New Roman" w:hint="eastAsia"/>
          <w:bCs/>
          <w:iCs/>
          <w:sz w:val="21"/>
          <w:szCs w:val="21"/>
          <w:lang w:bidi="en-US"/>
        </w:rPr>
        <w:t>万元、</w:t>
      </w:r>
      <w:r w:rsidRPr="006B07F0">
        <w:rPr>
          <w:rFonts w:cs="Times New Roman"/>
          <w:bCs/>
          <w:iCs/>
          <w:sz w:val="21"/>
          <w:szCs w:val="21"/>
          <w:lang w:bidi="en-US"/>
        </w:rPr>
        <w:t>3,609.20</w:t>
      </w:r>
      <w:r w:rsidRPr="006B07F0">
        <w:rPr>
          <w:rFonts w:cs="Times New Roman" w:hint="eastAsia"/>
          <w:bCs/>
          <w:iCs/>
          <w:sz w:val="21"/>
          <w:szCs w:val="21"/>
          <w:lang w:bidi="en-US"/>
        </w:rPr>
        <w:t>万元和7,918.76万元，占各期末应收账款余额比例分别为</w:t>
      </w:r>
      <w:r w:rsidRPr="006B07F0">
        <w:rPr>
          <w:rFonts w:cs="Times New Roman"/>
          <w:bCs/>
          <w:iCs/>
          <w:sz w:val="21"/>
          <w:szCs w:val="21"/>
          <w:lang w:bidi="en-US"/>
        </w:rPr>
        <w:t>5.99%</w:t>
      </w:r>
      <w:r w:rsidRPr="006B07F0">
        <w:rPr>
          <w:rFonts w:cs="Times New Roman" w:hint="eastAsia"/>
          <w:bCs/>
          <w:iCs/>
          <w:sz w:val="21"/>
          <w:szCs w:val="21"/>
          <w:lang w:bidi="en-US"/>
        </w:rPr>
        <w:t>、</w:t>
      </w:r>
      <w:r w:rsidRPr="006B07F0">
        <w:rPr>
          <w:rFonts w:cs="Times New Roman"/>
          <w:bCs/>
          <w:iCs/>
          <w:sz w:val="21"/>
          <w:szCs w:val="21"/>
          <w:lang w:bidi="en-US"/>
        </w:rPr>
        <w:t>17.00%</w:t>
      </w:r>
      <w:r w:rsidRPr="006B07F0">
        <w:rPr>
          <w:rFonts w:cs="Times New Roman" w:hint="eastAsia"/>
          <w:bCs/>
          <w:iCs/>
          <w:sz w:val="21"/>
          <w:szCs w:val="21"/>
          <w:lang w:bidi="en-US"/>
        </w:rPr>
        <w:t>和24.26%，，</w:t>
      </w:r>
      <w:proofErr w:type="gramStart"/>
      <w:r w:rsidRPr="006B07F0">
        <w:rPr>
          <w:rFonts w:cs="Times New Roman" w:hint="eastAsia"/>
          <w:bCs/>
          <w:iCs/>
          <w:sz w:val="21"/>
          <w:szCs w:val="21"/>
          <w:lang w:bidi="en-US"/>
        </w:rPr>
        <w:t>占比较</w:t>
      </w:r>
      <w:proofErr w:type="gramEnd"/>
      <w:r w:rsidRPr="006B07F0">
        <w:rPr>
          <w:rFonts w:cs="Times New Roman" w:hint="eastAsia"/>
          <w:bCs/>
          <w:iCs/>
          <w:sz w:val="21"/>
          <w:szCs w:val="21"/>
          <w:lang w:bidi="en-US"/>
        </w:rPr>
        <w:t>高。同时，报告期各期末，公司存在账龄三年以上的应收账款情形，该类应收账款回款风险相对较大，存在一定的回款风险。截止目前，公司仍然存在账龄一年以上应收账款未能收回的情况，</w:t>
      </w:r>
      <w:proofErr w:type="gramStart"/>
      <w:r w:rsidRPr="006B07F0">
        <w:rPr>
          <w:rFonts w:cs="Times New Roman" w:hint="eastAsia"/>
          <w:bCs/>
          <w:iCs/>
          <w:sz w:val="21"/>
          <w:szCs w:val="21"/>
          <w:lang w:bidi="en-US"/>
        </w:rPr>
        <w:t>且报告</w:t>
      </w:r>
      <w:proofErr w:type="gramEnd"/>
      <w:r w:rsidRPr="006B07F0">
        <w:rPr>
          <w:rFonts w:cs="Times New Roman" w:hint="eastAsia"/>
          <w:bCs/>
          <w:iCs/>
          <w:sz w:val="21"/>
          <w:szCs w:val="21"/>
          <w:lang w:bidi="en-US"/>
        </w:rPr>
        <w:t>期内逐年增长，主要原因包括客户内部付款审批程序较长、受房地产行业调控政策影响而阶段性资金面收紧以及</w:t>
      </w:r>
      <w:r w:rsidRPr="006B07F0">
        <w:rPr>
          <w:rFonts w:cs="Times New Roman"/>
          <w:bCs/>
          <w:iCs/>
          <w:sz w:val="21"/>
          <w:szCs w:val="21"/>
          <w:lang w:bidi="en-US"/>
        </w:rPr>
        <w:t>2020</w:t>
      </w:r>
      <w:r w:rsidRPr="006B07F0">
        <w:rPr>
          <w:rFonts w:cs="Times New Roman" w:hint="eastAsia"/>
          <w:bCs/>
          <w:iCs/>
          <w:sz w:val="21"/>
          <w:szCs w:val="21"/>
          <w:lang w:bidi="en-US"/>
        </w:rPr>
        <w:t>年疫情因素影响，存在一定的回款风险。</w:t>
      </w:r>
    </w:p>
    <w:p w:rsidR="001E2F08" w:rsidRPr="006B07F0" w:rsidRDefault="001E2F08" w:rsidP="001E2F08">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6B07F0">
        <w:rPr>
          <w:rFonts w:cs="Times New Roman" w:hint="eastAsia"/>
          <w:bCs/>
          <w:iCs/>
          <w:sz w:val="21"/>
          <w:szCs w:val="21"/>
          <w:lang w:bidi="en-US"/>
        </w:rPr>
        <w:t>报告期各期，公司</w:t>
      </w:r>
      <w:proofErr w:type="gramStart"/>
      <w:r w:rsidRPr="006B07F0">
        <w:rPr>
          <w:rFonts w:cs="Times New Roman" w:hint="eastAsia"/>
          <w:bCs/>
          <w:iCs/>
          <w:sz w:val="21"/>
          <w:szCs w:val="21"/>
          <w:lang w:bidi="en-US"/>
        </w:rPr>
        <w:t>对保利</w:t>
      </w:r>
      <w:proofErr w:type="gramEnd"/>
      <w:r w:rsidRPr="006B07F0">
        <w:rPr>
          <w:rFonts w:cs="Times New Roman" w:hint="eastAsia"/>
          <w:bCs/>
          <w:iCs/>
          <w:sz w:val="21"/>
          <w:szCs w:val="21"/>
          <w:lang w:bidi="en-US"/>
        </w:rPr>
        <w:t>的应收账款余额分别为</w:t>
      </w:r>
      <w:r w:rsidRPr="006B07F0">
        <w:rPr>
          <w:rFonts w:cs="Times New Roman"/>
          <w:bCs/>
          <w:iCs/>
          <w:sz w:val="21"/>
          <w:szCs w:val="21"/>
          <w:lang w:bidi="en-US"/>
        </w:rPr>
        <w:t>3,610.27</w:t>
      </w:r>
      <w:r w:rsidRPr="006B07F0">
        <w:rPr>
          <w:rFonts w:cs="Times New Roman" w:hint="eastAsia"/>
          <w:bCs/>
          <w:iCs/>
          <w:sz w:val="21"/>
          <w:szCs w:val="21"/>
          <w:lang w:bidi="en-US"/>
        </w:rPr>
        <w:t>万元、</w:t>
      </w:r>
      <w:r w:rsidRPr="006B07F0">
        <w:rPr>
          <w:rFonts w:cs="Times New Roman"/>
          <w:bCs/>
          <w:iCs/>
          <w:sz w:val="21"/>
          <w:szCs w:val="21"/>
          <w:lang w:bidi="en-US"/>
        </w:rPr>
        <w:t>9,382.07</w:t>
      </w:r>
      <w:r w:rsidRPr="006B07F0">
        <w:rPr>
          <w:rFonts w:cs="Times New Roman" w:hint="eastAsia"/>
          <w:bCs/>
          <w:iCs/>
          <w:sz w:val="21"/>
          <w:szCs w:val="21"/>
          <w:lang w:bidi="en-US"/>
        </w:rPr>
        <w:t>万元和15,873.62万元，占当期应收账款余额的比例分比为</w:t>
      </w:r>
      <w:r w:rsidRPr="006B07F0">
        <w:rPr>
          <w:rFonts w:cs="Times New Roman"/>
          <w:bCs/>
          <w:iCs/>
          <w:sz w:val="21"/>
          <w:szCs w:val="21"/>
          <w:lang w:bidi="en-US"/>
        </w:rPr>
        <w:t>37.02%</w:t>
      </w:r>
      <w:r w:rsidRPr="006B07F0">
        <w:rPr>
          <w:rFonts w:cs="Times New Roman" w:hint="eastAsia"/>
          <w:bCs/>
          <w:iCs/>
          <w:sz w:val="21"/>
          <w:szCs w:val="21"/>
          <w:lang w:bidi="en-US"/>
        </w:rPr>
        <w:t>、</w:t>
      </w:r>
      <w:r w:rsidRPr="006B07F0">
        <w:rPr>
          <w:rFonts w:cs="Times New Roman"/>
          <w:bCs/>
          <w:iCs/>
          <w:sz w:val="21"/>
          <w:szCs w:val="21"/>
          <w:lang w:bidi="en-US"/>
        </w:rPr>
        <w:t>44.18%</w:t>
      </w:r>
      <w:r w:rsidRPr="006B07F0">
        <w:rPr>
          <w:rFonts w:cs="Times New Roman" w:hint="eastAsia"/>
          <w:bCs/>
          <w:iCs/>
          <w:sz w:val="21"/>
          <w:szCs w:val="21"/>
          <w:lang w:bidi="en-US"/>
        </w:rPr>
        <w:t>和48.63%，整体</w:t>
      </w:r>
      <w:proofErr w:type="gramStart"/>
      <w:r w:rsidRPr="006B07F0">
        <w:rPr>
          <w:rFonts w:cs="Times New Roman" w:hint="eastAsia"/>
          <w:bCs/>
          <w:iCs/>
          <w:sz w:val="21"/>
          <w:szCs w:val="21"/>
          <w:lang w:bidi="en-US"/>
        </w:rPr>
        <w:t>占比较</w:t>
      </w:r>
      <w:proofErr w:type="gramEnd"/>
      <w:r w:rsidRPr="006B07F0">
        <w:rPr>
          <w:rFonts w:cs="Times New Roman" w:hint="eastAsia"/>
          <w:bCs/>
          <w:iCs/>
          <w:sz w:val="21"/>
          <w:szCs w:val="21"/>
          <w:lang w:bidi="en-US"/>
        </w:rPr>
        <w:t>高</w:t>
      </w:r>
      <w:r w:rsidRPr="006B07F0">
        <w:rPr>
          <w:rFonts w:cs="Times New Roman" w:hint="eastAsia"/>
          <w:bCs/>
          <w:sz w:val="21"/>
          <w:szCs w:val="21"/>
        </w:rPr>
        <w:t>。</w:t>
      </w:r>
    </w:p>
    <w:p w:rsidR="001E2F08" w:rsidRPr="006B07F0" w:rsidRDefault="001E2F08" w:rsidP="001E2F08">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6B07F0">
        <w:rPr>
          <w:rFonts w:cs="Times New Roman" w:hint="eastAsia"/>
          <w:bCs/>
          <w:iCs/>
          <w:sz w:val="21"/>
          <w:szCs w:val="21"/>
          <w:lang w:bidi="en-US"/>
        </w:rPr>
        <w:lastRenderedPageBreak/>
        <w:t>公司客户主要为房地产开发商，随着公司的收入规模不断扩大，未来如果客户出现财务状况恶化导致其无法按期付款的情况或者公司的应收</w:t>
      </w:r>
      <w:proofErr w:type="gramStart"/>
      <w:r w:rsidRPr="006B07F0">
        <w:rPr>
          <w:rFonts w:cs="Times New Roman" w:hint="eastAsia"/>
          <w:bCs/>
          <w:iCs/>
          <w:sz w:val="21"/>
          <w:szCs w:val="21"/>
          <w:lang w:bidi="en-US"/>
        </w:rPr>
        <w:t>账款管</w:t>
      </w:r>
      <w:proofErr w:type="gramEnd"/>
      <w:r w:rsidRPr="006B07F0">
        <w:rPr>
          <w:rFonts w:cs="Times New Roman" w:hint="eastAsia"/>
          <w:bCs/>
          <w:iCs/>
          <w:sz w:val="21"/>
          <w:szCs w:val="21"/>
          <w:lang w:bidi="en-US"/>
        </w:rPr>
        <w:t>控措施不力，将会使本公司面临坏账损失的风险，并对公司的资金周转和利润水平产生一定的不利影响。</w:t>
      </w:r>
    </w:p>
    <w:p w:rsidR="001E2F08" w:rsidRPr="006B07F0" w:rsidRDefault="001E2F08" w:rsidP="001E2F08">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6B07F0">
        <w:rPr>
          <w:rFonts w:cs="Times New Roman" w:hint="eastAsia"/>
          <w:bCs/>
          <w:iCs/>
          <w:sz w:val="21"/>
          <w:szCs w:val="21"/>
          <w:lang w:bidi="en-US"/>
        </w:rPr>
        <w:t>公司所属的建筑设计行业与房地产行业密切相关。房地产行业具有一定的周期性，受宏观经济形势、产业政策调控影响明显。近年来，我国政府针对房地产行业出台了一系列调控政策，如“新国五条”，</w:t>
      </w:r>
      <w:r w:rsidRPr="006B07F0">
        <w:rPr>
          <w:rFonts w:cs="Times New Roman"/>
          <w:bCs/>
          <w:iCs/>
          <w:sz w:val="21"/>
          <w:szCs w:val="21"/>
          <w:lang w:bidi="en-US"/>
        </w:rPr>
        <w:t>2018</w:t>
      </w:r>
      <w:r w:rsidRPr="006B07F0">
        <w:rPr>
          <w:rFonts w:cs="Times New Roman" w:hint="eastAsia"/>
          <w:bCs/>
          <w:iCs/>
          <w:sz w:val="21"/>
          <w:szCs w:val="21"/>
          <w:lang w:bidi="en-US"/>
        </w:rPr>
        <w:t>年</w:t>
      </w:r>
      <w:r w:rsidRPr="006B07F0">
        <w:rPr>
          <w:rFonts w:cs="Times New Roman"/>
          <w:bCs/>
          <w:iCs/>
          <w:sz w:val="21"/>
          <w:szCs w:val="21"/>
          <w:lang w:bidi="en-US"/>
        </w:rPr>
        <w:t>4</w:t>
      </w:r>
      <w:r w:rsidRPr="006B07F0">
        <w:rPr>
          <w:rFonts w:cs="Times New Roman" w:hint="eastAsia"/>
          <w:bCs/>
          <w:iCs/>
          <w:sz w:val="21"/>
          <w:szCs w:val="21"/>
          <w:lang w:bidi="en-US"/>
        </w:rPr>
        <w:t>月央行、银保监会、证监会、外汇局联合发布《关于规范金融机构资产管理业务的指导意见》（</w:t>
      </w:r>
      <w:r w:rsidRPr="006B07F0">
        <w:rPr>
          <w:rFonts w:cs="Times New Roman"/>
          <w:bCs/>
          <w:iCs/>
          <w:sz w:val="21"/>
          <w:szCs w:val="21"/>
          <w:lang w:bidi="en-US"/>
        </w:rPr>
        <w:t>“</w:t>
      </w:r>
      <w:r w:rsidRPr="006B07F0">
        <w:rPr>
          <w:rFonts w:cs="Times New Roman" w:hint="eastAsia"/>
          <w:bCs/>
          <w:iCs/>
          <w:sz w:val="21"/>
          <w:szCs w:val="21"/>
          <w:lang w:bidi="en-US"/>
        </w:rPr>
        <w:t>资管新规</w:t>
      </w:r>
      <w:r w:rsidRPr="006B07F0">
        <w:rPr>
          <w:rFonts w:cs="Times New Roman"/>
          <w:bCs/>
          <w:iCs/>
          <w:sz w:val="21"/>
          <w:szCs w:val="21"/>
          <w:lang w:bidi="en-US"/>
        </w:rPr>
        <w:t>”</w:t>
      </w:r>
      <w:r w:rsidRPr="006B07F0">
        <w:rPr>
          <w:rFonts w:cs="Times New Roman" w:hint="eastAsia"/>
          <w:bCs/>
          <w:iCs/>
          <w:sz w:val="21"/>
          <w:szCs w:val="21"/>
          <w:lang w:bidi="en-US"/>
        </w:rPr>
        <w:t>），</w:t>
      </w:r>
      <w:r w:rsidRPr="006B07F0">
        <w:rPr>
          <w:rFonts w:cs="Times New Roman"/>
          <w:bCs/>
          <w:iCs/>
          <w:sz w:val="21"/>
          <w:szCs w:val="21"/>
          <w:lang w:bidi="en-US"/>
        </w:rPr>
        <w:t>2019</w:t>
      </w:r>
      <w:r w:rsidRPr="006B07F0">
        <w:rPr>
          <w:rFonts w:cs="Times New Roman" w:hint="eastAsia"/>
          <w:bCs/>
          <w:iCs/>
          <w:sz w:val="21"/>
          <w:szCs w:val="21"/>
          <w:lang w:bidi="en-US"/>
        </w:rPr>
        <w:t>年</w:t>
      </w:r>
      <w:r w:rsidRPr="006B07F0">
        <w:rPr>
          <w:rFonts w:cs="Times New Roman"/>
          <w:bCs/>
          <w:iCs/>
          <w:sz w:val="21"/>
          <w:szCs w:val="21"/>
          <w:lang w:bidi="en-US"/>
        </w:rPr>
        <w:t>5</w:t>
      </w:r>
      <w:r w:rsidRPr="006B07F0">
        <w:rPr>
          <w:rFonts w:cs="Times New Roman" w:hint="eastAsia"/>
          <w:bCs/>
          <w:iCs/>
          <w:sz w:val="21"/>
          <w:szCs w:val="21"/>
          <w:lang w:bidi="en-US"/>
        </w:rPr>
        <w:t>月银保监会发布《关于开展</w:t>
      </w:r>
      <w:r w:rsidRPr="006B07F0">
        <w:rPr>
          <w:rFonts w:cs="Times New Roman"/>
          <w:bCs/>
          <w:iCs/>
          <w:sz w:val="21"/>
          <w:szCs w:val="21"/>
          <w:lang w:bidi="en-US"/>
        </w:rPr>
        <w:t>“</w:t>
      </w:r>
      <w:r w:rsidRPr="006B07F0">
        <w:rPr>
          <w:rFonts w:cs="Times New Roman" w:hint="eastAsia"/>
          <w:bCs/>
          <w:iCs/>
          <w:sz w:val="21"/>
          <w:szCs w:val="21"/>
          <w:lang w:bidi="en-US"/>
        </w:rPr>
        <w:t>巩固治乱象成果</w:t>
      </w:r>
      <w:r w:rsidRPr="006B07F0">
        <w:rPr>
          <w:rFonts w:cs="Times New Roman"/>
          <w:bCs/>
          <w:iCs/>
          <w:sz w:val="21"/>
          <w:szCs w:val="21"/>
          <w:lang w:bidi="en-US"/>
        </w:rPr>
        <w:t xml:space="preserve"> </w:t>
      </w:r>
      <w:r w:rsidRPr="006B07F0">
        <w:rPr>
          <w:rFonts w:cs="Times New Roman" w:hint="eastAsia"/>
          <w:bCs/>
          <w:iCs/>
          <w:sz w:val="21"/>
          <w:szCs w:val="21"/>
          <w:lang w:bidi="en-US"/>
        </w:rPr>
        <w:t>促进合规建设</w:t>
      </w:r>
      <w:r w:rsidRPr="006B07F0">
        <w:rPr>
          <w:rFonts w:cs="Times New Roman"/>
          <w:bCs/>
          <w:iCs/>
          <w:sz w:val="21"/>
          <w:szCs w:val="21"/>
          <w:lang w:bidi="en-US"/>
        </w:rPr>
        <w:t>”</w:t>
      </w:r>
      <w:r w:rsidRPr="006B07F0">
        <w:rPr>
          <w:rFonts w:cs="Times New Roman" w:hint="eastAsia"/>
          <w:bCs/>
          <w:iCs/>
          <w:sz w:val="21"/>
          <w:szCs w:val="21"/>
          <w:lang w:bidi="en-US"/>
        </w:rPr>
        <w:t>工作的通知》（</w:t>
      </w:r>
      <w:r w:rsidRPr="006B07F0">
        <w:rPr>
          <w:rFonts w:cs="Times New Roman"/>
          <w:bCs/>
          <w:iCs/>
          <w:sz w:val="21"/>
          <w:szCs w:val="21"/>
          <w:lang w:bidi="en-US"/>
        </w:rPr>
        <w:t>“23</w:t>
      </w:r>
      <w:r w:rsidRPr="006B07F0">
        <w:rPr>
          <w:rFonts w:cs="Times New Roman" w:hint="eastAsia"/>
          <w:bCs/>
          <w:iCs/>
          <w:sz w:val="21"/>
          <w:szCs w:val="21"/>
          <w:lang w:bidi="en-US"/>
        </w:rPr>
        <w:t>号文</w:t>
      </w:r>
      <w:r w:rsidRPr="006B07F0">
        <w:rPr>
          <w:rFonts w:cs="Times New Roman"/>
          <w:bCs/>
          <w:iCs/>
          <w:sz w:val="21"/>
          <w:szCs w:val="21"/>
          <w:lang w:bidi="en-US"/>
        </w:rPr>
        <w:t>”</w:t>
      </w:r>
      <w:r w:rsidRPr="006B07F0">
        <w:rPr>
          <w:rFonts w:cs="Times New Roman" w:hint="eastAsia"/>
          <w:bCs/>
          <w:iCs/>
          <w:sz w:val="21"/>
          <w:szCs w:val="21"/>
          <w:lang w:bidi="en-US"/>
        </w:rPr>
        <w:t>）等，上述政策从限制房地产企业融资规模、增加保障性住房和普通商品住房有效供给、抑制投资投机性购房需求、促进供应土地的及时开发利用等多个方面进行调控。同时，政府推出的限购、提高交易税费等短期调控政策，也直接影响了商品住宅的短期需求，一定程度上造成了房地产市场成交量的下降。这些经济政策都会对公司业务发展构成一定影响。在上述政策背景下，</w:t>
      </w:r>
      <w:r w:rsidRPr="006B07F0">
        <w:rPr>
          <w:rFonts w:cs="Times New Roman"/>
          <w:bCs/>
          <w:iCs/>
          <w:sz w:val="21"/>
          <w:szCs w:val="21"/>
          <w:lang w:bidi="en-US"/>
        </w:rPr>
        <w:t>2019</w:t>
      </w:r>
      <w:r w:rsidRPr="006B07F0">
        <w:rPr>
          <w:rFonts w:cs="Times New Roman" w:hint="eastAsia"/>
          <w:bCs/>
          <w:iCs/>
          <w:sz w:val="21"/>
          <w:szCs w:val="21"/>
          <w:lang w:bidi="en-US"/>
        </w:rPr>
        <w:t>年度公司实现营业收入</w:t>
      </w:r>
      <w:r w:rsidRPr="006B07F0">
        <w:rPr>
          <w:rFonts w:cs="Times New Roman"/>
          <w:bCs/>
          <w:iCs/>
          <w:sz w:val="21"/>
          <w:szCs w:val="21"/>
          <w:lang w:bidi="en-US"/>
        </w:rPr>
        <w:t>26,664.14</w:t>
      </w:r>
      <w:r w:rsidRPr="006B07F0">
        <w:rPr>
          <w:rFonts w:cs="Times New Roman" w:hint="eastAsia"/>
          <w:bCs/>
          <w:iCs/>
          <w:sz w:val="21"/>
          <w:szCs w:val="21"/>
          <w:lang w:bidi="en-US"/>
        </w:rPr>
        <w:t>万元，净利润</w:t>
      </w:r>
      <w:r w:rsidRPr="006B07F0">
        <w:rPr>
          <w:rFonts w:cs="Times New Roman"/>
          <w:bCs/>
          <w:iCs/>
          <w:sz w:val="21"/>
          <w:szCs w:val="21"/>
          <w:lang w:bidi="en-US"/>
        </w:rPr>
        <w:t>6,366.53</w:t>
      </w:r>
      <w:r w:rsidRPr="006B07F0">
        <w:rPr>
          <w:rFonts w:cs="Times New Roman" w:hint="eastAsia"/>
          <w:bCs/>
          <w:iCs/>
          <w:sz w:val="21"/>
          <w:szCs w:val="21"/>
          <w:lang w:bidi="en-US"/>
        </w:rPr>
        <w:t>万元，增速有所放缓，同时当年经营回款情况有所下降，当年应收账款及应收票据占营业收入比例</w:t>
      </w:r>
      <w:r w:rsidRPr="006B07F0">
        <w:rPr>
          <w:rFonts w:cs="Times New Roman"/>
          <w:bCs/>
          <w:iCs/>
          <w:sz w:val="21"/>
          <w:szCs w:val="21"/>
          <w:lang w:bidi="en-US"/>
        </w:rPr>
        <w:t>80.71%</w:t>
      </w:r>
      <w:r w:rsidRPr="006B07F0">
        <w:rPr>
          <w:rFonts w:cs="Times New Roman" w:hint="eastAsia"/>
          <w:bCs/>
          <w:iCs/>
          <w:sz w:val="21"/>
          <w:szCs w:val="21"/>
          <w:lang w:bidi="en-US"/>
        </w:rPr>
        <w:t>，较以前年度有所上升。</w:t>
      </w:r>
    </w:p>
    <w:p w:rsidR="001E2F08" w:rsidRPr="006B07F0" w:rsidRDefault="001E2F08" w:rsidP="001E2F08">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6B07F0">
        <w:rPr>
          <w:rFonts w:cs="Times New Roman"/>
          <w:bCs/>
          <w:iCs/>
          <w:sz w:val="21"/>
          <w:szCs w:val="21"/>
          <w:lang w:bidi="en-US"/>
        </w:rPr>
        <w:t>2020</w:t>
      </w:r>
      <w:r w:rsidRPr="006B07F0">
        <w:rPr>
          <w:rFonts w:cs="Times New Roman" w:hint="eastAsia"/>
          <w:bCs/>
          <w:iCs/>
          <w:sz w:val="21"/>
          <w:szCs w:val="21"/>
          <w:lang w:bidi="en-US"/>
        </w:rPr>
        <w:t>年前三季度，我国住宅新开工面积共计</w:t>
      </w:r>
      <w:r w:rsidRPr="006B07F0">
        <w:rPr>
          <w:rFonts w:cs="Times New Roman"/>
          <w:bCs/>
          <w:iCs/>
          <w:sz w:val="21"/>
          <w:szCs w:val="21"/>
          <w:lang w:bidi="en-US"/>
        </w:rPr>
        <w:t>117,193</w:t>
      </w:r>
      <w:r w:rsidRPr="006B07F0">
        <w:rPr>
          <w:rFonts w:cs="Times New Roman" w:hint="eastAsia"/>
          <w:bCs/>
          <w:iCs/>
          <w:sz w:val="21"/>
          <w:szCs w:val="21"/>
          <w:lang w:bidi="en-US"/>
        </w:rPr>
        <w:t>万平方米，较</w:t>
      </w:r>
      <w:r w:rsidRPr="006B07F0">
        <w:rPr>
          <w:rFonts w:cs="Times New Roman"/>
          <w:bCs/>
          <w:iCs/>
          <w:sz w:val="21"/>
          <w:szCs w:val="21"/>
          <w:lang w:bidi="en-US"/>
        </w:rPr>
        <w:t>2019</w:t>
      </w:r>
      <w:r w:rsidRPr="006B07F0">
        <w:rPr>
          <w:rFonts w:cs="Times New Roman" w:hint="eastAsia"/>
          <w:bCs/>
          <w:iCs/>
          <w:sz w:val="21"/>
          <w:szCs w:val="21"/>
          <w:lang w:bidi="en-US"/>
        </w:rPr>
        <w:t>年前三季度下降</w:t>
      </w:r>
      <w:r w:rsidRPr="006B07F0">
        <w:rPr>
          <w:rFonts w:cs="Times New Roman"/>
          <w:bCs/>
          <w:iCs/>
          <w:sz w:val="21"/>
          <w:szCs w:val="21"/>
          <w:lang w:bidi="en-US"/>
        </w:rPr>
        <w:t>4.18%</w:t>
      </w:r>
      <w:r w:rsidRPr="006B07F0">
        <w:rPr>
          <w:rFonts w:cs="Times New Roman" w:hint="eastAsia"/>
          <w:bCs/>
          <w:iCs/>
          <w:sz w:val="21"/>
          <w:szCs w:val="21"/>
          <w:lang w:bidi="en-US"/>
        </w:rPr>
        <w:t>。其中，受新冠疫情影响，</w:t>
      </w:r>
      <w:r w:rsidRPr="006B07F0">
        <w:rPr>
          <w:rFonts w:cs="Times New Roman"/>
          <w:bCs/>
          <w:iCs/>
          <w:sz w:val="21"/>
          <w:szCs w:val="21"/>
          <w:lang w:bidi="en-US"/>
        </w:rPr>
        <w:t>2020</w:t>
      </w:r>
      <w:r w:rsidRPr="006B07F0">
        <w:rPr>
          <w:rFonts w:cs="Times New Roman" w:hint="eastAsia"/>
          <w:bCs/>
          <w:iCs/>
          <w:sz w:val="21"/>
          <w:szCs w:val="21"/>
          <w:lang w:bidi="en-US"/>
        </w:rPr>
        <w:t>年第一季度住宅新开工面积</w:t>
      </w:r>
      <w:r w:rsidRPr="006B07F0">
        <w:rPr>
          <w:rFonts w:cs="Times New Roman"/>
          <w:bCs/>
          <w:iCs/>
          <w:sz w:val="21"/>
          <w:szCs w:val="21"/>
          <w:lang w:bidi="en-US"/>
        </w:rPr>
        <w:t>20,799</w:t>
      </w:r>
      <w:r w:rsidRPr="006B07F0">
        <w:rPr>
          <w:rFonts w:cs="Times New Roman" w:hint="eastAsia"/>
          <w:bCs/>
          <w:iCs/>
          <w:sz w:val="21"/>
          <w:szCs w:val="21"/>
          <w:lang w:bidi="en-US"/>
        </w:rPr>
        <w:t>万平方米，较</w:t>
      </w:r>
      <w:r w:rsidRPr="006B07F0">
        <w:rPr>
          <w:rFonts w:cs="Times New Roman"/>
          <w:bCs/>
          <w:iCs/>
          <w:sz w:val="21"/>
          <w:szCs w:val="21"/>
          <w:lang w:bidi="en-US"/>
        </w:rPr>
        <w:t>2019</w:t>
      </w:r>
      <w:r w:rsidRPr="006B07F0">
        <w:rPr>
          <w:rFonts w:cs="Times New Roman" w:hint="eastAsia"/>
          <w:bCs/>
          <w:iCs/>
          <w:sz w:val="21"/>
          <w:szCs w:val="21"/>
          <w:lang w:bidi="en-US"/>
        </w:rPr>
        <w:t>年同期下降</w:t>
      </w:r>
      <w:r w:rsidRPr="006B07F0">
        <w:rPr>
          <w:rFonts w:cs="Times New Roman"/>
          <w:bCs/>
          <w:iCs/>
          <w:sz w:val="21"/>
          <w:szCs w:val="21"/>
          <w:lang w:bidi="en-US"/>
        </w:rPr>
        <w:t>26.94%</w:t>
      </w:r>
      <w:r w:rsidRPr="006B07F0">
        <w:rPr>
          <w:rFonts w:cs="Times New Roman" w:hint="eastAsia"/>
          <w:bCs/>
          <w:iCs/>
          <w:sz w:val="21"/>
          <w:szCs w:val="21"/>
          <w:lang w:bidi="en-US"/>
        </w:rPr>
        <w:t>。随着国内普遍复产复工，第二季度及第三季度住宅新开工面积分别为</w:t>
      </w:r>
      <w:r w:rsidRPr="006B07F0">
        <w:rPr>
          <w:rFonts w:cs="Times New Roman"/>
          <w:bCs/>
          <w:iCs/>
          <w:sz w:val="21"/>
          <w:szCs w:val="21"/>
          <w:lang w:bidi="en-US"/>
        </w:rPr>
        <w:t>50,784</w:t>
      </w:r>
      <w:r w:rsidRPr="006B07F0">
        <w:rPr>
          <w:rFonts w:cs="Times New Roman" w:hint="eastAsia"/>
          <w:bCs/>
          <w:iCs/>
          <w:sz w:val="21"/>
          <w:szCs w:val="21"/>
          <w:lang w:bidi="en-US"/>
        </w:rPr>
        <w:t>万平方米及</w:t>
      </w:r>
      <w:r w:rsidRPr="006B07F0">
        <w:rPr>
          <w:rFonts w:cs="Times New Roman"/>
          <w:bCs/>
          <w:iCs/>
          <w:sz w:val="21"/>
          <w:szCs w:val="21"/>
          <w:lang w:bidi="en-US"/>
        </w:rPr>
        <w:t>45,610</w:t>
      </w:r>
      <w:r w:rsidRPr="006B07F0">
        <w:rPr>
          <w:rFonts w:cs="Times New Roman" w:hint="eastAsia"/>
          <w:bCs/>
          <w:iCs/>
          <w:sz w:val="21"/>
          <w:szCs w:val="21"/>
          <w:lang w:bidi="en-US"/>
        </w:rPr>
        <w:t>万平方米，较</w:t>
      </w:r>
      <w:r w:rsidRPr="006B07F0">
        <w:rPr>
          <w:rFonts w:cs="Times New Roman"/>
          <w:bCs/>
          <w:iCs/>
          <w:sz w:val="21"/>
          <w:szCs w:val="21"/>
          <w:lang w:bidi="en-US"/>
        </w:rPr>
        <w:t>2019</w:t>
      </w:r>
      <w:r w:rsidRPr="006B07F0">
        <w:rPr>
          <w:rFonts w:cs="Times New Roman" w:hint="eastAsia"/>
          <w:bCs/>
          <w:iCs/>
          <w:sz w:val="21"/>
          <w:szCs w:val="21"/>
          <w:lang w:bidi="en-US"/>
        </w:rPr>
        <w:t>年同期分别增长</w:t>
      </w:r>
      <w:r w:rsidRPr="006B07F0">
        <w:rPr>
          <w:rFonts w:cs="Times New Roman"/>
          <w:bCs/>
          <w:iCs/>
          <w:sz w:val="21"/>
          <w:szCs w:val="21"/>
          <w:lang w:bidi="en-US"/>
        </w:rPr>
        <w:t>2.53%</w:t>
      </w:r>
      <w:r w:rsidRPr="006B07F0">
        <w:rPr>
          <w:rFonts w:cs="Times New Roman" w:hint="eastAsia"/>
          <w:bCs/>
          <w:iCs/>
          <w:sz w:val="21"/>
          <w:szCs w:val="21"/>
          <w:lang w:bidi="en-US"/>
        </w:rPr>
        <w:t>及</w:t>
      </w:r>
      <w:r w:rsidRPr="006B07F0">
        <w:rPr>
          <w:rFonts w:cs="Times New Roman"/>
          <w:bCs/>
          <w:iCs/>
          <w:sz w:val="21"/>
          <w:szCs w:val="21"/>
          <w:lang w:bidi="en-US"/>
        </w:rPr>
        <w:t>2.93%</w:t>
      </w:r>
      <w:r w:rsidRPr="006B07F0">
        <w:rPr>
          <w:rFonts w:cs="Times New Roman" w:hint="eastAsia"/>
          <w:bCs/>
          <w:iCs/>
          <w:sz w:val="21"/>
          <w:szCs w:val="21"/>
          <w:lang w:bidi="en-US"/>
        </w:rPr>
        <w:t>，基本恢复正常增长水平。住宅新开工面积可能发生的不利变化会对公司经营业绩造成影响。</w:t>
      </w:r>
    </w:p>
    <w:p w:rsidR="001E2F08" w:rsidRPr="006B07F0" w:rsidRDefault="001E2F08" w:rsidP="001E2F08">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6B07F0">
        <w:rPr>
          <w:rFonts w:cs="Times New Roman" w:hint="eastAsia"/>
          <w:bCs/>
          <w:iCs/>
          <w:sz w:val="21"/>
          <w:szCs w:val="21"/>
          <w:lang w:bidi="en-US"/>
        </w:rPr>
        <w:t>同时，</w:t>
      </w:r>
      <w:r w:rsidRPr="006B07F0">
        <w:rPr>
          <w:rFonts w:cs="Times New Roman"/>
          <w:bCs/>
          <w:iCs/>
          <w:sz w:val="21"/>
          <w:szCs w:val="21"/>
          <w:lang w:bidi="en-US"/>
        </w:rPr>
        <w:t>2020</w:t>
      </w:r>
      <w:r w:rsidRPr="006B07F0">
        <w:rPr>
          <w:rFonts w:cs="Times New Roman" w:hint="eastAsia"/>
          <w:bCs/>
          <w:iCs/>
          <w:sz w:val="21"/>
          <w:szCs w:val="21"/>
          <w:lang w:bidi="en-US"/>
        </w:rPr>
        <w:t>年</w:t>
      </w:r>
      <w:r w:rsidRPr="006B07F0">
        <w:rPr>
          <w:rFonts w:cs="Times New Roman"/>
          <w:bCs/>
          <w:iCs/>
          <w:sz w:val="21"/>
          <w:szCs w:val="21"/>
          <w:lang w:bidi="en-US"/>
        </w:rPr>
        <w:t>8</w:t>
      </w:r>
      <w:r w:rsidRPr="006B07F0">
        <w:rPr>
          <w:rFonts w:cs="Times New Roman" w:hint="eastAsia"/>
          <w:bCs/>
          <w:iCs/>
          <w:sz w:val="21"/>
          <w:szCs w:val="21"/>
          <w:lang w:bidi="en-US"/>
        </w:rPr>
        <w:t>月，监管部门出台房地产融资新</w:t>
      </w:r>
      <w:proofErr w:type="gramStart"/>
      <w:r w:rsidRPr="006B07F0">
        <w:rPr>
          <w:rFonts w:cs="Times New Roman" w:hint="eastAsia"/>
          <w:bCs/>
          <w:iCs/>
          <w:sz w:val="21"/>
          <w:szCs w:val="21"/>
          <w:lang w:bidi="en-US"/>
        </w:rPr>
        <w:t>规</w:t>
      </w:r>
      <w:proofErr w:type="gramEnd"/>
      <w:r w:rsidRPr="006B07F0">
        <w:rPr>
          <w:rFonts w:cs="Times New Roman" w:hint="eastAsia"/>
          <w:bCs/>
          <w:iCs/>
          <w:sz w:val="21"/>
          <w:szCs w:val="21"/>
          <w:lang w:bidi="en-US"/>
        </w:rPr>
        <w:t>，设置“三道红线”控制房地产企业有息债务的增长，旨在保障地产行业的持续健康发展，通过</w:t>
      </w:r>
      <w:proofErr w:type="gramStart"/>
      <w:r w:rsidRPr="006B07F0">
        <w:rPr>
          <w:rFonts w:cs="Times New Roman" w:hint="eastAsia"/>
          <w:bCs/>
          <w:iCs/>
          <w:sz w:val="21"/>
          <w:szCs w:val="21"/>
          <w:lang w:bidi="en-US"/>
        </w:rPr>
        <w:t>控制房企有息</w:t>
      </w:r>
      <w:proofErr w:type="gramEnd"/>
      <w:r w:rsidRPr="006B07F0">
        <w:rPr>
          <w:rFonts w:cs="Times New Roman" w:hint="eastAsia"/>
          <w:bCs/>
          <w:iCs/>
          <w:sz w:val="21"/>
          <w:szCs w:val="21"/>
          <w:lang w:bidi="en-US"/>
        </w:rPr>
        <w:t>负债规模增长速度，对地产行业融资供给进行结构性调控。其中，公司报告期内的主要客户，保利、</w:t>
      </w:r>
      <w:proofErr w:type="gramStart"/>
      <w:r w:rsidRPr="006B07F0">
        <w:rPr>
          <w:rFonts w:cs="Times New Roman" w:hint="eastAsia"/>
          <w:bCs/>
          <w:iCs/>
          <w:sz w:val="21"/>
          <w:szCs w:val="21"/>
          <w:lang w:bidi="en-US"/>
        </w:rPr>
        <w:t>世</w:t>
      </w:r>
      <w:proofErr w:type="gramEnd"/>
      <w:r w:rsidRPr="006B07F0">
        <w:rPr>
          <w:rFonts w:cs="Times New Roman" w:hint="eastAsia"/>
          <w:bCs/>
          <w:iCs/>
          <w:sz w:val="21"/>
          <w:szCs w:val="21"/>
          <w:lang w:bidi="en-US"/>
        </w:rPr>
        <w:t>茂归入绿色档，未触及红线，其他客户例如绿地、阳光城、北辰等，根据触及红线数量的不同，相应被归入黄、橙、红三档。在上述融资政策调整预期下，可能会导致该等客户的融资难度有所增加，从而给公司带来应收账款回款周期延长、发生坏账损失的可能性增加等经营风险。若公司上述主要客户未能较好地应对包括“三道红线”在内的房地产宏观调控政策，将会对公</w:t>
      </w:r>
      <w:r w:rsidRPr="006B07F0">
        <w:rPr>
          <w:rFonts w:cs="Times New Roman" w:hint="eastAsia"/>
          <w:bCs/>
          <w:iCs/>
          <w:sz w:val="21"/>
          <w:szCs w:val="21"/>
          <w:lang w:bidi="en-US"/>
        </w:rPr>
        <w:lastRenderedPageBreak/>
        <w:t>司的经营业绩构成冲击。</w:t>
      </w:r>
      <w:r w:rsidRPr="006B07F0">
        <w:rPr>
          <w:rFonts w:cs="Times New Roman"/>
          <w:bCs/>
          <w:iCs/>
          <w:sz w:val="21"/>
          <w:szCs w:val="21"/>
          <w:lang w:bidi="en-US"/>
        </w:rPr>
        <w:t>2020</w:t>
      </w:r>
      <w:r w:rsidRPr="006B07F0">
        <w:rPr>
          <w:rFonts w:cs="Times New Roman" w:hint="eastAsia"/>
          <w:bCs/>
          <w:iCs/>
          <w:sz w:val="21"/>
          <w:szCs w:val="21"/>
          <w:lang w:bidi="en-US"/>
        </w:rPr>
        <w:t>年</w:t>
      </w:r>
      <w:r w:rsidRPr="006B07F0">
        <w:rPr>
          <w:rFonts w:cs="Times New Roman"/>
          <w:bCs/>
          <w:iCs/>
          <w:sz w:val="21"/>
          <w:szCs w:val="21"/>
          <w:lang w:bidi="en-US"/>
        </w:rPr>
        <w:t>12</w:t>
      </w:r>
      <w:r w:rsidRPr="006B07F0">
        <w:rPr>
          <w:rFonts w:cs="Times New Roman" w:hint="eastAsia"/>
          <w:bCs/>
          <w:iCs/>
          <w:sz w:val="21"/>
          <w:szCs w:val="21"/>
          <w:lang w:bidi="en-US"/>
        </w:rPr>
        <w:t>月</w:t>
      </w:r>
      <w:r w:rsidRPr="006B07F0">
        <w:rPr>
          <w:rFonts w:cs="Times New Roman"/>
          <w:bCs/>
          <w:iCs/>
          <w:sz w:val="21"/>
          <w:szCs w:val="21"/>
          <w:lang w:bidi="en-US"/>
        </w:rPr>
        <w:t>31</w:t>
      </w:r>
      <w:r w:rsidRPr="006B07F0">
        <w:rPr>
          <w:rFonts w:cs="Times New Roman" w:hint="eastAsia"/>
          <w:bCs/>
          <w:iCs/>
          <w:sz w:val="21"/>
          <w:szCs w:val="21"/>
          <w:lang w:bidi="en-US"/>
        </w:rPr>
        <w:t>日，央行、银保监会公布《关于建立银行业金融机构房地产贷款集中度管理制度的通知》，分档设置房地产贷款余额占比和个人住房贷款余额占比两个上限，从资金供给端进一步限制，进而可能会对下游房地产行业及公司业绩带来一定不利影响。</w:t>
      </w:r>
    </w:p>
    <w:p w:rsidR="001E2F08" w:rsidRPr="006B07F0" w:rsidRDefault="001E2F08" w:rsidP="001E2F08">
      <w:pPr>
        <w:autoSpaceDE w:val="0"/>
        <w:autoSpaceDN w:val="0"/>
        <w:adjustRightInd w:val="0"/>
        <w:spacing w:beforeLines="50" w:before="163" w:afterLines="50" w:after="163" w:line="360" w:lineRule="auto"/>
        <w:ind w:firstLineChars="200" w:firstLine="420"/>
        <w:rPr>
          <w:rFonts w:cs="Times New Roman"/>
          <w:bCs/>
          <w:iCs/>
          <w:sz w:val="21"/>
          <w:szCs w:val="21"/>
          <w:lang w:bidi="en-US"/>
        </w:rPr>
      </w:pPr>
      <w:r w:rsidRPr="006B07F0">
        <w:rPr>
          <w:rFonts w:cs="Times New Roman" w:hint="eastAsia"/>
          <w:bCs/>
          <w:iCs/>
          <w:sz w:val="21"/>
          <w:szCs w:val="21"/>
          <w:lang w:bidi="en-US"/>
        </w:rPr>
        <w:t>目前，房地产行业调控政策已趋于稳定，但若政府进一步加大对房地产市场调控，可能导致房地产开发企业调整长期经营部署、减少土地投资、推迟项目开发、延长付款周期，对公司现有业务的推进、未来市场的开拓以及资金的及时回收造成不利影响，进而使得公司业绩增速有所放缓、经营活动现金流量有所下降。</w:t>
      </w:r>
    </w:p>
    <w:p w:rsidR="001E2F08" w:rsidRPr="006B07F0" w:rsidRDefault="001E2F08" w:rsidP="001E2F08">
      <w:pPr>
        <w:pStyle w:val="ab"/>
        <w:spacing w:before="163" w:after="163"/>
        <w:ind w:firstLine="422"/>
        <w:rPr>
          <w:bCs w:val="0"/>
          <w:sz w:val="21"/>
          <w:szCs w:val="21"/>
        </w:rPr>
      </w:pPr>
      <w:r w:rsidRPr="006B07F0">
        <w:rPr>
          <w:rFonts w:hint="eastAsia"/>
          <w:bCs w:val="0"/>
          <w:sz w:val="21"/>
          <w:szCs w:val="21"/>
        </w:rPr>
        <w:t>【中介机构核查意见】</w:t>
      </w:r>
    </w:p>
    <w:p w:rsidR="001E2F08" w:rsidRPr="006B07F0" w:rsidRDefault="001E2F08" w:rsidP="001E2F08">
      <w:pPr>
        <w:spacing w:beforeLines="50" w:before="163" w:afterLines="50" w:after="163" w:line="360" w:lineRule="auto"/>
        <w:ind w:firstLineChars="200" w:firstLine="422"/>
        <w:outlineLvl w:val="2"/>
        <w:rPr>
          <w:rFonts w:cs="Times New Roman"/>
          <w:b/>
          <w:color w:val="000000"/>
          <w:sz w:val="21"/>
          <w:szCs w:val="21"/>
          <w:lang w:bidi="en-US"/>
        </w:rPr>
      </w:pPr>
      <w:r w:rsidRPr="006B07F0">
        <w:rPr>
          <w:rFonts w:cs="Times New Roman" w:hint="eastAsia"/>
          <w:b/>
          <w:color w:val="000000"/>
          <w:sz w:val="21"/>
          <w:szCs w:val="21"/>
          <w:lang w:bidi="en-US"/>
        </w:rPr>
        <w:t>（一）核查过程</w:t>
      </w:r>
    </w:p>
    <w:p w:rsidR="001E2F08" w:rsidRPr="006B07F0" w:rsidRDefault="001E2F08" w:rsidP="001E2F08">
      <w:pPr>
        <w:spacing w:beforeLines="50" w:before="163" w:afterLines="50" w:after="163" w:line="360" w:lineRule="auto"/>
        <w:ind w:firstLineChars="200" w:firstLine="420"/>
        <w:rPr>
          <w:bCs/>
          <w:color w:val="000000"/>
          <w:sz w:val="21"/>
          <w:szCs w:val="21"/>
          <w:lang w:eastAsia="zh-TW" w:bidi="en-US"/>
        </w:rPr>
      </w:pPr>
      <w:r w:rsidRPr="006B07F0">
        <w:rPr>
          <w:rFonts w:cs="Times New Roman" w:hint="eastAsia"/>
          <w:bCs/>
          <w:sz w:val="21"/>
          <w:szCs w:val="21"/>
          <w:lang w:val="zh-TW"/>
        </w:rPr>
        <w:t>申报会计师执行了如下核查程序：</w:t>
      </w:r>
    </w:p>
    <w:p w:rsidR="001E2F08" w:rsidRPr="006B07F0" w:rsidRDefault="001E2F08" w:rsidP="001E2F08">
      <w:pPr>
        <w:spacing w:beforeLines="50" w:before="163" w:afterLines="50" w:after="163" w:line="360" w:lineRule="auto"/>
        <w:ind w:firstLineChars="200" w:firstLine="420"/>
        <w:rPr>
          <w:rFonts w:cs="Times New Roman"/>
          <w:bCs/>
          <w:color w:val="000000"/>
          <w:sz w:val="21"/>
          <w:szCs w:val="21"/>
          <w:lang w:bidi="en-US"/>
        </w:rPr>
      </w:pPr>
      <w:r w:rsidRPr="006B07F0">
        <w:rPr>
          <w:rFonts w:cs="Times New Roman"/>
          <w:bCs/>
          <w:color w:val="000000"/>
          <w:sz w:val="21"/>
          <w:szCs w:val="21"/>
          <w:lang w:bidi="en-US"/>
        </w:rPr>
        <w:t>1</w:t>
      </w:r>
      <w:r w:rsidRPr="006B07F0">
        <w:rPr>
          <w:rFonts w:cs="Times New Roman" w:hint="eastAsia"/>
          <w:bCs/>
          <w:color w:val="000000"/>
          <w:sz w:val="21"/>
          <w:szCs w:val="21"/>
          <w:lang w:bidi="en-US"/>
        </w:rPr>
        <w:t>、查询发行人主要客户的信用评级报告、年度报告、公开披露信息等，了解相关客户的信用状况、资金状况、偿债能力变化情况，对是否存在回款风险较大、资金</w:t>
      </w:r>
      <w:proofErr w:type="gramStart"/>
      <w:r w:rsidRPr="006B07F0">
        <w:rPr>
          <w:rFonts w:cs="Times New Roman" w:hint="eastAsia"/>
          <w:bCs/>
          <w:color w:val="000000"/>
          <w:sz w:val="21"/>
          <w:szCs w:val="21"/>
          <w:lang w:bidi="en-US"/>
        </w:rPr>
        <w:t>链紧张</w:t>
      </w:r>
      <w:proofErr w:type="gramEnd"/>
      <w:r w:rsidRPr="006B07F0">
        <w:rPr>
          <w:rFonts w:cs="Times New Roman" w:hint="eastAsia"/>
          <w:bCs/>
          <w:color w:val="000000"/>
          <w:sz w:val="21"/>
          <w:szCs w:val="21"/>
          <w:lang w:bidi="en-US"/>
        </w:rPr>
        <w:t>的客户以及相关坏账准备计提是否充分进行了分析；</w:t>
      </w:r>
    </w:p>
    <w:p w:rsidR="001E2F08" w:rsidRPr="006B07F0" w:rsidRDefault="001E2F08" w:rsidP="001E2F08">
      <w:pPr>
        <w:spacing w:beforeLines="50" w:before="163" w:afterLines="50" w:after="163" w:line="360" w:lineRule="auto"/>
        <w:ind w:firstLineChars="200" w:firstLine="420"/>
        <w:rPr>
          <w:rFonts w:cs="Times New Roman"/>
          <w:bCs/>
          <w:color w:val="000000"/>
          <w:sz w:val="21"/>
          <w:szCs w:val="21"/>
          <w:lang w:bidi="en-US"/>
        </w:rPr>
      </w:pPr>
      <w:r w:rsidRPr="006B07F0">
        <w:rPr>
          <w:rFonts w:cs="Times New Roman"/>
          <w:bCs/>
          <w:color w:val="000000"/>
          <w:sz w:val="21"/>
          <w:szCs w:val="21"/>
          <w:lang w:bidi="en-US"/>
        </w:rPr>
        <w:t>2</w:t>
      </w:r>
      <w:r w:rsidRPr="006B07F0">
        <w:rPr>
          <w:rFonts w:cs="Times New Roman" w:hint="eastAsia"/>
          <w:bCs/>
          <w:color w:val="000000"/>
          <w:sz w:val="21"/>
          <w:szCs w:val="21"/>
          <w:lang w:bidi="en-US"/>
        </w:rPr>
        <w:t>、查询了同行业可比公司的公开披露信息，将发行人截至目前的期后回款情况与同行业可比公司进行比较，分析合理性，对发行人是否面临较大的回款风险及对经营业绩的影响进行了分析；</w:t>
      </w:r>
    </w:p>
    <w:p w:rsidR="001E2F08" w:rsidRPr="006B07F0" w:rsidRDefault="001E2F08" w:rsidP="001E2F08">
      <w:pPr>
        <w:spacing w:beforeLines="50" w:before="163" w:afterLines="50" w:after="163" w:line="360" w:lineRule="auto"/>
        <w:ind w:firstLineChars="200" w:firstLine="420"/>
        <w:rPr>
          <w:rFonts w:cs="Times New Roman"/>
          <w:bCs/>
          <w:kern w:val="2"/>
          <w:sz w:val="21"/>
          <w:szCs w:val="21"/>
        </w:rPr>
      </w:pPr>
      <w:r w:rsidRPr="006B07F0">
        <w:rPr>
          <w:rFonts w:cs="Times New Roman"/>
          <w:bCs/>
          <w:sz w:val="21"/>
          <w:szCs w:val="21"/>
        </w:rPr>
        <w:t>3</w:t>
      </w:r>
      <w:r w:rsidRPr="006B07F0">
        <w:rPr>
          <w:rFonts w:cs="Times New Roman" w:hint="eastAsia"/>
          <w:bCs/>
          <w:sz w:val="21"/>
          <w:szCs w:val="21"/>
        </w:rPr>
        <w:t>、查询了发行人截至目前的应收账款明细情况，对于一年以上的形成原因进行了分析；</w:t>
      </w:r>
    </w:p>
    <w:p w:rsidR="001E2F08" w:rsidRPr="006B07F0" w:rsidRDefault="001E2F08" w:rsidP="001E2F08">
      <w:pPr>
        <w:spacing w:beforeLines="50" w:before="163" w:afterLines="50" w:after="163" w:line="360" w:lineRule="auto"/>
        <w:ind w:firstLineChars="200" w:firstLine="420"/>
        <w:rPr>
          <w:rFonts w:cs="Times New Roman"/>
          <w:bCs/>
          <w:color w:val="000000"/>
          <w:sz w:val="21"/>
          <w:szCs w:val="21"/>
          <w:lang w:bidi="en-US"/>
        </w:rPr>
      </w:pPr>
      <w:r w:rsidRPr="006B07F0">
        <w:rPr>
          <w:rFonts w:cs="Times New Roman"/>
          <w:bCs/>
          <w:sz w:val="21"/>
          <w:szCs w:val="21"/>
        </w:rPr>
        <w:t>4</w:t>
      </w:r>
      <w:r w:rsidRPr="006B07F0">
        <w:rPr>
          <w:rFonts w:cs="Times New Roman" w:hint="eastAsia"/>
          <w:bCs/>
          <w:sz w:val="21"/>
          <w:szCs w:val="21"/>
        </w:rPr>
        <w:t>、结合房地产调控政策、新增住宅开发面积等，对发行人面临的应收账款风险、主营业务风险进行有针对性的分析。</w:t>
      </w:r>
    </w:p>
    <w:p w:rsidR="001E2F08" w:rsidRPr="006B07F0" w:rsidRDefault="001E2F08" w:rsidP="001E2F08">
      <w:pPr>
        <w:spacing w:beforeLines="50" w:before="163" w:afterLines="50" w:after="163" w:line="360" w:lineRule="auto"/>
        <w:ind w:firstLineChars="200" w:firstLine="422"/>
        <w:outlineLvl w:val="2"/>
        <w:rPr>
          <w:rFonts w:cs="Times New Roman"/>
          <w:b/>
          <w:color w:val="000000"/>
          <w:sz w:val="21"/>
          <w:szCs w:val="21"/>
          <w:lang w:bidi="en-US"/>
        </w:rPr>
      </w:pPr>
      <w:r w:rsidRPr="006B07F0">
        <w:rPr>
          <w:rFonts w:cs="Times New Roman" w:hint="eastAsia"/>
          <w:b/>
          <w:color w:val="000000"/>
          <w:sz w:val="21"/>
          <w:szCs w:val="21"/>
          <w:lang w:bidi="en-US"/>
        </w:rPr>
        <w:t>（二）核查意见</w:t>
      </w:r>
    </w:p>
    <w:p w:rsidR="001E2F08" w:rsidRPr="006B07F0" w:rsidRDefault="001E2F08" w:rsidP="001E2F08">
      <w:pPr>
        <w:spacing w:beforeLines="50" w:before="163" w:afterLines="50" w:after="163" w:line="360" w:lineRule="auto"/>
        <w:ind w:firstLineChars="200" w:firstLine="420"/>
        <w:rPr>
          <w:rFonts w:cs="Times New Roman"/>
          <w:bCs/>
          <w:kern w:val="2"/>
          <w:sz w:val="21"/>
          <w:szCs w:val="21"/>
        </w:rPr>
      </w:pPr>
      <w:r w:rsidRPr="006B07F0">
        <w:rPr>
          <w:rFonts w:cs="Times New Roman" w:hint="eastAsia"/>
          <w:bCs/>
          <w:sz w:val="21"/>
          <w:szCs w:val="21"/>
          <w:lang w:val="zh-TW"/>
        </w:rPr>
        <w:t>申报会计师</w:t>
      </w:r>
      <w:r w:rsidRPr="006B07F0">
        <w:rPr>
          <w:rFonts w:cs="Times New Roman" w:hint="eastAsia"/>
          <w:bCs/>
          <w:sz w:val="21"/>
          <w:szCs w:val="21"/>
        </w:rPr>
        <w:t>核查意见如下：</w:t>
      </w:r>
    </w:p>
    <w:p w:rsidR="001E2F08" w:rsidRPr="006B07F0" w:rsidRDefault="001E2F08" w:rsidP="001E2F08">
      <w:pPr>
        <w:spacing w:beforeLines="50" w:before="163" w:afterLines="50" w:after="163" w:line="360" w:lineRule="auto"/>
        <w:ind w:firstLineChars="200" w:firstLine="420"/>
        <w:rPr>
          <w:rFonts w:cs="Times New Roman"/>
          <w:bCs/>
          <w:sz w:val="21"/>
          <w:szCs w:val="21"/>
        </w:rPr>
      </w:pPr>
      <w:r w:rsidRPr="006B07F0">
        <w:rPr>
          <w:rFonts w:cs="Times New Roman"/>
          <w:bCs/>
          <w:sz w:val="21"/>
          <w:szCs w:val="21"/>
        </w:rPr>
        <w:t>1</w:t>
      </w:r>
      <w:r w:rsidRPr="006B07F0">
        <w:rPr>
          <w:rFonts w:cs="Times New Roman" w:hint="eastAsia"/>
          <w:bCs/>
          <w:sz w:val="21"/>
          <w:szCs w:val="21"/>
        </w:rPr>
        <w:t>、发行人主要客户经营情况正常，资信情况良好，资金状况及偿债能力总体保持稳定，符合行业特性，未出现资金链及信用情况严重恶化的情形，亦不存在明显偿债风险，不存在</w:t>
      </w:r>
      <w:r w:rsidRPr="006B07F0">
        <w:rPr>
          <w:rFonts w:cs="Times New Roman" w:hint="eastAsia"/>
          <w:bCs/>
          <w:sz w:val="21"/>
          <w:szCs w:val="21"/>
        </w:rPr>
        <w:lastRenderedPageBreak/>
        <w:t>回款风险较大、资金链严重紧张的客户。发行人主要客户应收账款回收风险较小，坏账准备计提充分，与同行业可比公司不存在较大差异。</w:t>
      </w:r>
    </w:p>
    <w:p w:rsidR="001E2F08" w:rsidRPr="006B07F0" w:rsidRDefault="001E2F08" w:rsidP="001E2F08">
      <w:pPr>
        <w:spacing w:beforeLines="50" w:before="163" w:afterLines="50" w:after="163" w:line="360" w:lineRule="auto"/>
        <w:ind w:firstLineChars="200" w:firstLine="420"/>
        <w:rPr>
          <w:rFonts w:cs="Times New Roman"/>
          <w:bCs/>
          <w:sz w:val="21"/>
          <w:szCs w:val="21"/>
        </w:rPr>
      </w:pPr>
      <w:r w:rsidRPr="006B07F0">
        <w:rPr>
          <w:rFonts w:cs="Times New Roman"/>
          <w:bCs/>
          <w:sz w:val="21"/>
          <w:szCs w:val="21"/>
        </w:rPr>
        <w:t>2</w:t>
      </w:r>
      <w:r w:rsidRPr="006B07F0">
        <w:rPr>
          <w:rFonts w:cs="Times New Roman" w:hint="eastAsia"/>
          <w:bCs/>
          <w:sz w:val="21"/>
          <w:szCs w:val="21"/>
        </w:rPr>
        <w:t>、发行人应收账款期后回款情况与同行业可比公司相比，不存在较大差异，应收账款期后回款情况良好，符合行业特点，回款风险较小。</w:t>
      </w:r>
    </w:p>
    <w:p w:rsidR="001E2F08" w:rsidRPr="006B07F0" w:rsidRDefault="001E2F08" w:rsidP="001E2F08">
      <w:pPr>
        <w:spacing w:beforeLines="50" w:before="163" w:afterLines="50" w:after="163" w:line="360" w:lineRule="auto"/>
        <w:ind w:firstLineChars="200" w:firstLine="420"/>
        <w:rPr>
          <w:rFonts w:cs="Times New Roman"/>
          <w:bCs/>
          <w:sz w:val="21"/>
          <w:szCs w:val="21"/>
        </w:rPr>
      </w:pPr>
      <w:r w:rsidRPr="006B07F0">
        <w:rPr>
          <w:rFonts w:cs="Times New Roman"/>
          <w:bCs/>
          <w:sz w:val="21"/>
          <w:szCs w:val="21"/>
        </w:rPr>
        <w:t>3</w:t>
      </w:r>
      <w:r w:rsidRPr="006B07F0">
        <w:rPr>
          <w:rFonts w:cs="Times New Roman" w:hint="eastAsia"/>
          <w:bCs/>
          <w:sz w:val="21"/>
          <w:szCs w:val="21"/>
        </w:rPr>
        <w:t>、发行人已补充披露截至目前的应收账款逾期情况，相关数据真实、准确，原因合理；</w:t>
      </w:r>
    </w:p>
    <w:p w:rsidR="00E6306F" w:rsidRPr="006B07F0" w:rsidRDefault="001E2F08" w:rsidP="001E2F08">
      <w:pPr>
        <w:spacing w:line="400" w:lineRule="atLeast"/>
        <w:ind w:firstLineChars="200" w:firstLine="420"/>
        <w:rPr>
          <w:rFonts w:cs="Times New Roman"/>
          <w:bCs/>
          <w:sz w:val="21"/>
          <w:szCs w:val="21"/>
        </w:rPr>
      </w:pPr>
      <w:r w:rsidRPr="006B07F0">
        <w:rPr>
          <w:rFonts w:cs="Times New Roman"/>
          <w:bCs/>
          <w:sz w:val="21"/>
          <w:szCs w:val="21"/>
        </w:rPr>
        <w:t>4</w:t>
      </w:r>
      <w:r w:rsidRPr="006B07F0">
        <w:rPr>
          <w:rFonts w:cs="Times New Roman" w:hint="eastAsia"/>
          <w:bCs/>
          <w:sz w:val="21"/>
          <w:szCs w:val="21"/>
        </w:rPr>
        <w:t>、发行人对面临的应收账款风险、主营业务风险进行了有针对性的充分披露和揭示，相关表述准确</w:t>
      </w:r>
      <w:r w:rsidR="00C102E4" w:rsidRPr="006B07F0">
        <w:rPr>
          <w:rFonts w:cs="Times New Roman"/>
          <w:bCs/>
          <w:sz w:val="21"/>
          <w:szCs w:val="21"/>
        </w:rPr>
        <w:t>。</w:t>
      </w:r>
    </w:p>
    <w:p w:rsidR="001E2F08" w:rsidRPr="006B07F0" w:rsidRDefault="001E2F08" w:rsidP="001E2F08">
      <w:pPr>
        <w:spacing w:line="400" w:lineRule="atLeast"/>
        <w:ind w:firstLineChars="200" w:firstLine="420"/>
        <w:rPr>
          <w:rFonts w:cs="Times New Roman"/>
          <w:sz w:val="21"/>
          <w:szCs w:val="21"/>
        </w:rPr>
      </w:pPr>
    </w:p>
    <w:p w:rsidR="001E2F08" w:rsidRPr="006B07F0" w:rsidRDefault="001E2F08" w:rsidP="001E2F08">
      <w:pPr>
        <w:spacing w:line="400" w:lineRule="atLeast"/>
        <w:ind w:firstLineChars="200" w:firstLine="420"/>
        <w:rPr>
          <w:rFonts w:cs="Times New Roman"/>
          <w:sz w:val="21"/>
          <w:szCs w:val="21"/>
        </w:rPr>
      </w:pPr>
      <w:r w:rsidRPr="006B07F0">
        <w:rPr>
          <w:rFonts w:cs="Times New Roman" w:hint="eastAsia"/>
          <w:sz w:val="21"/>
          <w:szCs w:val="21"/>
        </w:rPr>
        <w:t>（以下无正文）</w:t>
      </w:r>
    </w:p>
    <w:p w:rsidR="00E6306F" w:rsidRPr="006B07F0" w:rsidRDefault="00E6306F" w:rsidP="00E6306F">
      <w:pPr>
        <w:spacing w:line="400" w:lineRule="atLeast"/>
        <w:ind w:firstLineChars="200" w:firstLine="420"/>
        <w:rPr>
          <w:rFonts w:ascii="Times New Roman" w:hAnsi="Times New Roman" w:cs="Times New Roman"/>
          <w:sz w:val="21"/>
          <w:szCs w:val="22"/>
        </w:rPr>
        <w:sectPr w:rsidR="00E6306F" w:rsidRPr="006B07F0" w:rsidSect="00B3015F">
          <w:headerReference w:type="default" r:id="rId9"/>
          <w:footerReference w:type="default" r:id="rId10"/>
          <w:headerReference w:type="first" r:id="rId11"/>
          <w:footerReference w:type="first" r:id="rId12"/>
          <w:pgSz w:w="11906" w:h="16838"/>
          <w:pgMar w:top="1440" w:right="1700" w:bottom="1440" w:left="1800" w:header="851" w:footer="992" w:gutter="0"/>
          <w:cols w:space="425"/>
          <w:titlePg/>
          <w:docGrid w:type="lines" w:linePitch="326"/>
        </w:sectPr>
      </w:pPr>
    </w:p>
    <w:p w:rsidR="00E6306F" w:rsidRPr="006B07F0" w:rsidRDefault="00D10A6E" w:rsidP="00D10A6E">
      <w:pPr>
        <w:spacing w:line="400" w:lineRule="atLeast"/>
        <w:ind w:firstLineChars="200" w:firstLine="420"/>
        <w:rPr>
          <w:rFonts w:ascii="Times New Roman" w:hAnsi="Times New Roman" w:cs="Times New Roman"/>
          <w:sz w:val="21"/>
          <w:szCs w:val="22"/>
        </w:rPr>
      </w:pPr>
      <w:r>
        <w:rPr>
          <w:rFonts w:ascii="Times New Roman" w:hAnsi="Times New Roman" w:cs="Times New Roman"/>
          <w:noProof/>
          <w:sz w:val="21"/>
          <w:szCs w:val="22"/>
        </w:rPr>
        <w:lastRenderedPageBreak/>
        <w:drawing>
          <wp:anchor distT="0" distB="0" distL="114300" distR="114300" simplePos="0" relativeHeight="251658240" behindDoc="0" locked="0" layoutInCell="1" allowOverlap="1">
            <wp:simplePos x="0" y="0"/>
            <wp:positionH relativeFrom="column">
              <wp:posOffset>-1123950</wp:posOffset>
            </wp:positionH>
            <wp:positionV relativeFrom="paragraph">
              <wp:posOffset>73025</wp:posOffset>
            </wp:positionV>
            <wp:extent cx="7562850" cy="7324725"/>
            <wp:effectExtent l="0" t="0" r="0" b="9525"/>
            <wp:wrapNone/>
            <wp:docPr id="2" name="图片 2" descr="C:\Users\86173\Desktop\00年报更新申报文件2020年\000反馈\会计师反馈\会计师反馈签章页\会计师关于审核中心意见落实函的回复（2020年年报数据更新）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6173\Desktop\00年报更新申报文件2020年\000反馈\会计师反馈\会计师反馈签章页\会计师关于审核中心意见落实函的回复（2020年年报数据更新）_页面_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757" b="19758"/>
                    <a:stretch/>
                  </pic:blipFill>
                  <pic:spPr bwMode="auto">
                    <a:xfrm>
                      <a:off x="0" y="0"/>
                      <a:ext cx="7562850" cy="732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306F" w:rsidRPr="006B07F0" w:rsidRDefault="00E6306F" w:rsidP="00E6306F">
      <w:pPr>
        <w:spacing w:line="400" w:lineRule="atLeast"/>
        <w:ind w:firstLineChars="200" w:firstLine="420"/>
        <w:rPr>
          <w:rFonts w:ascii="Times New Roman" w:hAnsi="Times New Roman" w:cs="Times New Roman"/>
          <w:sz w:val="21"/>
          <w:szCs w:val="22"/>
        </w:rPr>
      </w:pPr>
    </w:p>
    <w:p w:rsidR="00E6306F" w:rsidRPr="006B07F0" w:rsidRDefault="00E6306F" w:rsidP="00E6306F">
      <w:pPr>
        <w:spacing w:line="400" w:lineRule="atLeast"/>
        <w:ind w:firstLineChars="200" w:firstLine="420"/>
        <w:rPr>
          <w:rFonts w:ascii="Times New Roman" w:hAnsi="Times New Roman" w:cs="Times New Roman"/>
          <w:sz w:val="21"/>
          <w:szCs w:val="22"/>
        </w:rPr>
      </w:pPr>
    </w:p>
    <w:p w:rsidR="00E6306F" w:rsidRPr="006B07F0" w:rsidRDefault="00E6306F" w:rsidP="00E6306F">
      <w:pPr>
        <w:spacing w:line="400" w:lineRule="atLeast"/>
        <w:ind w:firstLineChars="200" w:firstLine="480"/>
        <w:rPr>
          <w:rFonts w:ascii="Times New Roman" w:hAnsi="Times New Roman" w:cs="Times New Roman"/>
        </w:rPr>
      </w:pPr>
      <w:r w:rsidRPr="006B07F0">
        <w:rPr>
          <w:rFonts w:ascii="Times New Roman" w:hAnsi="Times New Roman" w:cs="Times New Roman"/>
        </w:rPr>
        <w:t>（本页无正文）</w:t>
      </w:r>
    </w:p>
    <w:p w:rsidR="00E6306F" w:rsidRPr="006B07F0" w:rsidRDefault="00E6306F" w:rsidP="00E6306F">
      <w:pPr>
        <w:spacing w:line="400" w:lineRule="atLeast"/>
        <w:ind w:firstLineChars="1700" w:firstLine="4080"/>
        <w:jc w:val="right"/>
        <w:rPr>
          <w:rFonts w:ascii="Times New Roman" w:hAnsi="Times New Roman" w:cs="Times New Roman"/>
        </w:rPr>
      </w:pPr>
    </w:p>
    <w:p w:rsidR="00E6306F" w:rsidRPr="006B07F0" w:rsidRDefault="00E6306F" w:rsidP="00E6306F">
      <w:pPr>
        <w:spacing w:line="400" w:lineRule="atLeast"/>
        <w:ind w:firstLineChars="1700" w:firstLine="4080"/>
        <w:jc w:val="right"/>
        <w:rPr>
          <w:rFonts w:ascii="Times New Roman" w:hAnsi="Times New Roman" w:cs="Times New Roman"/>
        </w:rPr>
      </w:pPr>
    </w:p>
    <w:p w:rsidR="00E6306F" w:rsidRPr="006B07F0" w:rsidRDefault="00E6306F" w:rsidP="00E6306F">
      <w:pPr>
        <w:spacing w:line="400" w:lineRule="atLeast"/>
        <w:ind w:firstLineChars="1700" w:firstLine="4080"/>
        <w:jc w:val="right"/>
        <w:rPr>
          <w:rFonts w:ascii="Times New Roman" w:hAnsi="Times New Roman" w:cs="Times New Roman"/>
        </w:rPr>
      </w:pPr>
    </w:p>
    <w:p w:rsidR="00E6306F" w:rsidRPr="006B07F0" w:rsidRDefault="00E6306F" w:rsidP="00E6306F">
      <w:pPr>
        <w:spacing w:line="400" w:lineRule="atLeast"/>
        <w:ind w:firstLineChars="1700" w:firstLine="4080"/>
        <w:jc w:val="right"/>
        <w:rPr>
          <w:rFonts w:ascii="Times New Roman" w:hAnsi="Times New Roman" w:cs="Times New Roman"/>
        </w:rPr>
      </w:pPr>
    </w:p>
    <w:p w:rsidR="00E6306F" w:rsidRPr="006B07F0" w:rsidRDefault="00E6306F" w:rsidP="00E6306F">
      <w:pPr>
        <w:spacing w:line="400" w:lineRule="atLeast"/>
        <w:ind w:firstLineChars="1800" w:firstLine="4320"/>
        <w:rPr>
          <w:rFonts w:ascii="Times New Roman" w:hAnsi="Times New Roman" w:cs="Times New Roman"/>
        </w:rPr>
      </w:pPr>
      <w:r w:rsidRPr="006B07F0">
        <w:rPr>
          <w:rFonts w:ascii="Times New Roman" w:hAnsi="Times New Roman" w:cs="Times New Roman"/>
        </w:rPr>
        <w:t>立信会计师事务所（特殊普通合伙）</w:t>
      </w:r>
    </w:p>
    <w:p w:rsidR="00E6306F" w:rsidRPr="006B07F0" w:rsidRDefault="00E6306F" w:rsidP="00E6306F">
      <w:pPr>
        <w:spacing w:line="400" w:lineRule="atLeast"/>
        <w:ind w:leftChars="2092" w:left="5021"/>
        <w:rPr>
          <w:rFonts w:ascii="Times New Roman" w:hAnsi="Times New Roman" w:cs="Times New Roman"/>
        </w:rPr>
      </w:pPr>
    </w:p>
    <w:p w:rsidR="00E6306F" w:rsidRPr="006B07F0" w:rsidRDefault="00E6306F" w:rsidP="00E6306F">
      <w:pPr>
        <w:spacing w:line="400" w:lineRule="atLeast"/>
        <w:ind w:leftChars="2092" w:left="5021"/>
        <w:rPr>
          <w:rFonts w:ascii="Times New Roman" w:hAnsi="Times New Roman" w:cs="Times New Roman"/>
        </w:rPr>
      </w:pPr>
    </w:p>
    <w:p w:rsidR="00E6306F" w:rsidRPr="006B07F0" w:rsidRDefault="00E6306F" w:rsidP="00E6306F">
      <w:pPr>
        <w:spacing w:line="400" w:lineRule="atLeast"/>
        <w:ind w:leftChars="2092" w:left="5021"/>
        <w:rPr>
          <w:rFonts w:ascii="Times New Roman" w:hAnsi="Times New Roman" w:cs="Times New Roman"/>
        </w:rPr>
      </w:pPr>
    </w:p>
    <w:p w:rsidR="00E6306F" w:rsidRPr="006B07F0" w:rsidRDefault="00E6306F" w:rsidP="00E6306F">
      <w:pPr>
        <w:spacing w:line="400" w:lineRule="atLeast"/>
        <w:ind w:leftChars="2092" w:left="5021"/>
        <w:rPr>
          <w:rFonts w:ascii="Times New Roman" w:hAnsi="Times New Roman" w:cs="Times New Roman"/>
        </w:rPr>
      </w:pPr>
    </w:p>
    <w:p w:rsidR="00E6306F" w:rsidRPr="006B07F0" w:rsidRDefault="00E6306F" w:rsidP="00E6306F">
      <w:pPr>
        <w:spacing w:line="400" w:lineRule="atLeast"/>
        <w:ind w:firstLineChars="1800" w:firstLine="4320"/>
        <w:rPr>
          <w:rFonts w:ascii="Times New Roman" w:hAnsi="Times New Roman" w:cs="Times New Roman"/>
        </w:rPr>
      </w:pPr>
      <w:r w:rsidRPr="006B07F0">
        <w:rPr>
          <w:rFonts w:ascii="Times New Roman" w:hAnsi="Times New Roman" w:cs="Times New Roman"/>
        </w:rPr>
        <w:t>中国注册会计师：</w:t>
      </w:r>
    </w:p>
    <w:p w:rsidR="00E6306F" w:rsidRPr="006B07F0" w:rsidRDefault="00E6306F" w:rsidP="00E6306F">
      <w:pPr>
        <w:spacing w:line="400" w:lineRule="atLeast"/>
        <w:ind w:leftChars="2092" w:left="5021"/>
        <w:rPr>
          <w:rFonts w:ascii="Times New Roman" w:hAnsi="Times New Roman" w:cs="Times New Roman"/>
        </w:rPr>
      </w:pPr>
    </w:p>
    <w:p w:rsidR="00E6306F" w:rsidRPr="006B07F0" w:rsidRDefault="00E6306F" w:rsidP="00E6306F">
      <w:pPr>
        <w:spacing w:line="400" w:lineRule="atLeast"/>
        <w:ind w:leftChars="2092" w:left="5021"/>
        <w:rPr>
          <w:rFonts w:ascii="Times New Roman" w:hAnsi="Times New Roman" w:cs="Times New Roman"/>
        </w:rPr>
      </w:pPr>
    </w:p>
    <w:p w:rsidR="00E6306F" w:rsidRPr="006B07F0" w:rsidRDefault="00E6306F" w:rsidP="00E6306F">
      <w:pPr>
        <w:spacing w:line="400" w:lineRule="atLeast"/>
        <w:ind w:leftChars="2092" w:left="5021"/>
        <w:rPr>
          <w:rFonts w:ascii="Times New Roman" w:hAnsi="Times New Roman" w:cs="Times New Roman"/>
        </w:rPr>
      </w:pPr>
    </w:p>
    <w:p w:rsidR="00E6306F" w:rsidRPr="006B07F0" w:rsidRDefault="00E6306F" w:rsidP="00E6306F">
      <w:pPr>
        <w:spacing w:line="400" w:lineRule="atLeast"/>
        <w:ind w:leftChars="2092" w:left="5021"/>
        <w:rPr>
          <w:rFonts w:ascii="Times New Roman" w:hAnsi="Times New Roman" w:cs="Times New Roman"/>
        </w:rPr>
      </w:pPr>
    </w:p>
    <w:p w:rsidR="00E6306F" w:rsidRPr="006B07F0" w:rsidRDefault="00E6306F" w:rsidP="00E6306F">
      <w:pPr>
        <w:spacing w:line="400" w:lineRule="atLeast"/>
        <w:ind w:firstLineChars="1800" w:firstLine="4320"/>
        <w:rPr>
          <w:rFonts w:ascii="Times New Roman" w:hAnsi="Times New Roman" w:cs="Times New Roman"/>
        </w:rPr>
      </w:pPr>
      <w:r w:rsidRPr="006B07F0">
        <w:rPr>
          <w:rFonts w:ascii="Times New Roman" w:hAnsi="Times New Roman" w:cs="Times New Roman"/>
        </w:rPr>
        <w:t>中国注册会计师：</w:t>
      </w:r>
    </w:p>
    <w:p w:rsidR="00E6306F" w:rsidRPr="006B07F0" w:rsidRDefault="00E6306F" w:rsidP="00E6306F">
      <w:pPr>
        <w:spacing w:line="400" w:lineRule="atLeast"/>
        <w:ind w:leftChars="2092" w:left="5021"/>
        <w:rPr>
          <w:rFonts w:ascii="Times New Roman" w:hAnsi="Times New Roman" w:cs="Times New Roman"/>
        </w:rPr>
      </w:pPr>
    </w:p>
    <w:p w:rsidR="00E6306F" w:rsidRPr="006B07F0" w:rsidRDefault="00E6306F" w:rsidP="00E6306F">
      <w:pPr>
        <w:spacing w:line="400" w:lineRule="atLeast"/>
        <w:ind w:leftChars="2092" w:left="5021"/>
        <w:rPr>
          <w:rFonts w:ascii="Times New Roman" w:hAnsi="Times New Roman" w:cs="Times New Roman"/>
        </w:rPr>
      </w:pPr>
    </w:p>
    <w:p w:rsidR="00E6306F" w:rsidRPr="006B07F0" w:rsidRDefault="00E6306F" w:rsidP="00E6306F">
      <w:pPr>
        <w:spacing w:line="400" w:lineRule="atLeast"/>
        <w:ind w:leftChars="2092" w:left="5021"/>
        <w:rPr>
          <w:rFonts w:ascii="Times New Roman" w:hAnsi="Times New Roman" w:cs="Times New Roman"/>
        </w:rPr>
      </w:pPr>
    </w:p>
    <w:p w:rsidR="00E6306F" w:rsidRPr="006B07F0" w:rsidRDefault="00E6306F" w:rsidP="00E6306F">
      <w:pPr>
        <w:spacing w:line="400" w:lineRule="atLeast"/>
        <w:ind w:leftChars="2092" w:left="5021"/>
        <w:rPr>
          <w:rFonts w:ascii="Times New Roman" w:hAnsi="Times New Roman" w:cs="Times New Roman"/>
        </w:rPr>
      </w:pPr>
    </w:p>
    <w:p w:rsidR="00E6306F" w:rsidRPr="000903A4" w:rsidRDefault="00E6306F" w:rsidP="003B1F23">
      <w:pPr>
        <w:spacing w:line="400" w:lineRule="atLeast"/>
        <w:ind w:firstLineChars="1800" w:firstLine="4320"/>
        <w:rPr>
          <w:rFonts w:ascii="Times New Roman" w:hAnsi="Times New Roman" w:cs="Times New Roman"/>
        </w:rPr>
      </w:pPr>
      <w:r w:rsidRPr="006B07F0">
        <w:rPr>
          <w:rFonts w:ascii="Times New Roman" w:hAnsi="Times New Roman" w:cs="Times New Roman"/>
        </w:rPr>
        <w:t>202</w:t>
      </w:r>
      <w:r w:rsidR="001E2F08" w:rsidRPr="006B07F0">
        <w:rPr>
          <w:rFonts w:ascii="Times New Roman" w:hAnsi="Times New Roman" w:cs="Times New Roman"/>
        </w:rPr>
        <w:t>1</w:t>
      </w:r>
      <w:r w:rsidRPr="006B07F0">
        <w:rPr>
          <w:rFonts w:ascii="Times New Roman" w:hAnsi="Times New Roman" w:cs="Times New Roman"/>
        </w:rPr>
        <w:t>年</w:t>
      </w:r>
      <w:r w:rsidR="001E2F08" w:rsidRPr="006B07F0">
        <w:rPr>
          <w:rFonts w:ascii="Times New Roman" w:hAnsi="Times New Roman" w:cs="Times New Roman"/>
        </w:rPr>
        <w:t>3</w:t>
      </w:r>
      <w:r w:rsidRPr="006B07F0">
        <w:rPr>
          <w:rFonts w:ascii="Times New Roman" w:hAnsi="Times New Roman" w:cs="Times New Roman"/>
        </w:rPr>
        <w:t>月</w:t>
      </w:r>
      <w:r w:rsidRPr="006B07F0">
        <w:rPr>
          <w:rFonts w:ascii="Times New Roman" w:hAnsi="Times New Roman" w:cs="Times New Roman"/>
        </w:rPr>
        <w:t xml:space="preserve">   </w:t>
      </w:r>
      <w:r w:rsidRPr="006B07F0">
        <w:rPr>
          <w:rFonts w:ascii="Times New Roman" w:hAnsi="Times New Roman" w:cs="Times New Roman"/>
        </w:rPr>
        <w:t>日</w:t>
      </w:r>
    </w:p>
    <w:p w:rsidR="00ED0960" w:rsidRPr="000903A4" w:rsidRDefault="00ED0960" w:rsidP="003B1F23">
      <w:pPr>
        <w:spacing w:line="400" w:lineRule="atLeast"/>
        <w:ind w:firstLineChars="1800" w:firstLine="4320"/>
        <w:rPr>
          <w:rFonts w:ascii="Times New Roman" w:hAnsi="Times New Roman" w:cs="Times New Roman"/>
        </w:rPr>
      </w:pPr>
    </w:p>
    <w:sectPr w:rsidR="00ED0960" w:rsidRPr="000903A4" w:rsidSect="00B3015F">
      <w:footerReference w:type="default" r:id="rId14"/>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80" w:rsidRDefault="00674280" w:rsidP="008D47B1">
      <w:r>
        <w:separator/>
      </w:r>
    </w:p>
  </w:endnote>
  <w:endnote w:type="continuationSeparator" w:id="0">
    <w:p w:rsidR="00674280" w:rsidRDefault="00674280" w:rsidP="008D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KaiTi">
    <w:altName w:val="汉仪楷体KW"/>
    <w:charset w:val="86"/>
    <w:family w:val="modern"/>
    <w:pitch w:val="fixed"/>
    <w:sig w:usb0="800002BF" w:usb1="38CF7CFA" w:usb2="00000016" w:usb3="00000000" w:csb0="00040001" w:csb1="00000000"/>
  </w:font>
  <w:font w:name="Times New Roman (正文 CS 字体)">
    <w:altName w:val="宋体"/>
    <w:panose1 w:val="00000000000000000000"/>
    <w:charset w:val="00"/>
    <w:family w:val="roman"/>
    <w:notTrueType/>
    <w:pitch w:val="variable"/>
    <w:sig w:usb0="E0002AE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D7" w:rsidRPr="00F04FCC" w:rsidRDefault="00F04FCC" w:rsidP="001B0AD7">
    <w:pPr>
      <w:pStyle w:val="a4"/>
      <w:jc w:val="center"/>
      <w:rPr>
        <w:rFonts w:ascii="Times New Roman" w:eastAsia="宋体" w:hAnsi="Times New Roman" w:cs="Times New Roman"/>
      </w:rPr>
    </w:pPr>
    <w:r w:rsidRPr="00F04FCC">
      <w:rPr>
        <w:rFonts w:ascii="Times New Roman" w:eastAsia="宋体" w:hAnsi="Times New Roman" w:cs="Times New Roman"/>
      </w:rPr>
      <w:t>2-</w:t>
    </w:r>
    <w:r w:rsidRPr="00F04FCC">
      <w:rPr>
        <w:rStyle w:val="af8"/>
        <w:rFonts w:ascii="Times New Roman" w:hAnsi="Times New Roman" w:cs="Times New Roman"/>
      </w:rPr>
      <w:fldChar w:fldCharType="begin"/>
    </w:r>
    <w:r w:rsidRPr="00F04FCC">
      <w:rPr>
        <w:rStyle w:val="af8"/>
        <w:rFonts w:ascii="Times New Roman" w:hAnsi="Times New Roman" w:cs="Times New Roman"/>
      </w:rPr>
      <w:instrText xml:space="preserve"> PAGE </w:instrText>
    </w:r>
    <w:r w:rsidRPr="00F04FCC">
      <w:rPr>
        <w:rStyle w:val="af8"/>
        <w:rFonts w:ascii="Times New Roman" w:hAnsi="Times New Roman" w:cs="Times New Roman"/>
      </w:rPr>
      <w:fldChar w:fldCharType="separate"/>
    </w:r>
    <w:r w:rsidR="000B5116">
      <w:rPr>
        <w:rStyle w:val="af8"/>
        <w:rFonts w:ascii="Times New Roman" w:hAnsi="Times New Roman" w:cs="Times New Roman"/>
        <w:noProof/>
      </w:rPr>
      <w:t>2</w:t>
    </w:r>
    <w:r w:rsidRPr="00F04FCC">
      <w:rPr>
        <w:rStyle w:val="af8"/>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16" w:rsidRPr="00F04FCC" w:rsidRDefault="000B5116" w:rsidP="000B5116">
    <w:pPr>
      <w:pStyle w:val="a4"/>
      <w:jc w:val="center"/>
      <w:rPr>
        <w:rFonts w:ascii="Times New Roman" w:eastAsia="宋体" w:hAnsi="Times New Roman" w:cs="Times New Roman"/>
      </w:rPr>
    </w:pPr>
    <w:r w:rsidRPr="00F04FCC">
      <w:rPr>
        <w:rFonts w:ascii="Times New Roman" w:eastAsia="宋体" w:hAnsi="Times New Roman" w:cs="Times New Roman"/>
      </w:rPr>
      <w:t>2-</w:t>
    </w:r>
    <w:r w:rsidRPr="00F04FCC">
      <w:rPr>
        <w:rStyle w:val="af8"/>
        <w:rFonts w:ascii="Times New Roman" w:hAnsi="Times New Roman" w:cs="Times New Roman"/>
      </w:rPr>
      <w:fldChar w:fldCharType="begin"/>
    </w:r>
    <w:r w:rsidRPr="00F04FCC">
      <w:rPr>
        <w:rStyle w:val="af8"/>
        <w:rFonts w:ascii="Times New Roman" w:hAnsi="Times New Roman" w:cs="Times New Roman"/>
      </w:rPr>
      <w:instrText xml:space="preserve"> PAGE </w:instrText>
    </w:r>
    <w:r w:rsidRPr="00F04FCC">
      <w:rPr>
        <w:rStyle w:val="af8"/>
        <w:rFonts w:ascii="Times New Roman" w:hAnsi="Times New Roman" w:cs="Times New Roman"/>
      </w:rPr>
      <w:fldChar w:fldCharType="separate"/>
    </w:r>
    <w:r>
      <w:rPr>
        <w:rStyle w:val="af8"/>
        <w:rFonts w:ascii="Times New Roman" w:hAnsi="Times New Roman" w:cs="Times New Roman"/>
        <w:noProof/>
      </w:rPr>
      <w:t>1</w:t>
    </w:r>
    <w:r w:rsidRPr="00F04FCC">
      <w:rPr>
        <w:rStyle w:val="af8"/>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CC" w:rsidRPr="00F04FCC" w:rsidRDefault="00F04FCC" w:rsidP="00F04FCC">
    <w:pPr>
      <w:pStyle w:val="a4"/>
      <w:jc w:val="center"/>
      <w:rPr>
        <w:rFonts w:ascii="Times New Roman" w:eastAsia="宋体" w:hAnsi="Times New Roman" w:cs="Times New Roman"/>
      </w:rPr>
    </w:pPr>
    <w:r w:rsidRPr="00F04FCC">
      <w:rPr>
        <w:rFonts w:ascii="Times New Roman" w:eastAsia="宋体" w:hAnsi="Times New Roman" w:cs="Times New Roman"/>
      </w:rPr>
      <w:t>2-</w:t>
    </w:r>
    <w:r w:rsidRPr="00F04FCC">
      <w:rPr>
        <w:rStyle w:val="af8"/>
        <w:rFonts w:ascii="Times New Roman" w:hAnsi="Times New Roman" w:cs="Times New Roman"/>
      </w:rPr>
      <w:fldChar w:fldCharType="begin"/>
    </w:r>
    <w:r w:rsidRPr="00F04FCC">
      <w:rPr>
        <w:rStyle w:val="af8"/>
        <w:rFonts w:ascii="Times New Roman" w:hAnsi="Times New Roman" w:cs="Times New Roman"/>
      </w:rPr>
      <w:instrText xml:space="preserve"> PAGE </w:instrText>
    </w:r>
    <w:r w:rsidRPr="00F04FCC">
      <w:rPr>
        <w:rStyle w:val="af8"/>
        <w:rFonts w:ascii="Times New Roman" w:hAnsi="Times New Roman" w:cs="Times New Roman"/>
      </w:rPr>
      <w:fldChar w:fldCharType="separate"/>
    </w:r>
    <w:r w:rsidR="000B5116">
      <w:rPr>
        <w:rStyle w:val="af8"/>
        <w:rFonts w:ascii="Times New Roman" w:hAnsi="Times New Roman" w:cs="Times New Roman"/>
        <w:noProof/>
      </w:rPr>
      <w:t>23</w:t>
    </w:r>
    <w:r w:rsidRPr="00F04FCC">
      <w:rPr>
        <w:rStyle w:val="af8"/>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80" w:rsidRDefault="00674280" w:rsidP="008D47B1">
      <w:r>
        <w:separator/>
      </w:r>
    </w:p>
  </w:footnote>
  <w:footnote w:type="continuationSeparator" w:id="0">
    <w:p w:rsidR="00674280" w:rsidRDefault="00674280" w:rsidP="008D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C7" w:rsidRPr="000953C7" w:rsidRDefault="000953C7" w:rsidP="000953C7">
    <w:pPr>
      <w:pStyle w:val="a3"/>
      <w:jc w:val="left"/>
      <w:rPr>
        <w:rFonts w:ascii="宋体" w:eastAsia="宋体" w:hAnsi="宋体"/>
      </w:rPr>
    </w:pPr>
    <w:r w:rsidRPr="000953C7">
      <w:rPr>
        <w:rFonts w:ascii="宋体" w:eastAsia="宋体" w:hAnsi="宋体" w:hint="eastAsia"/>
      </w:rPr>
      <w:t>关于对</w:t>
    </w:r>
    <w:r w:rsidR="006E4A9B" w:rsidRPr="006E4A9B">
      <w:rPr>
        <w:rFonts w:ascii="宋体" w:eastAsia="宋体" w:hAnsi="宋体" w:hint="eastAsia"/>
      </w:rPr>
      <w:t>上海霍普建筑设计事务所股份有限公司</w:t>
    </w:r>
  </w:p>
  <w:p w:rsidR="000953C7" w:rsidRPr="000953C7" w:rsidRDefault="000953C7" w:rsidP="000953C7">
    <w:pPr>
      <w:pStyle w:val="a3"/>
      <w:jc w:val="left"/>
      <w:rPr>
        <w:rFonts w:ascii="宋体" w:eastAsia="宋体" w:hAnsi="宋体"/>
      </w:rPr>
    </w:pPr>
    <w:r w:rsidRPr="000953C7">
      <w:rPr>
        <w:rFonts w:ascii="宋体" w:eastAsia="宋体" w:hAnsi="宋体" w:hint="eastAsia"/>
      </w:rPr>
      <w:t>申请首次公开发行股票并在创业板上市的</w:t>
    </w:r>
  </w:p>
  <w:p w:rsidR="004F0862" w:rsidRDefault="000953C7" w:rsidP="000953C7">
    <w:pPr>
      <w:pStyle w:val="a3"/>
      <w:jc w:val="left"/>
      <w:rPr>
        <w:rFonts w:ascii="宋体" w:eastAsia="宋体" w:hAnsi="宋体"/>
      </w:rPr>
    </w:pPr>
    <w:r w:rsidRPr="000953C7">
      <w:rPr>
        <w:rFonts w:ascii="宋体" w:eastAsia="宋体" w:hAnsi="宋体" w:hint="eastAsia"/>
      </w:rPr>
      <w:t>审核中心意见落实函的回复</w:t>
    </w:r>
  </w:p>
  <w:p w:rsidR="004F0862" w:rsidRPr="003B1F23" w:rsidRDefault="004F0862" w:rsidP="004F0862">
    <w:pPr>
      <w:pStyle w:val="a3"/>
      <w:pBdr>
        <w:bottom w:val="none" w:sz="0" w:space="0" w:color="auto"/>
      </w:pBdr>
      <w:rPr>
        <w:rFonts w:ascii="宋体" w:eastAsia="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D7" w:rsidRDefault="001B0AD7" w:rsidP="001B0AD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B53"/>
    <w:multiLevelType w:val="hybridMultilevel"/>
    <w:tmpl w:val="148475C4"/>
    <w:lvl w:ilvl="0" w:tplc="9580E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A844B0"/>
    <w:multiLevelType w:val="hybridMultilevel"/>
    <w:tmpl w:val="D9EA8284"/>
    <w:lvl w:ilvl="0" w:tplc="8A0C5804">
      <w:start w:val="2"/>
      <w:numFmt w:val="bullet"/>
      <w:lvlText w:val="合"/>
      <w:lvlJc w:val="left"/>
      <w:pPr>
        <w:ind w:left="360" w:hanging="360"/>
      </w:pPr>
      <w:rPr>
        <w:rFonts w:ascii="宋体" w:eastAsia="宋体" w:hAnsi="宋体" w:cs="Times New Roman" w:hint="eastAsia"/>
        <w:b/>
        <w:bCs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B496333"/>
    <w:multiLevelType w:val="hybridMultilevel"/>
    <w:tmpl w:val="5CE07CB6"/>
    <w:lvl w:ilvl="0" w:tplc="CFF811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cumentProtection w:edit="readOnly" w:enforcement="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4C"/>
    <w:rsid w:val="00000631"/>
    <w:rsid w:val="000048F8"/>
    <w:rsid w:val="00017941"/>
    <w:rsid w:val="00017A84"/>
    <w:rsid w:val="00035EC8"/>
    <w:rsid w:val="00047ECD"/>
    <w:rsid w:val="000903A4"/>
    <w:rsid w:val="000905A5"/>
    <w:rsid w:val="000953C7"/>
    <w:rsid w:val="000B13DD"/>
    <w:rsid w:val="000B1AF7"/>
    <w:rsid w:val="000B5116"/>
    <w:rsid w:val="000B7A3F"/>
    <w:rsid w:val="000C350F"/>
    <w:rsid w:val="000C36D7"/>
    <w:rsid w:val="000D78B2"/>
    <w:rsid w:val="001066C5"/>
    <w:rsid w:val="00114F3A"/>
    <w:rsid w:val="00123AB1"/>
    <w:rsid w:val="00123AE8"/>
    <w:rsid w:val="00126FC8"/>
    <w:rsid w:val="0019468B"/>
    <w:rsid w:val="001B0AD7"/>
    <w:rsid w:val="001D01B0"/>
    <w:rsid w:val="001E22B6"/>
    <w:rsid w:val="001E2F08"/>
    <w:rsid w:val="001E6187"/>
    <w:rsid w:val="001E6A08"/>
    <w:rsid w:val="001F3C80"/>
    <w:rsid w:val="001F5DE7"/>
    <w:rsid w:val="001F63F0"/>
    <w:rsid w:val="00204986"/>
    <w:rsid w:val="00207924"/>
    <w:rsid w:val="00216C44"/>
    <w:rsid w:val="002228C7"/>
    <w:rsid w:val="0022544C"/>
    <w:rsid w:val="002278A9"/>
    <w:rsid w:val="00242FC8"/>
    <w:rsid w:val="002615AB"/>
    <w:rsid w:val="00275E11"/>
    <w:rsid w:val="0028774F"/>
    <w:rsid w:val="00287782"/>
    <w:rsid w:val="002C5540"/>
    <w:rsid w:val="00303D80"/>
    <w:rsid w:val="003058A1"/>
    <w:rsid w:val="00311FF8"/>
    <w:rsid w:val="003261A3"/>
    <w:rsid w:val="00335B84"/>
    <w:rsid w:val="00345C9B"/>
    <w:rsid w:val="003500D3"/>
    <w:rsid w:val="00376786"/>
    <w:rsid w:val="003802C3"/>
    <w:rsid w:val="003834A4"/>
    <w:rsid w:val="003B1F23"/>
    <w:rsid w:val="003B4620"/>
    <w:rsid w:val="003C202D"/>
    <w:rsid w:val="003D2D8D"/>
    <w:rsid w:val="003D50E5"/>
    <w:rsid w:val="003E0567"/>
    <w:rsid w:val="003F1868"/>
    <w:rsid w:val="00401BE9"/>
    <w:rsid w:val="00411D65"/>
    <w:rsid w:val="00427916"/>
    <w:rsid w:val="00434E78"/>
    <w:rsid w:val="0044019D"/>
    <w:rsid w:val="0045431C"/>
    <w:rsid w:val="00471223"/>
    <w:rsid w:val="0047364A"/>
    <w:rsid w:val="004A3C75"/>
    <w:rsid w:val="004B4BE3"/>
    <w:rsid w:val="004B6DA2"/>
    <w:rsid w:val="004D7544"/>
    <w:rsid w:val="004E678C"/>
    <w:rsid w:val="004F0862"/>
    <w:rsid w:val="0050240A"/>
    <w:rsid w:val="00503E8F"/>
    <w:rsid w:val="00512C85"/>
    <w:rsid w:val="00517EB8"/>
    <w:rsid w:val="00525DB3"/>
    <w:rsid w:val="00527A98"/>
    <w:rsid w:val="00551863"/>
    <w:rsid w:val="00554595"/>
    <w:rsid w:val="005658DC"/>
    <w:rsid w:val="005759B6"/>
    <w:rsid w:val="00585280"/>
    <w:rsid w:val="00593245"/>
    <w:rsid w:val="005C5F5D"/>
    <w:rsid w:val="005D201E"/>
    <w:rsid w:val="005E4307"/>
    <w:rsid w:val="005E7A0D"/>
    <w:rsid w:val="005F1746"/>
    <w:rsid w:val="0063582D"/>
    <w:rsid w:val="0065459E"/>
    <w:rsid w:val="00674280"/>
    <w:rsid w:val="006811E7"/>
    <w:rsid w:val="006B07F0"/>
    <w:rsid w:val="006C086F"/>
    <w:rsid w:val="006C7DFA"/>
    <w:rsid w:val="006D4C94"/>
    <w:rsid w:val="006D765B"/>
    <w:rsid w:val="006D7918"/>
    <w:rsid w:val="006E4A9B"/>
    <w:rsid w:val="006F4821"/>
    <w:rsid w:val="006F6990"/>
    <w:rsid w:val="007111F6"/>
    <w:rsid w:val="00725F86"/>
    <w:rsid w:val="0074124F"/>
    <w:rsid w:val="0074689F"/>
    <w:rsid w:val="00752F90"/>
    <w:rsid w:val="00765F0C"/>
    <w:rsid w:val="0077209E"/>
    <w:rsid w:val="00772B64"/>
    <w:rsid w:val="0077678A"/>
    <w:rsid w:val="007A62BB"/>
    <w:rsid w:val="007B7FDA"/>
    <w:rsid w:val="007D4C8D"/>
    <w:rsid w:val="007E4441"/>
    <w:rsid w:val="008037D2"/>
    <w:rsid w:val="00834EF8"/>
    <w:rsid w:val="008412FA"/>
    <w:rsid w:val="00842849"/>
    <w:rsid w:val="00842A4F"/>
    <w:rsid w:val="00857F50"/>
    <w:rsid w:val="00863D90"/>
    <w:rsid w:val="00871231"/>
    <w:rsid w:val="00884A54"/>
    <w:rsid w:val="00887381"/>
    <w:rsid w:val="00887DF8"/>
    <w:rsid w:val="008A0082"/>
    <w:rsid w:val="008D47B1"/>
    <w:rsid w:val="008F139F"/>
    <w:rsid w:val="008F65EB"/>
    <w:rsid w:val="00904315"/>
    <w:rsid w:val="00926C55"/>
    <w:rsid w:val="0093474E"/>
    <w:rsid w:val="009444B8"/>
    <w:rsid w:val="00954DAD"/>
    <w:rsid w:val="009573DD"/>
    <w:rsid w:val="0099448E"/>
    <w:rsid w:val="009977C6"/>
    <w:rsid w:val="009A48DC"/>
    <w:rsid w:val="009C065B"/>
    <w:rsid w:val="009C0EA8"/>
    <w:rsid w:val="009C2E82"/>
    <w:rsid w:val="009D4D94"/>
    <w:rsid w:val="009E0936"/>
    <w:rsid w:val="009E3A59"/>
    <w:rsid w:val="00A10F34"/>
    <w:rsid w:val="00A235F6"/>
    <w:rsid w:val="00A32131"/>
    <w:rsid w:val="00A3285C"/>
    <w:rsid w:val="00A32FB8"/>
    <w:rsid w:val="00A338AC"/>
    <w:rsid w:val="00A36F3A"/>
    <w:rsid w:val="00A376D1"/>
    <w:rsid w:val="00A4160F"/>
    <w:rsid w:val="00A43E92"/>
    <w:rsid w:val="00A66891"/>
    <w:rsid w:val="00A66CFD"/>
    <w:rsid w:val="00A87D9F"/>
    <w:rsid w:val="00AD0AD5"/>
    <w:rsid w:val="00B01AFA"/>
    <w:rsid w:val="00B05F4A"/>
    <w:rsid w:val="00B3015F"/>
    <w:rsid w:val="00B31D3D"/>
    <w:rsid w:val="00B5559B"/>
    <w:rsid w:val="00B60FB7"/>
    <w:rsid w:val="00B733D3"/>
    <w:rsid w:val="00B81005"/>
    <w:rsid w:val="00B8602E"/>
    <w:rsid w:val="00BA1D3A"/>
    <w:rsid w:val="00BB1194"/>
    <w:rsid w:val="00BC19D7"/>
    <w:rsid w:val="00C102E4"/>
    <w:rsid w:val="00C22903"/>
    <w:rsid w:val="00C30C39"/>
    <w:rsid w:val="00C64A3B"/>
    <w:rsid w:val="00C70137"/>
    <w:rsid w:val="00C80ABE"/>
    <w:rsid w:val="00C91054"/>
    <w:rsid w:val="00C97ABC"/>
    <w:rsid w:val="00CA69C7"/>
    <w:rsid w:val="00CC13FD"/>
    <w:rsid w:val="00CD38F9"/>
    <w:rsid w:val="00CE06F6"/>
    <w:rsid w:val="00CE7E34"/>
    <w:rsid w:val="00CF6BBC"/>
    <w:rsid w:val="00CF78E9"/>
    <w:rsid w:val="00D10A6E"/>
    <w:rsid w:val="00D116D8"/>
    <w:rsid w:val="00D13D1C"/>
    <w:rsid w:val="00D13D65"/>
    <w:rsid w:val="00D147DB"/>
    <w:rsid w:val="00D17C6D"/>
    <w:rsid w:val="00D43AC2"/>
    <w:rsid w:val="00D51A06"/>
    <w:rsid w:val="00D5312F"/>
    <w:rsid w:val="00D56BA1"/>
    <w:rsid w:val="00D6709F"/>
    <w:rsid w:val="00D73CAB"/>
    <w:rsid w:val="00D86080"/>
    <w:rsid w:val="00DB02B8"/>
    <w:rsid w:val="00DC2565"/>
    <w:rsid w:val="00DD6F5E"/>
    <w:rsid w:val="00DE085A"/>
    <w:rsid w:val="00DE1E36"/>
    <w:rsid w:val="00DE4E75"/>
    <w:rsid w:val="00DF0A2F"/>
    <w:rsid w:val="00DF7A58"/>
    <w:rsid w:val="00E0175E"/>
    <w:rsid w:val="00E046D7"/>
    <w:rsid w:val="00E04A5A"/>
    <w:rsid w:val="00E112A9"/>
    <w:rsid w:val="00E27981"/>
    <w:rsid w:val="00E27C16"/>
    <w:rsid w:val="00E37A20"/>
    <w:rsid w:val="00E6306F"/>
    <w:rsid w:val="00E64B32"/>
    <w:rsid w:val="00EA522E"/>
    <w:rsid w:val="00EA52AA"/>
    <w:rsid w:val="00EB4122"/>
    <w:rsid w:val="00EB4DE2"/>
    <w:rsid w:val="00EC3301"/>
    <w:rsid w:val="00ED0960"/>
    <w:rsid w:val="00F04FCC"/>
    <w:rsid w:val="00F106C8"/>
    <w:rsid w:val="00F16DDA"/>
    <w:rsid w:val="00F2466B"/>
    <w:rsid w:val="00F32946"/>
    <w:rsid w:val="00F37BCD"/>
    <w:rsid w:val="00F42003"/>
    <w:rsid w:val="00F4396D"/>
    <w:rsid w:val="00FA21ED"/>
    <w:rsid w:val="00FA2EEE"/>
    <w:rsid w:val="00FA6F30"/>
    <w:rsid w:val="00FB76AB"/>
    <w:rsid w:val="00FC3910"/>
    <w:rsid w:val="00FD074B"/>
    <w:rsid w:val="00FE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75"/>
    <w:rPr>
      <w:rFonts w:ascii="宋体" w:eastAsia="宋体" w:hAnsi="宋体" w:cs="宋体"/>
      <w:kern w:val="0"/>
      <w:sz w:val="24"/>
      <w:szCs w:val="24"/>
    </w:rPr>
  </w:style>
  <w:style w:type="paragraph" w:styleId="1">
    <w:name w:val="heading 1"/>
    <w:basedOn w:val="a"/>
    <w:next w:val="a"/>
    <w:link w:val="1Char"/>
    <w:uiPriority w:val="9"/>
    <w:qFormat/>
    <w:rsid w:val="001D01B0"/>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semiHidden/>
    <w:unhideWhenUsed/>
    <w:qFormat/>
    <w:rsid w:val="006E4A9B"/>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7B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D47B1"/>
    <w:rPr>
      <w:sz w:val="18"/>
      <w:szCs w:val="18"/>
    </w:rPr>
  </w:style>
  <w:style w:type="paragraph" w:styleId="a4">
    <w:name w:val="footer"/>
    <w:basedOn w:val="a"/>
    <w:link w:val="Char0"/>
    <w:uiPriority w:val="99"/>
    <w:unhideWhenUsed/>
    <w:rsid w:val="008D47B1"/>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D47B1"/>
    <w:rPr>
      <w:sz w:val="18"/>
      <w:szCs w:val="18"/>
    </w:rPr>
  </w:style>
  <w:style w:type="paragraph" w:styleId="a5">
    <w:name w:val="List Paragraph"/>
    <w:basedOn w:val="a"/>
    <w:uiPriority w:val="34"/>
    <w:qFormat/>
    <w:rsid w:val="008D47B1"/>
    <w:pPr>
      <w:widowControl w:val="0"/>
      <w:ind w:firstLineChars="200" w:firstLine="420"/>
      <w:jc w:val="both"/>
    </w:pPr>
    <w:rPr>
      <w:rFonts w:asciiTheme="minorHAnsi" w:eastAsiaTheme="minorEastAsia" w:hAnsiTheme="minorHAnsi" w:cstheme="minorBidi"/>
      <w:kern w:val="2"/>
      <w:sz w:val="21"/>
      <w:szCs w:val="22"/>
    </w:rPr>
  </w:style>
  <w:style w:type="character" w:customStyle="1" w:styleId="1Char">
    <w:name w:val="标题 1 Char"/>
    <w:basedOn w:val="a0"/>
    <w:link w:val="1"/>
    <w:uiPriority w:val="9"/>
    <w:rsid w:val="001D01B0"/>
    <w:rPr>
      <w:b/>
      <w:bCs/>
      <w:kern w:val="44"/>
      <w:sz w:val="44"/>
      <w:szCs w:val="44"/>
    </w:rPr>
  </w:style>
  <w:style w:type="paragraph" w:styleId="TOC">
    <w:name w:val="TOC Heading"/>
    <w:basedOn w:val="1"/>
    <w:next w:val="a"/>
    <w:uiPriority w:val="39"/>
    <w:unhideWhenUsed/>
    <w:qFormat/>
    <w:rsid w:val="001D01B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1D01B0"/>
    <w:pPr>
      <w:widowControl w:val="0"/>
      <w:jc w:val="both"/>
    </w:pPr>
    <w:rPr>
      <w:rFonts w:asciiTheme="minorHAnsi" w:eastAsiaTheme="minorEastAsia" w:hAnsiTheme="minorHAnsi" w:cstheme="minorBidi"/>
      <w:kern w:val="2"/>
      <w:sz w:val="21"/>
      <w:szCs w:val="22"/>
    </w:rPr>
  </w:style>
  <w:style w:type="character" w:styleId="a6">
    <w:name w:val="Hyperlink"/>
    <w:basedOn w:val="a0"/>
    <w:uiPriority w:val="99"/>
    <w:unhideWhenUsed/>
    <w:rsid w:val="001D01B0"/>
    <w:rPr>
      <w:color w:val="0563C1" w:themeColor="hyperlink"/>
      <w:u w:val="single"/>
    </w:rPr>
  </w:style>
  <w:style w:type="paragraph" w:styleId="a7">
    <w:name w:val="Balloon Text"/>
    <w:basedOn w:val="a"/>
    <w:link w:val="Char1"/>
    <w:uiPriority w:val="99"/>
    <w:semiHidden/>
    <w:unhideWhenUsed/>
    <w:rsid w:val="00A66CFD"/>
    <w:rPr>
      <w:sz w:val="18"/>
      <w:szCs w:val="18"/>
    </w:rPr>
  </w:style>
  <w:style w:type="character" w:customStyle="1" w:styleId="Char1">
    <w:name w:val="批注框文本 Char"/>
    <w:basedOn w:val="a0"/>
    <w:link w:val="a7"/>
    <w:uiPriority w:val="99"/>
    <w:semiHidden/>
    <w:rsid w:val="00A66CFD"/>
    <w:rPr>
      <w:rFonts w:ascii="宋体" w:eastAsia="宋体" w:hAnsi="宋体" w:cs="宋体"/>
      <w:kern w:val="0"/>
      <w:sz w:val="18"/>
      <w:szCs w:val="18"/>
    </w:rPr>
  </w:style>
  <w:style w:type="paragraph" w:styleId="a8">
    <w:name w:val="footnote text"/>
    <w:basedOn w:val="a"/>
    <w:link w:val="Char2"/>
    <w:uiPriority w:val="99"/>
    <w:semiHidden/>
    <w:qFormat/>
    <w:rsid w:val="00287782"/>
    <w:pPr>
      <w:widowControl w:val="0"/>
      <w:snapToGrid w:val="0"/>
    </w:pPr>
    <w:rPr>
      <w:rFonts w:ascii="Calibri" w:hAnsi="Calibri" w:cs="Times New Roman"/>
      <w:kern w:val="2"/>
      <w:sz w:val="18"/>
      <w:szCs w:val="18"/>
    </w:rPr>
  </w:style>
  <w:style w:type="character" w:customStyle="1" w:styleId="Char2">
    <w:name w:val="脚注文本 Char"/>
    <w:basedOn w:val="a0"/>
    <w:link w:val="a8"/>
    <w:uiPriority w:val="99"/>
    <w:semiHidden/>
    <w:rsid w:val="00287782"/>
    <w:rPr>
      <w:rFonts w:ascii="Calibri" w:eastAsia="宋体" w:hAnsi="Calibri" w:cs="Times New Roman"/>
      <w:sz w:val="18"/>
      <w:szCs w:val="18"/>
    </w:rPr>
  </w:style>
  <w:style w:type="character" w:styleId="a9">
    <w:name w:val="footnote reference"/>
    <w:uiPriority w:val="99"/>
    <w:qFormat/>
    <w:rsid w:val="00287782"/>
    <w:rPr>
      <w:rFonts w:cs="Times New Roman"/>
      <w:vertAlign w:val="superscript"/>
    </w:rPr>
  </w:style>
  <w:style w:type="character" w:customStyle="1" w:styleId="2Char">
    <w:name w:val="标题 2 Char"/>
    <w:basedOn w:val="a0"/>
    <w:link w:val="2"/>
    <w:uiPriority w:val="9"/>
    <w:semiHidden/>
    <w:rsid w:val="006E4A9B"/>
    <w:rPr>
      <w:rFonts w:asciiTheme="majorHAnsi" w:eastAsiaTheme="majorEastAsia" w:hAnsiTheme="majorHAnsi" w:cstheme="majorBidi"/>
      <w:b/>
      <w:bCs/>
      <w:sz w:val="32"/>
      <w:szCs w:val="32"/>
    </w:rPr>
  </w:style>
  <w:style w:type="table" w:customStyle="1" w:styleId="11">
    <w:name w:val="样式1"/>
    <w:basedOn w:val="a1"/>
    <w:uiPriority w:val="99"/>
    <w:rsid w:val="006E4A9B"/>
    <w:pPr>
      <w:jc w:val="center"/>
    </w:pPr>
    <w:rPr>
      <w:rFonts w:ascii="KaiTi" w:eastAsia="KaiTi" w:cs="Times New Roman (正文 CS 字体)"/>
      <w:b/>
      <w:szCs w:val="24"/>
    </w:rPr>
    <w:tblPr>
      <w:jc w:val="center"/>
      <w:tblBorders>
        <w:top w:val="single" w:sz="12" w:space="0" w:color="313196"/>
        <w:left w:val="single" w:sz="4" w:space="0" w:color="313196"/>
        <w:bottom w:val="single" w:sz="12" w:space="0" w:color="313196"/>
        <w:right w:val="single" w:sz="4" w:space="0" w:color="313196"/>
        <w:insideH w:val="single" w:sz="4" w:space="0" w:color="313196"/>
        <w:insideV w:val="single" w:sz="4" w:space="0" w:color="313196"/>
      </w:tblBorders>
    </w:tblPr>
    <w:trPr>
      <w:jc w:val="center"/>
    </w:trPr>
    <w:tcPr>
      <w:vAlign w:val="center"/>
    </w:tcPr>
  </w:style>
  <w:style w:type="paragraph" w:customStyle="1" w:styleId="aa">
    <w:name w:val="答复"/>
    <w:basedOn w:val="a"/>
    <w:qFormat/>
    <w:rsid w:val="006E4A9B"/>
    <w:pPr>
      <w:widowControl w:val="0"/>
      <w:spacing w:beforeLines="50" w:before="156" w:afterLines="50" w:after="156" w:line="360" w:lineRule="auto"/>
      <w:ind w:firstLineChars="200" w:firstLine="482"/>
      <w:jc w:val="both"/>
    </w:pPr>
    <w:rPr>
      <w:rFonts w:ascii="Times New Roman" w:hAnsi="Times New Roman" w:cstheme="minorBidi"/>
      <w:b/>
      <w:bCs/>
      <w:kern w:val="2"/>
      <w:szCs w:val="28"/>
      <w:u w:val="double"/>
    </w:rPr>
  </w:style>
  <w:style w:type="paragraph" w:customStyle="1" w:styleId="ab">
    <w:name w:val="【补充】/【说明】"/>
    <w:basedOn w:val="a"/>
    <w:qFormat/>
    <w:rsid w:val="006E4A9B"/>
    <w:pPr>
      <w:widowControl w:val="0"/>
      <w:spacing w:beforeLines="50" w:before="156" w:afterLines="50" w:after="156" w:line="360" w:lineRule="auto"/>
      <w:ind w:firstLineChars="200" w:firstLine="482"/>
      <w:jc w:val="both"/>
      <w:outlineLvl w:val="1"/>
    </w:pPr>
    <w:rPr>
      <w:rFonts w:cs="Times New Roman"/>
      <w:b/>
      <w:bCs/>
      <w:kern w:val="2"/>
    </w:rPr>
  </w:style>
  <w:style w:type="paragraph" w:customStyle="1" w:styleId="ac">
    <w:name w:val="问题"/>
    <w:basedOn w:val="a"/>
    <w:qFormat/>
    <w:rsid w:val="006E4A9B"/>
    <w:pPr>
      <w:widowControl w:val="0"/>
      <w:spacing w:beforeLines="50" w:afterLines="50" w:line="360" w:lineRule="auto"/>
      <w:ind w:firstLineChars="200" w:firstLine="482"/>
      <w:jc w:val="both"/>
      <w:outlineLvl w:val="0"/>
    </w:pPr>
    <w:rPr>
      <w:rFonts w:ascii="Times New Roman" w:hAnsi="Times New Roman" w:cstheme="minorBidi"/>
      <w:b/>
      <w:bCs/>
      <w:kern w:val="2"/>
      <w:szCs w:val="28"/>
    </w:rPr>
  </w:style>
  <w:style w:type="paragraph" w:customStyle="1" w:styleId="ad">
    <w:name w:val="（问题）"/>
    <w:basedOn w:val="a"/>
    <w:qFormat/>
    <w:rsid w:val="006E4A9B"/>
    <w:pPr>
      <w:widowControl w:val="0"/>
      <w:spacing w:beforeLines="50" w:before="156" w:afterLines="50" w:after="156" w:line="360" w:lineRule="auto"/>
      <w:ind w:firstLineChars="200" w:firstLine="482"/>
      <w:jc w:val="both"/>
      <w:outlineLvl w:val="2"/>
    </w:pPr>
    <w:rPr>
      <w:rFonts w:ascii="黑体" w:eastAsia="黑体" w:hAnsi="黑体" w:cs="Times New Roman"/>
      <w:b/>
      <w:bCs/>
      <w:kern w:val="2"/>
    </w:rPr>
  </w:style>
  <w:style w:type="paragraph" w:customStyle="1" w:styleId="12">
    <w:name w:val="正文1"/>
    <w:basedOn w:val="a"/>
    <w:qFormat/>
    <w:rsid w:val="006E4A9B"/>
    <w:pPr>
      <w:autoSpaceDE w:val="0"/>
      <w:autoSpaceDN w:val="0"/>
      <w:adjustRightInd w:val="0"/>
      <w:spacing w:beforeLines="50" w:afterLines="50" w:line="360" w:lineRule="auto"/>
      <w:ind w:firstLineChars="200" w:firstLine="480"/>
      <w:jc w:val="both"/>
    </w:pPr>
    <w:rPr>
      <w:rFonts w:ascii="Times New Roman" w:hAnsi="Times New Roman"/>
    </w:rPr>
  </w:style>
  <w:style w:type="paragraph" w:customStyle="1" w:styleId="ae">
    <w:name w:val="披露正文"/>
    <w:basedOn w:val="a"/>
    <w:qFormat/>
    <w:rsid w:val="006E4A9B"/>
    <w:pPr>
      <w:widowControl w:val="0"/>
      <w:spacing w:beforeLines="50" w:before="156" w:afterLines="50" w:after="156" w:line="360" w:lineRule="auto"/>
      <w:ind w:firstLineChars="200" w:firstLine="482"/>
      <w:jc w:val="both"/>
    </w:pPr>
    <w:rPr>
      <w:rFonts w:ascii="楷体" w:eastAsia="楷体" w:hAnsi="楷体" w:cs="Times New Roman"/>
      <w:b/>
      <w:bCs/>
      <w:color w:val="000000"/>
      <w:lang w:bidi="en-US"/>
    </w:rPr>
  </w:style>
  <w:style w:type="table" w:styleId="af">
    <w:name w:val="Table Grid"/>
    <w:basedOn w:val="a1"/>
    <w:uiPriority w:val="39"/>
    <w:rsid w:val="006E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核查过程/结论）"/>
    <w:basedOn w:val="a"/>
    <w:qFormat/>
    <w:rsid w:val="006E4A9B"/>
    <w:pPr>
      <w:widowControl w:val="0"/>
      <w:spacing w:beforeLines="50" w:before="156" w:afterLines="50" w:after="156" w:line="360" w:lineRule="auto"/>
      <w:ind w:firstLineChars="200" w:firstLine="482"/>
      <w:outlineLvl w:val="2"/>
    </w:pPr>
    <w:rPr>
      <w:rFonts w:eastAsia="Times New Roman" w:cs="Times New Roman"/>
      <w:b/>
      <w:color w:val="000000"/>
      <w:lang w:bidi="en-US"/>
    </w:rPr>
  </w:style>
  <w:style w:type="character" w:customStyle="1" w:styleId="UnresolvedMention">
    <w:name w:val="Unresolved Mention"/>
    <w:basedOn w:val="a0"/>
    <w:uiPriority w:val="99"/>
    <w:semiHidden/>
    <w:unhideWhenUsed/>
    <w:rsid w:val="006E4A9B"/>
    <w:rPr>
      <w:color w:val="605E5C"/>
      <w:shd w:val="clear" w:color="auto" w:fill="E1DFDD"/>
    </w:rPr>
  </w:style>
  <w:style w:type="paragraph" w:styleId="af1">
    <w:name w:val="Revision"/>
    <w:hidden/>
    <w:uiPriority w:val="99"/>
    <w:semiHidden/>
    <w:rsid w:val="006E4A9B"/>
  </w:style>
  <w:style w:type="character" w:styleId="af2">
    <w:name w:val="annotation reference"/>
    <w:basedOn w:val="a0"/>
    <w:uiPriority w:val="99"/>
    <w:semiHidden/>
    <w:unhideWhenUsed/>
    <w:rsid w:val="006E4A9B"/>
    <w:rPr>
      <w:sz w:val="21"/>
      <w:szCs w:val="21"/>
    </w:rPr>
  </w:style>
  <w:style w:type="paragraph" w:styleId="af3">
    <w:name w:val="annotation text"/>
    <w:basedOn w:val="a"/>
    <w:link w:val="Char3"/>
    <w:uiPriority w:val="99"/>
    <w:semiHidden/>
    <w:unhideWhenUsed/>
    <w:rsid w:val="006E4A9B"/>
    <w:pPr>
      <w:widowControl w:val="0"/>
    </w:pPr>
    <w:rPr>
      <w:rFonts w:asciiTheme="minorHAnsi" w:eastAsiaTheme="minorEastAsia" w:hAnsiTheme="minorHAnsi" w:cstheme="minorBidi"/>
      <w:kern w:val="2"/>
      <w:sz w:val="21"/>
      <w:szCs w:val="22"/>
    </w:rPr>
  </w:style>
  <w:style w:type="character" w:customStyle="1" w:styleId="Char3">
    <w:name w:val="批注文字 Char"/>
    <w:basedOn w:val="a0"/>
    <w:link w:val="af3"/>
    <w:uiPriority w:val="99"/>
    <w:semiHidden/>
    <w:rsid w:val="006E4A9B"/>
  </w:style>
  <w:style w:type="paragraph" w:styleId="af4">
    <w:name w:val="annotation subject"/>
    <w:basedOn w:val="af3"/>
    <w:next w:val="af3"/>
    <w:link w:val="Char4"/>
    <w:uiPriority w:val="99"/>
    <w:semiHidden/>
    <w:unhideWhenUsed/>
    <w:rsid w:val="006E4A9B"/>
    <w:rPr>
      <w:b/>
      <w:bCs/>
    </w:rPr>
  </w:style>
  <w:style w:type="character" w:customStyle="1" w:styleId="Char4">
    <w:name w:val="批注主题 Char"/>
    <w:basedOn w:val="Char3"/>
    <w:link w:val="af4"/>
    <w:uiPriority w:val="99"/>
    <w:semiHidden/>
    <w:rsid w:val="006E4A9B"/>
    <w:rPr>
      <w:b/>
      <w:bCs/>
    </w:rPr>
  </w:style>
  <w:style w:type="paragraph" w:styleId="af5">
    <w:name w:val="No Spacing"/>
    <w:aliases w:val="表格正文"/>
    <w:uiPriority w:val="1"/>
    <w:qFormat/>
    <w:rsid w:val="006E4A9B"/>
    <w:pPr>
      <w:widowControl w:val="0"/>
      <w:snapToGrid w:val="0"/>
      <w:spacing w:beforeLines="30" w:before="30" w:afterLines="30" w:after="30"/>
      <w:jc w:val="both"/>
    </w:pPr>
    <w:rPr>
      <w:rFonts w:ascii="Times New Roman" w:eastAsia="宋体" w:hAnsi="Times New Roman" w:cs="Times New Roman"/>
      <w:szCs w:val="20"/>
    </w:rPr>
  </w:style>
  <w:style w:type="table" w:customStyle="1" w:styleId="5">
    <w:name w:val="网格型5"/>
    <w:basedOn w:val="a1"/>
    <w:next w:val="af"/>
    <w:uiPriority w:val="39"/>
    <w:rsid w:val="006E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1E2F08"/>
    <w:rPr>
      <w:color w:val="954F72" w:themeColor="followedHyperlink"/>
      <w:u w:val="single"/>
    </w:rPr>
  </w:style>
  <w:style w:type="paragraph" w:customStyle="1" w:styleId="msonormal0">
    <w:name w:val="msonormal"/>
    <w:basedOn w:val="a"/>
    <w:rsid w:val="001E2F08"/>
    <w:pPr>
      <w:spacing w:before="100" w:beforeAutospacing="1" w:after="100" w:afterAutospacing="1"/>
    </w:pPr>
  </w:style>
  <w:style w:type="paragraph" w:styleId="af7">
    <w:name w:val="Document Map"/>
    <w:basedOn w:val="a"/>
    <w:link w:val="Char5"/>
    <w:uiPriority w:val="99"/>
    <w:semiHidden/>
    <w:unhideWhenUsed/>
    <w:rsid w:val="001E2F08"/>
    <w:pPr>
      <w:widowControl w:val="0"/>
      <w:jc w:val="both"/>
    </w:pPr>
    <w:rPr>
      <w:rFonts w:hAnsiTheme="minorHAnsi" w:cstheme="minorBidi"/>
      <w:kern w:val="2"/>
      <w:sz w:val="18"/>
      <w:szCs w:val="18"/>
    </w:rPr>
  </w:style>
  <w:style w:type="character" w:customStyle="1" w:styleId="Char5">
    <w:name w:val="文档结构图 Char"/>
    <w:basedOn w:val="a0"/>
    <w:link w:val="af7"/>
    <w:uiPriority w:val="99"/>
    <w:semiHidden/>
    <w:rsid w:val="001E2F08"/>
    <w:rPr>
      <w:rFonts w:ascii="宋体" w:eastAsia="宋体"/>
      <w:sz w:val="18"/>
      <w:szCs w:val="18"/>
    </w:rPr>
  </w:style>
  <w:style w:type="character" w:customStyle="1" w:styleId="13">
    <w:name w:val="未处理的提及1"/>
    <w:basedOn w:val="a0"/>
    <w:uiPriority w:val="99"/>
    <w:semiHidden/>
    <w:rsid w:val="001E2F08"/>
    <w:rPr>
      <w:color w:val="605E5C"/>
      <w:shd w:val="clear" w:color="auto" w:fill="E1DFDD"/>
    </w:rPr>
  </w:style>
  <w:style w:type="character" w:styleId="af8">
    <w:name w:val="page number"/>
    <w:basedOn w:val="a0"/>
    <w:uiPriority w:val="99"/>
    <w:semiHidden/>
    <w:unhideWhenUsed/>
    <w:rsid w:val="00F04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75"/>
    <w:rPr>
      <w:rFonts w:ascii="宋体" w:eastAsia="宋体" w:hAnsi="宋体" w:cs="宋体"/>
      <w:kern w:val="0"/>
      <w:sz w:val="24"/>
      <w:szCs w:val="24"/>
    </w:rPr>
  </w:style>
  <w:style w:type="paragraph" w:styleId="1">
    <w:name w:val="heading 1"/>
    <w:basedOn w:val="a"/>
    <w:next w:val="a"/>
    <w:link w:val="1Char"/>
    <w:uiPriority w:val="9"/>
    <w:qFormat/>
    <w:rsid w:val="001D01B0"/>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semiHidden/>
    <w:unhideWhenUsed/>
    <w:qFormat/>
    <w:rsid w:val="006E4A9B"/>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7B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D47B1"/>
    <w:rPr>
      <w:sz w:val="18"/>
      <w:szCs w:val="18"/>
    </w:rPr>
  </w:style>
  <w:style w:type="paragraph" w:styleId="a4">
    <w:name w:val="footer"/>
    <w:basedOn w:val="a"/>
    <w:link w:val="Char0"/>
    <w:uiPriority w:val="99"/>
    <w:unhideWhenUsed/>
    <w:rsid w:val="008D47B1"/>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D47B1"/>
    <w:rPr>
      <w:sz w:val="18"/>
      <w:szCs w:val="18"/>
    </w:rPr>
  </w:style>
  <w:style w:type="paragraph" w:styleId="a5">
    <w:name w:val="List Paragraph"/>
    <w:basedOn w:val="a"/>
    <w:uiPriority w:val="34"/>
    <w:qFormat/>
    <w:rsid w:val="008D47B1"/>
    <w:pPr>
      <w:widowControl w:val="0"/>
      <w:ind w:firstLineChars="200" w:firstLine="420"/>
      <w:jc w:val="both"/>
    </w:pPr>
    <w:rPr>
      <w:rFonts w:asciiTheme="minorHAnsi" w:eastAsiaTheme="minorEastAsia" w:hAnsiTheme="minorHAnsi" w:cstheme="minorBidi"/>
      <w:kern w:val="2"/>
      <w:sz w:val="21"/>
      <w:szCs w:val="22"/>
    </w:rPr>
  </w:style>
  <w:style w:type="character" w:customStyle="1" w:styleId="1Char">
    <w:name w:val="标题 1 Char"/>
    <w:basedOn w:val="a0"/>
    <w:link w:val="1"/>
    <w:uiPriority w:val="9"/>
    <w:rsid w:val="001D01B0"/>
    <w:rPr>
      <w:b/>
      <w:bCs/>
      <w:kern w:val="44"/>
      <w:sz w:val="44"/>
      <w:szCs w:val="44"/>
    </w:rPr>
  </w:style>
  <w:style w:type="paragraph" w:styleId="TOC">
    <w:name w:val="TOC Heading"/>
    <w:basedOn w:val="1"/>
    <w:next w:val="a"/>
    <w:uiPriority w:val="39"/>
    <w:unhideWhenUsed/>
    <w:qFormat/>
    <w:rsid w:val="001D01B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1D01B0"/>
    <w:pPr>
      <w:widowControl w:val="0"/>
      <w:jc w:val="both"/>
    </w:pPr>
    <w:rPr>
      <w:rFonts w:asciiTheme="minorHAnsi" w:eastAsiaTheme="minorEastAsia" w:hAnsiTheme="minorHAnsi" w:cstheme="minorBidi"/>
      <w:kern w:val="2"/>
      <w:sz w:val="21"/>
      <w:szCs w:val="22"/>
    </w:rPr>
  </w:style>
  <w:style w:type="character" w:styleId="a6">
    <w:name w:val="Hyperlink"/>
    <w:basedOn w:val="a0"/>
    <w:uiPriority w:val="99"/>
    <w:unhideWhenUsed/>
    <w:rsid w:val="001D01B0"/>
    <w:rPr>
      <w:color w:val="0563C1" w:themeColor="hyperlink"/>
      <w:u w:val="single"/>
    </w:rPr>
  </w:style>
  <w:style w:type="paragraph" w:styleId="a7">
    <w:name w:val="Balloon Text"/>
    <w:basedOn w:val="a"/>
    <w:link w:val="Char1"/>
    <w:uiPriority w:val="99"/>
    <w:semiHidden/>
    <w:unhideWhenUsed/>
    <w:rsid w:val="00A66CFD"/>
    <w:rPr>
      <w:sz w:val="18"/>
      <w:szCs w:val="18"/>
    </w:rPr>
  </w:style>
  <w:style w:type="character" w:customStyle="1" w:styleId="Char1">
    <w:name w:val="批注框文本 Char"/>
    <w:basedOn w:val="a0"/>
    <w:link w:val="a7"/>
    <w:uiPriority w:val="99"/>
    <w:semiHidden/>
    <w:rsid w:val="00A66CFD"/>
    <w:rPr>
      <w:rFonts w:ascii="宋体" w:eastAsia="宋体" w:hAnsi="宋体" w:cs="宋体"/>
      <w:kern w:val="0"/>
      <w:sz w:val="18"/>
      <w:szCs w:val="18"/>
    </w:rPr>
  </w:style>
  <w:style w:type="paragraph" w:styleId="a8">
    <w:name w:val="footnote text"/>
    <w:basedOn w:val="a"/>
    <w:link w:val="Char2"/>
    <w:uiPriority w:val="99"/>
    <w:semiHidden/>
    <w:qFormat/>
    <w:rsid w:val="00287782"/>
    <w:pPr>
      <w:widowControl w:val="0"/>
      <w:snapToGrid w:val="0"/>
    </w:pPr>
    <w:rPr>
      <w:rFonts w:ascii="Calibri" w:hAnsi="Calibri" w:cs="Times New Roman"/>
      <w:kern w:val="2"/>
      <w:sz w:val="18"/>
      <w:szCs w:val="18"/>
    </w:rPr>
  </w:style>
  <w:style w:type="character" w:customStyle="1" w:styleId="Char2">
    <w:name w:val="脚注文本 Char"/>
    <w:basedOn w:val="a0"/>
    <w:link w:val="a8"/>
    <w:uiPriority w:val="99"/>
    <w:semiHidden/>
    <w:rsid w:val="00287782"/>
    <w:rPr>
      <w:rFonts w:ascii="Calibri" w:eastAsia="宋体" w:hAnsi="Calibri" w:cs="Times New Roman"/>
      <w:sz w:val="18"/>
      <w:szCs w:val="18"/>
    </w:rPr>
  </w:style>
  <w:style w:type="character" w:styleId="a9">
    <w:name w:val="footnote reference"/>
    <w:uiPriority w:val="99"/>
    <w:qFormat/>
    <w:rsid w:val="00287782"/>
    <w:rPr>
      <w:rFonts w:cs="Times New Roman"/>
      <w:vertAlign w:val="superscript"/>
    </w:rPr>
  </w:style>
  <w:style w:type="character" w:customStyle="1" w:styleId="2Char">
    <w:name w:val="标题 2 Char"/>
    <w:basedOn w:val="a0"/>
    <w:link w:val="2"/>
    <w:uiPriority w:val="9"/>
    <w:semiHidden/>
    <w:rsid w:val="006E4A9B"/>
    <w:rPr>
      <w:rFonts w:asciiTheme="majorHAnsi" w:eastAsiaTheme="majorEastAsia" w:hAnsiTheme="majorHAnsi" w:cstheme="majorBidi"/>
      <w:b/>
      <w:bCs/>
      <w:sz w:val="32"/>
      <w:szCs w:val="32"/>
    </w:rPr>
  </w:style>
  <w:style w:type="table" w:customStyle="1" w:styleId="11">
    <w:name w:val="样式1"/>
    <w:basedOn w:val="a1"/>
    <w:uiPriority w:val="99"/>
    <w:rsid w:val="006E4A9B"/>
    <w:pPr>
      <w:jc w:val="center"/>
    </w:pPr>
    <w:rPr>
      <w:rFonts w:ascii="KaiTi" w:eastAsia="KaiTi" w:cs="Times New Roman (正文 CS 字体)"/>
      <w:b/>
      <w:szCs w:val="24"/>
    </w:rPr>
    <w:tblPr>
      <w:jc w:val="center"/>
      <w:tblBorders>
        <w:top w:val="single" w:sz="12" w:space="0" w:color="313196"/>
        <w:left w:val="single" w:sz="4" w:space="0" w:color="313196"/>
        <w:bottom w:val="single" w:sz="12" w:space="0" w:color="313196"/>
        <w:right w:val="single" w:sz="4" w:space="0" w:color="313196"/>
        <w:insideH w:val="single" w:sz="4" w:space="0" w:color="313196"/>
        <w:insideV w:val="single" w:sz="4" w:space="0" w:color="313196"/>
      </w:tblBorders>
    </w:tblPr>
    <w:trPr>
      <w:jc w:val="center"/>
    </w:trPr>
    <w:tcPr>
      <w:vAlign w:val="center"/>
    </w:tcPr>
  </w:style>
  <w:style w:type="paragraph" w:customStyle="1" w:styleId="aa">
    <w:name w:val="答复"/>
    <w:basedOn w:val="a"/>
    <w:qFormat/>
    <w:rsid w:val="006E4A9B"/>
    <w:pPr>
      <w:widowControl w:val="0"/>
      <w:spacing w:beforeLines="50" w:before="156" w:afterLines="50" w:after="156" w:line="360" w:lineRule="auto"/>
      <w:ind w:firstLineChars="200" w:firstLine="482"/>
      <w:jc w:val="both"/>
    </w:pPr>
    <w:rPr>
      <w:rFonts w:ascii="Times New Roman" w:hAnsi="Times New Roman" w:cstheme="minorBidi"/>
      <w:b/>
      <w:bCs/>
      <w:kern w:val="2"/>
      <w:szCs w:val="28"/>
      <w:u w:val="double"/>
    </w:rPr>
  </w:style>
  <w:style w:type="paragraph" w:customStyle="1" w:styleId="ab">
    <w:name w:val="【补充】/【说明】"/>
    <w:basedOn w:val="a"/>
    <w:qFormat/>
    <w:rsid w:val="006E4A9B"/>
    <w:pPr>
      <w:widowControl w:val="0"/>
      <w:spacing w:beforeLines="50" w:before="156" w:afterLines="50" w:after="156" w:line="360" w:lineRule="auto"/>
      <w:ind w:firstLineChars="200" w:firstLine="482"/>
      <w:jc w:val="both"/>
      <w:outlineLvl w:val="1"/>
    </w:pPr>
    <w:rPr>
      <w:rFonts w:cs="Times New Roman"/>
      <w:b/>
      <w:bCs/>
      <w:kern w:val="2"/>
    </w:rPr>
  </w:style>
  <w:style w:type="paragraph" w:customStyle="1" w:styleId="ac">
    <w:name w:val="问题"/>
    <w:basedOn w:val="a"/>
    <w:qFormat/>
    <w:rsid w:val="006E4A9B"/>
    <w:pPr>
      <w:widowControl w:val="0"/>
      <w:spacing w:beforeLines="50" w:afterLines="50" w:line="360" w:lineRule="auto"/>
      <w:ind w:firstLineChars="200" w:firstLine="482"/>
      <w:jc w:val="both"/>
      <w:outlineLvl w:val="0"/>
    </w:pPr>
    <w:rPr>
      <w:rFonts w:ascii="Times New Roman" w:hAnsi="Times New Roman" w:cstheme="minorBidi"/>
      <w:b/>
      <w:bCs/>
      <w:kern w:val="2"/>
      <w:szCs w:val="28"/>
    </w:rPr>
  </w:style>
  <w:style w:type="paragraph" w:customStyle="1" w:styleId="ad">
    <w:name w:val="（问题）"/>
    <w:basedOn w:val="a"/>
    <w:qFormat/>
    <w:rsid w:val="006E4A9B"/>
    <w:pPr>
      <w:widowControl w:val="0"/>
      <w:spacing w:beforeLines="50" w:before="156" w:afterLines="50" w:after="156" w:line="360" w:lineRule="auto"/>
      <w:ind w:firstLineChars="200" w:firstLine="482"/>
      <w:jc w:val="both"/>
      <w:outlineLvl w:val="2"/>
    </w:pPr>
    <w:rPr>
      <w:rFonts w:ascii="黑体" w:eastAsia="黑体" w:hAnsi="黑体" w:cs="Times New Roman"/>
      <w:b/>
      <w:bCs/>
      <w:kern w:val="2"/>
    </w:rPr>
  </w:style>
  <w:style w:type="paragraph" w:customStyle="1" w:styleId="12">
    <w:name w:val="正文1"/>
    <w:basedOn w:val="a"/>
    <w:qFormat/>
    <w:rsid w:val="006E4A9B"/>
    <w:pPr>
      <w:autoSpaceDE w:val="0"/>
      <w:autoSpaceDN w:val="0"/>
      <w:adjustRightInd w:val="0"/>
      <w:spacing w:beforeLines="50" w:afterLines="50" w:line="360" w:lineRule="auto"/>
      <w:ind w:firstLineChars="200" w:firstLine="480"/>
      <w:jc w:val="both"/>
    </w:pPr>
    <w:rPr>
      <w:rFonts w:ascii="Times New Roman" w:hAnsi="Times New Roman"/>
    </w:rPr>
  </w:style>
  <w:style w:type="paragraph" w:customStyle="1" w:styleId="ae">
    <w:name w:val="披露正文"/>
    <w:basedOn w:val="a"/>
    <w:qFormat/>
    <w:rsid w:val="006E4A9B"/>
    <w:pPr>
      <w:widowControl w:val="0"/>
      <w:spacing w:beforeLines="50" w:before="156" w:afterLines="50" w:after="156" w:line="360" w:lineRule="auto"/>
      <w:ind w:firstLineChars="200" w:firstLine="482"/>
      <w:jc w:val="both"/>
    </w:pPr>
    <w:rPr>
      <w:rFonts w:ascii="楷体" w:eastAsia="楷体" w:hAnsi="楷体" w:cs="Times New Roman"/>
      <w:b/>
      <w:bCs/>
      <w:color w:val="000000"/>
      <w:lang w:bidi="en-US"/>
    </w:rPr>
  </w:style>
  <w:style w:type="table" w:styleId="af">
    <w:name w:val="Table Grid"/>
    <w:basedOn w:val="a1"/>
    <w:uiPriority w:val="39"/>
    <w:rsid w:val="006E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核查过程/结论）"/>
    <w:basedOn w:val="a"/>
    <w:qFormat/>
    <w:rsid w:val="006E4A9B"/>
    <w:pPr>
      <w:widowControl w:val="0"/>
      <w:spacing w:beforeLines="50" w:before="156" w:afterLines="50" w:after="156" w:line="360" w:lineRule="auto"/>
      <w:ind w:firstLineChars="200" w:firstLine="482"/>
      <w:outlineLvl w:val="2"/>
    </w:pPr>
    <w:rPr>
      <w:rFonts w:eastAsia="Times New Roman" w:cs="Times New Roman"/>
      <w:b/>
      <w:color w:val="000000"/>
      <w:lang w:bidi="en-US"/>
    </w:rPr>
  </w:style>
  <w:style w:type="character" w:customStyle="1" w:styleId="UnresolvedMention">
    <w:name w:val="Unresolved Mention"/>
    <w:basedOn w:val="a0"/>
    <w:uiPriority w:val="99"/>
    <w:semiHidden/>
    <w:unhideWhenUsed/>
    <w:rsid w:val="006E4A9B"/>
    <w:rPr>
      <w:color w:val="605E5C"/>
      <w:shd w:val="clear" w:color="auto" w:fill="E1DFDD"/>
    </w:rPr>
  </w:style>
  <w:style w:type="paragraph" w:styleId="af1">
    <w:name w:val="Revision"/>
    <w:hidden/>
    <w:uiPriority w:val="99"/>
    <w:semiHidden/>
    <w:rsid w:val="006E4A9B"/>
  </w:style>
  <w:style w:type="character" w:styleId="af2">
    <w:name w:val="annotation reference"/>
    <w:basedOn w:val="a0"/>
    <w:uiPriority w:val="99"/>
    <w:semiHidden/>
    <w:unhideWhenUsed/>
    <w:rsid w:val="006E4A9B"/>
    <w:rPr>
      <w:sz w:val="21"/>
      <w:szCs w:val="21"/>
    </w:rPr>
  </w:style>
  <w:style w:type="paragraph" w:styleId="af3">
    <w:name w:val="annotation text"/>
    <w:basedOn w:val="a"/>
    <w:link w:val="Char3"/>
    <w:uiPriority w:val="99"/>
    <w:semiHidden/>
    <w:unhideWhenUsed/>
    <w:rsid w:val="006E4A9B"/>
    <w:pPr>
      <w:widowControl w:val="0"/>
    </w:pPr>
    <w:rPr>
      <w:rFonts w:asciiTheme="minorHAnsi" w:eastAsiaTheme="minorEastAsia" w:hAnsiTheme="minorHAnsi" w:cstheme="minorBidi"/>
      <w:kern w:val="2"/>
      <w:sz w:val="21"/>
      <w:szCs w:val="22"/>
    </w:rPr>
  </w:style>
  <w:style w:type="character" w:customStyle="1" w:styleId="Char3">
    <w:name w:val="批注文字 Char"/>
    <w:basedOn w:val="a0"/>
    <w:link w:val="af3"/>
    <w:uiPriority w:val="99"/>
    <w:semiHidden/>
    <w:rsid w:val="006E4A9B"/>
  </w:style>
  <w:style w:type="paragraph" w:styleId="af4">
    <w:name w:val="annotation subject"/>
    <w:basedOn w:val="af3"/>
    <w:next w:val="af3"/>
    <w:link w:val="Char4"/>
    <w:uiPriority w:val="99"/>
    <w:semiHidden/>
    <w:unhideWhenUsed/>
    <w:rsid w:val="006E4A9B"/>
    <w:rPr>
      <w:b/>
      <w:bCs/>
    </w:rPr>
  </w:style>
  <w:style w:type="character" w:customStyle="1" w:styleId="Char4">
    <w:name w:val="批注主题 Char"/>
    <w:basedOn w:val="Char3"/>
    <w:link w:val="af4"/>
    <w:uiPriority w:val="99"/>
    <w:semiHidden/>
    <w:rsid w:val="006E4A9B"/>
    <w:rPr>
      <w:b/>
      <w:bCs/>
    </w:rPr>
  </w:style>
  <w:style w:type="paragraph" w:styleId="af5">
    <w:name w:val="No Spacing"/>
    <w:aliases w:val="表格正文"/>
    <w:uiPriority w:val="1"/>
    <w:qFormat/>
    <w:rsid w:val="006E4A9B"/>
    <w:pPr>
      <w:widowControl w:val="0"/>
      <w:snapToGrid w:val="0"/>
      <w:spacing w:beforeLines="30" w:before="30" w:afterLines="30" w:after="30"/>
      <w:jc w:val="both"/>
    </w:pPr>
    <w:rPr>
      <w:rFonts w:ascii="Times New Roman" w:eastAsia="宋体" w:hAnsi="Times New Roman" w:cs="Times New Roman"/>
      <w:szCs w:val="20"/>
    </w:rPr>
  </w:style>
  <w:style w:type="table" w:customStyle="1" w:styleId="5">
    <w:name w:val="网格型5"/>
    <w:basedOn w:val="a1"/>
    <w:next w:val="af"/>
    <w:uiPriority w:val="39"/>
    <w:rsid w:val="006E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1E2F08"/>
    <w:rPr>
      <w:color w:val="954F72" w:themeColor="followedHyperlink"/>
      <w:u w:val="single"/>
    </w:rPr>
  </w:style>
  <w:style w:type="paragraph" w:customStyle="1" w:styleId="msonormal0">
    <w:name w:val="msonormal"/>
    <w:basedOn w:val="a"/>
    <w:rsid w:val="001E2F08"/>
    <w:pPr>
      <w:spacing w:before="100" w:beforeAutospacing="1" w:after="100" w:afterAutospacing="1"/>
    </w:pPr>
  </w:style>
  <w:style w:type="paragraph" w:styleId="af7">
    <w:name w:val="Document Map"/>
    <w:basedOn w:val="a"/>
    <w:link w:val="Char5"/>
    <w:uiPriority w:val="99"/>
    <w:semiHidden/>
    <w:unhideWhenUsed/>
    <w:rsid w:val="001E2F08"/>
    <w:pPr>
      <w:widowControl w:val="0"/>
      <w:jc w:val="both"/>
    </w:pPr>
    <w:rPr>
      <w:rFonts w:hAnsiTheme="minorHAnsi" w:cstheme="minorBidi"/>
      <w:kern w:val="2"/>
      <w:sz w:val="18"/>
      <w:szCs w:val="18"/>
    </w:rPr>
  </w:style>
  <w:style w:type="character" w:customStyle="1" w:styleId="Char5">
    <w:name w:val="文档结构图 Char"/>
    <w:basedOn w:val="a0"/>
    <w:link w:val="af7"/>
    <w:uiPriority w:val="99"/>
    <w:semiHidden/>
    <w:rsid w:val="001E2F08"/>
    <w:rPr>
      <w:rFonts w:ascii="宋体" w:eastAsia="宋体"/>
      <w:sz w:val="18"/>
      <w:szCs w:val="18"/>
    </w:rPr>
  </w:style>
  <w:style w:type="character" w:customStyle="1" w:styleId="13">
    <w:name w:val="未处理的提及1"/>
    <w:basedOn w:val="a0"/>
    <w:uiPriority w:val="99"/>
    <w:semiHidden/>
    <w:rsid w:val="001E2F08"/>
    <w:rPr>
      <w:color w:val="605E5C"/>
      <w:shd w:val="clear" w:color="auto" w:fill="E1DFDD"/>
    </w:rPr>
  </w:style>
  <w:style w:type="character" w:styleId="af8">
    <w:name w:val="page number"/>
    <w:basedOn w:val="a0"/>
    <w:uiPriority w:val="99"/>
    <w:semiHidden/>
    <w:unhideWhenUsed/>
    <w:rsid w:val="00F0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1769">
      <w:bodyDiv w:val="1"/>
      <w:marLeft w:val="0"/>
      <w:marRight w:val="0"/>
      <w:marTop w:val="0"/>
      <w:marBottom w:val="0"/>
      <w:divBdr>
        <w:top w:val="none" w:sz="0" w:space="0" w:color="auto"/>
        <w:left w:val="none" w:sz="0" w:space="0" w:color="auto"/>
        <w:bottom w:val="none" w:sz="0" w:space="0" w:color="auto"/>
        <w:right w:val="none" w:sz="0" w:space="0" w:color="auto"/>
      </w:divBdr>
    </w:div>
    <w:div w:id="428964005">
      <w:bodyDiv w:val="1"/>
      <w:marLeft w:val="0"/>
      <w:marRight w:val="0"/>
      <w:marTop w:val="0"/>
      <w:marBottom w:val="0"/>
      <w:divBdr>
        <w:top w:val="none" w:sz="0" w:space="0" w:color="auto"/>
        <w:left w:val="none" w:sz="0" w:space="0" w:color="auto"/>
        <w:bottom w:val="none" w:sz="0" w:space="0" w:color="auto"/>
        <w:right w:val="none" w:sz="0" w:space="0" w:color="auto"/>
      </w:divBdr>
    </w:div>
    <w:div w:id="8727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A3EF2-8B8B-4C02-A2D6-D6D9D603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23</Pages>
  <Words>2691</Words>
  <Characters>15343</Characters>
  <Application>Microsoft Office Word</Application>
  <DocSecurity>0</DocSecurity>
  <Lines>127</Lines>
  <Paragraphs>35</Paragraphs>
  <ScaleCrop>false</ScaleCrop>
  <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小姐</dc:creator>
  <cp:keywords/>
  <dc:description/>
  <cp:lastModifiedBy>rd</cp:lastModifiedBy>
  <cp:revision>45</cp:revision>
  <cp:lastPrinted>2021-03-22T09:29:00Z</cp:lastPrinted>
  <dcterms:created xsi:type="dcterms:W3CDTF">2020-06-18T02:27:00Z</dcterms:created>
  <dcterms:modified xsi:type="dcterms:W3CDTF">2021-03-27T16:09:00Z</dcterms:modified>
</cp:coreProperties>
</file>