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heme="minorEastAsia" w:hAnsiTheme="minorEastAsia" w:eastAsiaTheme="minorEastAsia"/>
          <w:b/>
          <w:szCs w:val="32"/>
          <w:highlight w:val="none"/>
        </w:rPr>
      </w:pPr>
      <w:r>
        <w:rPr>
          <w:rFonts w:asciiTheme="minorEastAsia" w:hAnsiTheme="minorEastAsia" w:eastAsiaTheme="minorEastAsia"/>
          <w:b/>
          <w:szCs w:val="32"/>
          <w:highlight w:val="none"/>
        </w:rPr>
        <w:t>关于</w:t>
      </w:r>
      <w:r>
        <w:rPr>
          <w:rFonts w:hint="eastAsia" w:asciiTheme="minorEastAsia" w:hAnsiTheme="minorEastAsia" w:eastAsiaTheme="minorEastAsia"/>
          <w:b/>
          <w:szCs w:val="32"/>
          <w:highlight w:val="none"/>
        </w:rPr>
        <w:t>三友联众集团</w:t>
      </w:r>
      <w:r>
        <w:rPr>
          <w:rFonts w:asciiTheme="minorEastAsia" w:hAnsiTheme="minorEastAsia" w:eastAsiaTheme="minorEastAsia"/>
          <w:b/>
          <w:szCs w:val="32"/>
          <w:highlight w:val="none"/>
        </w:rPr>
        <w:t>股份有限公司</w:t>
      </w:r>
    </w:p>
    <w:p>
      <w:pPr>
        <w:snapToGrid w:val="0"/>
        <w:spacing w:line="360" w:lineRule="auto"/>
        <w:jc w:val="center"/>
        <w:rPr>
          <w:rFonts w:asciiTheme="minorEastAsia" w:hAnsiTheme="minorEastAsia" w:eastAsiaTheme="minorEastAsia"/>
          <w:b/>
          <w:szCs w:val="32"/>
          <w:highlight w:val="none"/>
        </w:rPr>
      </w:pPr>
      <w:r>
        <w:rPr>
          <w:rFonts w:asciiTheme="minorEastAsia" w:hAnsiTheme="minorEastAsia" w:eastAsiaTheme="minorEastAsia"/>
          <w:b/>
          <w:szCs w:val="32"/>
          <w:highlight w:val="none"/>
        </w:rPr>
        <w:t>首次公开发行股票并</w:t>
      </w:r>
      <w:r>
        <w:rPr>
          <w:rFonts w:hint="eastAsia" w:asciiTheme="minorEastAsia" w:hAnsiTheme="minorEastAsia" w:eastAsiaTheme="minorEastAsia"/>
          <w:b/>
          <w:szCs w:val="32"/>
          <w:highlight w:val="none"/>
        </w:rPr>
        <w:t>在创业板</w:t>
      </w:r>
      <w:r>
        <w:rPr>
          <w:rFonts w:asciiTheme="minorEastAsia" w:hAnsiTheme="minorEastAsia" w:eastAsiaTheme="minorEastAsia"/>
          <w:b/>
          <w:szCs w:val="32"/>
          <w:highlight w:val="none"/>
        </w:rPr>
        <w:t>上市</w:t>
      </w:r>
    </w:p>
    <w:p>
      <w:pPr>
        <w:snapToGrid w:val="0"/>
        <w:spacing w:line="560" w:lineRule="exact"/>
        <w:jc w:val="center"/>
        <w:rPr>
          <w:rFonts w:asciiTheme="minorEastAsia" w:hAnsiTheme="minorEastAsia" w:eastAsiaTheme="minorEastAsia"/>
          <w:b/>
          <w:szCs w:val="32"/>
          <w:highlight w:val="none"/>
        </w:rPr>
      </w:pPr>
      <w:r>
        <w:rPr>
          <w:rFonts w:hint="eastAsia" w:asciiTheme="minorEastAsia" w:hAnsiTheme="minorEastAsia" w:eastAsiaTheme="minorEastAsia"/>
          <w:b/>
          <w:szCs w:val="32"/>
          <w:highlight w:val="none"/>
        </w:rPr>
        <w:t>发行注册环节反馈意见落实函的回复</w:t>
      </w:r>
    </w:p>
    <w:p>
      <w:pPr>
        <w:snapToGrid w:val="0"/>
        <w:spacing w:line="560" w:lineRule="exact"/>
        <w:rPr>
          <w:rFonts w:ascii="仿宋" w:hAnsi="仿宋"/>
          <w:sz w:val="24"/>
          <w:highlight w:val="none"/>
        </w:rPr>
      </w:pPr>
    </w:p>
    <w:p>
      <w:pPr>
        <w:autoSpaceDE w:val="0"/>
        <w:autoSpaceDN w:val="0"/>
        <w:snapToGrid w:val="0"/>
        <w:spacing w:before="289" w:beforeLines="50" w:after="289" w:afterLines="50" w:line="360" w:lineRule="auto"/>
        <w:contextualSpacing/>
        <w:rPr>
          <w:rFonts w:eastAsia="宋体"/>
          <w:sz w:val="24"/>
          <w:szCs w:val="22"/>
          <w:highlight w:val="none"/>
        </w:rPr>
      </w:pPr>
      <w:bookmarkStart w:id="0" w:name="Day2"/>
      <w:bookmarkEnd w:id="0"/>
      <w:r>
        <w:rPr>
          <w:rFonts w:hint="eastAsia" w:eastAsia="宋体"/>
          <w:sz w:val="24"/>
          <w:szCs w:val="22"/>
          <w:highlight w:val="none"/>
        </w:rPr>
        <w:t>中国证券监督</w:t>
      </w:r>
      <w:r>
        <w:rPr>
          <w:rFonts w:eastAsia="宋体"/>
          <w:sz w:val="24"/>
          <w:szCs w:val="22"/>
          <w:highlight w:val="none"/>
        </w:rPr>
        <w:t>管理委员会、深圳证券交易所</w:t>
      </w:r>
      <w:r>
        <w:rPr>
          <w:rFonts w:hint="eastAsia" w:eastAsia="宋体"/>
          <w:sz w:val="24"/>
          <w:szCs w:val="22"/>
          <w:highlight w:val="none"/>
        </w:rPr>
        <w:t>：</w:t>
      </w:r>
    </w:p>
    <w:p>
      <w:pPr>
        <w:snapToGrid w:val="0"/>
        <w:spacing w:before="289" w:beforeLines="50" w:after="289" w:afterLines="50" w:line="360" w:lineRule="auto"/>
        <w:ind w:firstLine="472" w:firstLineChars="200"/>
        <w:rPr>
          <w:rFonts w:eastAsia="宋体"/>
          <w:sz w:val="24"/>
          <w:szCs w:val="22"/>
          <w:highlight w:val="none"/>
        </w:rPr>
      </w:pPr>
      <w:r>
        <w:rPr>
          <w:rFonts w:eastAsia="宋体"/>
          <w:sz w:val="24"/>
          <w:szCs w:val="22"/>
          <w:highlight w:val="none"/>
        </w:rPr>
        <w:t>深圳证券交易所于2020年9月24日</w:t>
      </w:r>
      <w:r>
        <w:rPr>
          <w:rFonts w:hint="eastAsia" w:eastAsia="宋体"/>
          <w:sz w:val="24"/>
          <w:szCs w:val="22"/>
          <w:highlight w:val="none"/>
        </w:rPr>
        <w:t>转发</w:t>
      </w:r>
      <w:r>
        <w:rPr>
          <w:rFonts w:eastAsia="宋体"/>
          <w:sz w:val="24"/>
          <w:szCs w:val="22"/>
          <w:highlight w:val="none"/>
        </w:rPr>
        <w:t>的《关于三友联众集团股份有限公司申请首次公开发行股票并在创业板上市的</w:t>
      </w:r>
      <w:r>
        <w:rPr>
          <w:rFonts w:hint="eastAsia" w:eastAsia="宋体"/>
          <w:sz w:val="24"/>
          <w:szCs w:val="22"/>
          <w:highlight w:val="none"/>
        </w:rPr>
        <w:t>发行注册环节反馈意见落实函</w:t>
      </w:r>
      <w:r>
        <w:rPr>
          <w:rFonts w:eastAsia="宋体"/>
          <w:sz w:val="24"/>
          <w:szCs w:val="22"/>
          <w:highlight w:val="none"/>
        </w:rPr>
        <w:t>》（</w:t>
      </w:r>
      <w:r>
        <w:rPr>
          <w:rFonts w:hint="eastAsia" w:eastAsia="宋体"/>
          <w:sz w:val="24"/>
          <w:szCs w:val="22"/>
          <w:highlight w:val="none"/>
        </w:rPr>
        <w:t>审核函〔2020〕010505号</w:t>
      </w:r>
      <w:r>
        <w:rPr>
          <w:rFonts w:eastAsia="宋体"/>
          <w:sz w:val="24"/>
          <w:szCs w:val="22"/>
          <w:highlight w:val="none"/>
        </w:rPr>
        <w:t>）（以下简称</w:t>
      </w:r>
      <w:r>
        <w:rPr>
          <w:rFonts w:hint="eastAsia" w:ascii="宋体" w:hAnsi="宋体" w:eastAsia="宋体"/>
          <w:sz w:val="24"/>
          <w:szCs w:val="22"/>
          <w:highlight w:val="none"/>
        </w:rPr>
        <w:t>“</w:t>
      </w:r>
      <w:r>
        <w:rPr>
          <w:rFonts w:eastAsia="宋体"/>
          <w:sz w:val="24"/>
          <w:szCs w:val="22"/>
          <w:highlight w:val="none"/>
        </w:rPr>
        <w:t>意见落实函</w:t>
      </w:r>
      <w:r>
        <w:rPr>
          <w:rFonts w:hint="eastAsia" w:ascii="宋体" w:hAnsi="宋体" w:eastAsia="宋体"/>
          <w:sz w:val="24"/>
          <w:szCs w:val="22"/>
          <w:highlight w:val="none"/>
        </w:rPr>
        <w:t>”</w:t>
      </w:r>
      <w:r>
        <w:rPr>
          <w:rFonts w:eastAsia="宋体"/>
          <w:sz w:val="24"/>
          <w:szCs w:val="22"/>
          <w:highlight w:val="none"/>
        </w:rPr>
        <w:t>）已收悉。三友联众集团股份有限公司（以下简称</w:t>
      </w:r>
      <w:r>
        <w:rPr>
          <w:rFonts w:hint="eastAsia" w:ascii="宋体" w:hAnsi="宋体" w:eastAsia="宋体"/>
          <w:sz w:val="24"/>
          <w:szCs w:val="22"/>
          <w:highlight w:val="none"/>
        </w:rPr>
        <w:t>“</w:t>
      </w:r>
      <w:r>
        <w:rPr>
          <w:rFonts w:eastAsia="宋体"/>
          <w:sz w:val="24"/>
          <w:szCs w:val="22"/>
          <w:highlight w:val="none"/>
        </w:rPr>
        <w:t>三友联众</w:t>
      </w:r>
      <w:r>
        <w:rPr>
          <w:rFonts w:hint="eastAsia" w:ascii="宋体" w:hAnsi="宋体" w:eastAsia="宋体"/>
          <w:sz w:val="24"/>
          <w:szCs w:val="22"/>
          <w:highlight w:val="none"/>
        </w:rPr>
        <w:t>”</w:t>
      </w:r>
      <w:r>
        <w:rPr>
          <w:rFonts w:eastAsia="宋体"/>
          <w:sz w:val="24"/>
          <w:szCs w:val="22"/>
          <w:highlight w:val="none"/>
        </w:rPr>
        <w:t>、</w:t>
      </w:r>
      <w:r>
        <w:rPr>
          <w:rFonts w:hint="eastAsia" w:ascii="宋体" w:hAnsi="宋体" w:eastAsia="宋体"/>
          <w:sz w:val="24"/>
          <w:szCs w:val="22"/>
          <w:highlight w:val="none"/>
        </w:rPr>
        <w:t>“</w:t>
      </w:r>
      <w:r>
        <w:rPr>
          <w:rFonts w:eastAsia="宋体"/>
          <w:sz w:val="24"/>
          <w:szCs w:val="22"/>
          <w:highlight w:val="none"/>
        </w:rPr>
        <w:t>发行人</w:t>
      </w:r>
      <w:r>
        <w:rPr>
          <w:rFonts w:hint="eastAsia" w:ascii="宋体" w:hAnsi="宋体" w:eastAsia="宋体"/>
          <w:sz w:val="24"/>
          <w:szCs w:val="22"/>
          <w:highlight w:val="none"/>
        </w:rPr>
        <w:t>”</w:t>
      </w:r>
      <w:r>
        <w:rPr>
          <w:rFonts w:eastAsia="宋体"/>
          <w:sz w:val="24"/>
          <w:szCs w:val="22"/>
          <w:highlight w:val="none"/>
        </w:rPr>
        <w:t>或</w:t>
      </w:r>
      <w:r>
        <w:rPr>
          <w:rFonts w:hint="eastAsia" w:ascii="宋体" w:hAnsi="宋体" w:eastAsia="宋体"/>
          <w:sz w:val="24"/>
          <w:szCs w:val="22"/>
          <w:highlight w:val="none"/>
        </w:rPr>
        <w:t>“</w:t>
      </w:r>
      <w:r>
        <w:rPr>
          <w:rFonts w:eastAsia="宋体"/>
          <w:sz w:val="24"/>
          <w:szCs w:val="22"/>
          <w:highlight w:val="none"/>
        </w:rPr>
        <w:t>公司</w:t>
      </w:r>
      <w:r>
        <w:rPr>
          <w:rFonts w:hint="eastAsia" w:ascii="宋体" w:hAnsi="宋体" w:eastAsia="宋体"/>
          <w:sz w:val="24"/>
          <w:szCs w:val="22"/>
          <w:highlight w:val="none"/>
        </w:rPr>
        <w:t>”</w:t>
      </w:r>
      <w:r>
        <w:rPr>
          <w:rFonts w:eastAsia="宋体"/>
          <w:sz w:val="24"/>
          <w:szCs w:val="22"/>
          <w:highlight w:val="none"/>
        </w:rPr>
        <w:t>）与信达证券股份有限公司（以下简称</w:t>
      </w:r>
      <w:r>
        <w:rPr>
          <w:rFonts w:hint="eastAsia" w:ascii="宋体" w:hAnsi="宋体" w:eastAsia="宋体"/>
          <w:sz w:val="24"/>
          <w:szCs w:val="22"/>
          <w:highlight w:val="none"/>
        </w:rPr>
        <w:t>“</w:t>
      </w:r>
      <w:r>
        <w:rPr>
          <w:rFonts w:eastAsia="宋体"/>
          <w:sz w:val="24"/>
          <w:szCs w:val="22"/>
          <w:highlight w:val="none"/>
        </w:rPr>
        <w:t>保荐机构</w:t>
      </w:r>
      <w:r>
        <w:rPr>
          <w:rFonts w:hint="eastAsia" w:ascii="宋体" w:hAnsi="宋体" w:eastAsia="宋体"/>
          <w:sz w:val="24"/>
          <w:szCs w:val="22"/>
          <w:highlight w:val="none"/>
        </w:rPr>
        <w:t>”</w:t>
      </w:r>
      <w:r>
        <w:rPr>
          <w:rFonts w:eastAsia="宋体"/>
          <w:sz w:val="24"/>
          <w:szCs w:val="22"/>
          <w:highlight w:val="none"/>
        </w:rPr>
        <w:t>或</w:t>
      </w:r>
      <w:r>
        <w:rPr>
          <w:rFonts w:hint="eastAsia" w:ascii="宋体" w:hAnsi="宋体" w:eastAsia="宋体"/>
          <w:sz w:val="24"/>
          <w:szCs w:val="22"/>
          <w:highlight w:val="none"/>
        </w:rPr>
        <w:t>“</w:t>
      </w:r>
      <w:r>
        <w:rPr>
          <w:rFonts w:eastAsia="宋体"/>
          <w:sz w:val="24"/>
          <w:szCs w:val="22"/>
          <w:highlight w:val="none"/>
        </w:rPr>
        <w:t>信达证券</w:t>
      </w:r>
      <w:r>
        <w:rPr>
          <w:rFonts w:hint="eastAsia" w:ascii="宋体" w:hAnsi="宋体"/>
          <w:szCs w:val="22"/>
          <w:highlight w:val="none"/>
        </w:rPr>
        <w:t>”</w:t>
      </w:r>
      <w:r>
        <w:rPr>
          <w:rFonts w:eastAsia="宋体"/>
          <w:sz w:val="24"/>
          <w:szCs w:val="22"/>
          <w:highlight w:val="none"/>
        </w:rPr>
        <w:t>）、北京市中伦律师事务所（以下简称</w:t>
      </w:r>
      <w:r>
        <w:rPr>
          <w:rFonts w:hint="eastAsia" w:ascii="宋体" w:hAnsi="宋体" w:eastAsia="宋体"/>
          <w:sz w:val="24"/>
          <w:szCs w:val="22"/>
          <w:highlight w:val="none"/>
        </w:rPr>
        <w:t>“</w:t>
      </w:r>
      <w:r>
        <w:rPr>
          <w:rFonts w:eastAsia="宋体"/>
          <w:sz w:val="24"/>
          <w:szCs w:val="22"/>
          <w:highlight w:val="none"/>
        </w:rPr>
        <w:t>发行人律师</w:t>
      </w:r>
      <w:r>
        <w:rPr>
          <w:rFonts w:hint="eastAsia" w:ascii="宋体" w:hAnsi="宋体" w:eastAsia="宋体"/>
          <w:sz w:val="24"/>
          <w:szCs w:val="22"/>
          <w:highlight w:val="none"/>
        </w:rPr>
        <w:t>”</w:t>
      </w:r>
      <w:r>
        <w:rPr>
          <w:rFonts w:eastAsia="宋体"/>
          <w:sz w:val="24"/>
          <w:szCs w:val="22"/>
          <w:highlight w:val="none"/>
        </w:rPr>
        <w:t>或</w:t>
      </w:r>
      <w:r>
        <w:rPr>
          <w:rFonts w:hint="eastAsia" w:ascii="宋体" w:hAnsi="宋体" w:eastAsia="宋体"/>
          <w:sz w:val="24"/>
          <w:szCs w:val="22"/>
          <w:highlight w:val="none"/>
        </w:rPr>
        <w:t>“</w:t>
      </w:r>
      <w:r>
        <w:rPr>
          <w:rFonts w:eastAsia="宋体"/>
          <w:sz w:val="24"/>
          <w:szCs w:val="22"/>
          <w:highlight w:val="none"/>
        </w:rPr>
        <w:t>中伦所</w:t>
      </w:r>
      <w:r>
        <w:rPr>
          <w:rFonts w:hint="eastAsia" w:ascii="宋体" w:hAnsi="宋体" w:eastAsia="宋体"/>
          <w:sz w:val="24"/>
          <w:szCs w:val="22"/>
          <w:highlight w:val="none"/>
        </w:rPr>
        <w:t>”</w:t>
      </w:r>
      <w:r>
        <w:rPr>
          <w:rFonts w:eastAsia="宋体"/>
          <w:sz w:val="24"/>
          <w:szCs w:val="22"/>
          <w:highlight w:val="none"/>
        </w:rPr>
        <w:t>）、天健会计师事务所（特殊普通合伙）（以下简称</w:t>
      </w:r>
      <w:r>
        <w:rPr>
          <w:rFonts w:hint="eastAsia" w:ascii="宋体" w:hAnsi="宋体" w:eastAsia="宋体"/>
          <w:sz w:val="24"/>
          <w:szCs w:val="22"/>
          <w:highlight w:val="none"/>
        </w:rPr>
        <w:t>“</w:t>
      </w:r>
      <w:r>
        <w:rPr>
          <w:rFonts w:eastAsia="宋体"/>
          <w:sz w:val="24"/>
          <w:szCs w:val="22"/>
          <w:highlight w:val="none"/>
        </w:rPr>
        <w:t>申报会计师</w:t>
      </w:r>
      <w:r>
        <w:rPr>
          <w:rFonts w:hint="eastAsia" w:ascii="宋体" w:hAnsi="宋体" w:eastAsia="宋体"/>
          <w:sz w:val="24"/>
          <w:szCs w:val="22"/>
          <w:highlight w:val="none"/>
        </w:rPr>
        <w:t>”</w:t>
      </w:r>
      <w:r>
        <w:rPr>
          <w:rFonts w:eastAsia="宋体"/>
          <w:sz w:val="24"/>
          <w:szCs w:val="22"/>
          <w:highlight w:val="none"/>
        </w:rPr>
        <w:t>或</w:t>
      </w:r>
      <w:r>
        <w:rPr>
          <w:rFonts w:hint="eastAsia" w:ascii="宋体" w:hAnsi="宋体" w:eastAsia="宋体"/>
          <w:sz w:val="24"/>
          <w:szCs w:val="22"/>
          <w:highlight w:val="none"/>
        </w:rPr>
        <w:t>“</w:t>
      </w:r>
      <w:r>
        <w:rPr>
          <w:rFonts w:eastAsia="宋体"/>
          <w:sz w:val="24"/>
          <w:szCs w:val="22"/>
          <w:highlight w:val="none"/>
        </w:rPr>
        <w:t>天健所</w:t>
      </w:r>
      <w:r>
        <w:rPr>
          <w:rFonts w:hint="eastAsia" w:ascii="宋体" w:hAnsi="宋体" w:eastAsia="宋体"/>
          <w:sz w:val="24"/>
          <w:szCs w:val="22"/>
          <w:highlight w:val="none"/>
        </w:rPr>
        <w:t>”</w:t>
      </w:r>
      <w:r>
        <w:rPr>
          <w:rFonts w:eastAsia="宋体"/>
          <w:sz w:val="24"/>
          <w:szCs w:val="22"/>
          <w:highlight w:val="none"/>
        </w:rPr>
        <w:t>）等相关方对意见落实函进行了逐一落实并制作完成意见落实函回复，同时按意见落实函的要求修改了招股说明书和其他申请文件。现回复如下，请予以审核。</w:t>
      </w:r>
    </w:p>
    <w:p>
      <w:pPr>
        <w:snapToGrid w:val="0"/>
        <w:spacing w:before="289" w:beforeLines="50" w:after="289" w:afterLines="50" w:line="360" w:lineRule="auto"/>
        <w:ind w:firstLine="472" w:firstLineChars="200"/>
        <w:rPr>
          <w:rFonts w:eastAsia="宋体"/>
          <w:sz w:val="24"/>
          <w:szCs w:val="22"/>
          <w:highlight w:val="none"/>
        </w:rPr>
      </w:pPr>
      <w:r>
        <w:rPr>
          <w:rFonts w:eastAsia="宋体"/>
          <w:sz w:val="24"/>
          <w:szCs w:val="22"/>
          <w:highlight w:val="none"/>
        </w:rPr>
        <w:t>如无特别说明，本回复使用的简称与《三友联众集团股份有限公司首次公开发行股票并在创业板上市招股说明书（申报稿）》中的释义相同。</w:t>
      </w:r>
    </w:p>
    <w:tbl>
      <w:tblPr>
        <w:tblStyle w:val="12"/>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47"/>
        <w:gridCol w:w="33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47" w:type="dxa"/>
            <w:vAlign w:val="center"/>
          </w:tcPr>
          <w:p>
            <w:pPr>
              <w:snapToGrid w:val="0"/>
              <w:spacing w:line="240" w:lineRule="exact"/>
              <w:rPr>
                <w:rFonts w:ascii="黑体" w:hAnsi="黑体" w:eastAsia="黑体"/>
                <w:b/>
                <w:bCs/>
                <w:sz w:val="24"/>
                <w:highlight w:val="none"/>
              </w:rPr>
            </w:pPr>
            <w:r>
              <w:rPr>
                <w:rFonts w:hint="eastAsia" w:ascii="黑体" w:hAnsi="黑体" w:eastAsia="黑体"/>
                <w:b/>
                <w:bCs/>
                <w:sz w:val="24"/>
                <w:highlight w:val="none"/>
              </w:rPr>
              <w:t>反馈意见所列问题</w:t>
            </w:r>
          </w:p>
        </w:tc>
        <w:tc>
          <w:tcPr>
            <w:tcW w:w="3329" w:type="dxa"/>
            <w:vAlign w:val="center"/>
          </w:tcPr>
          <w:p>
            <w:pPr>
              <w:snapToGrid w:val="0"/>
              <w:spacing w:line="240" w:lineRule="exact"/>
              <w:rPr>
                <w:rFonts w:ascii="黑体" w:hAnsi="黑体" w:eastAsia="黑体"/>
                <w:b/>
                <w:bCs/>
                <w:sz w:val="24"/>
                <w:highlight w:val="none"/>
              </w:rPr>
            </w:pPr>
            <w:r>
              <w:rPr>
                <w:rFonts w:hint="eastAsia" w:ascii="黑体" w:hAnsi="黑体" w:eastAsia="黑体"/>
                <w:b/>
                <w:bCs/>
                <w:sz w:val="24"/>
                <w:highlight w:val="none"/>
              </w:rPr>
              <w:t>黑体（加粗）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47" w:type="dxa"/>
            <w:vAlign w:val="center"/>
          </w:tcPr>
          <w:p>
            <w:pPr>
              <w:snapToGrid w:val="0"/>
              <w:spacing w:line="240" w:lineRule="exact"/>
              <w:rPr>
                <w:sz w:val="24"/>
                <w:highlight w:val="none"/>
              </w:rPr>
            </w:pPr>
            <w:r>
              <w:rPr>
                <w:rFonts w:hint="eastAsia"/>
                <w:sz w:val="24"/>
                <w:highlight w:val="none"/>
              </w:rPr>
              <w:t>反馈意见所列问题的回复</w:t>
            </w:r>
          </w:p>
        </w:tc>
        <w:tc>
          <w:tcPr>
            <w:tcW w:w="3329" w:type="dxa"/>
            <w:vAlign w:val="center"/>
          </w:tcPr>
          <w:p>
            <w:pPr>
              <w:snapToGrid w:val="0"/>
              <w:spacing w:line="240" w:lineRule="exact"/>
              <w:rPr>
                <w:sz w:val="24"/>
                <w:highlight w:val="none"/>
              </w:rPr>
            </w:pPr>
            <w:r>
              <w:rPr>
                <w:rFonts w:hint="eastAsia"/>
                <w:sz w:val="24"/>
                <w:highlight w:val="none"/>
              </w:rPr>
              <w:t>宋体（不加粗）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47" w:type="dxa"/>
            <w:vAlign w:val="center"/>
          </w:tcPr>
          <w:p>
            <w:pPr>
              <w:snapToGrid w:val="0"/>
              <w:spacing w:line="240" w:lineRule="exact"/>
              <w:rPr>
                <w:sz w:val="24"/>
                <w:highlight w:val="none"/>
              </w:rPr>
            </w:pPr>
            <w:r>
              <w:rPr>
                <w:rFonts w:hint="eastAsia"/>
                <w:sz w:val="24"/>
                <w:highlight w:val="none"/>
              </w:rPr>
              <w:t>对招股说明书的引用</w:t>
            </w:r>
          </w:p>
        </w:tc>
        <w:tc>
          <w:tcPr>
            <w:tcW w:w="3329" w:type="dxa"/>
            <w:vAlign w:val="center"/>
          </w:tcPr>
          <w:p>
            <w:pPr>
              <w:snapToGrid w:val="0"/>
              <w:spacing w:line="240" w:lineRule="exact"/>
              <w:rPr>
                <w:sz w:val="24"/>
                <w:highlight w:val="none"/>
              </w:rPr>
            </w:pPr>
            <w:r>
              <w:rPr>
                <w:rFonts w:hint="eastAsia"/>
                <w:sz w:val="24"/>
                <w:highlight w:val="none"/>
              </w:rPr>
              <w:t>宋体（不加粗）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47" w:type="dxa"/>
            <w:vAlign w:val="center"/>
          </w:tcPr>
          <w:p>
            <w:pPr>
              <w:snapToGrid w:val="0"/>
              <w:spacing w:line="240" w:lineRule="exact"/>
              <w:rPr>
                <w:rFonts w:ascii="楷体" w:hAnsi="楷体" w:eastAsia="楷体"/>
                <w:b/>
                <w:bCs/>
                <w:sz w:val="24"/>
                <w:highlight w:val="none"/>
              </w:rPr>
            </w:pPr>
            <w:r>
              <w:rPr>
                <w:rFonts w:hint="eastAsia" w:ascii="楷体" w:hAnsi="楷体" w:eastAsia="楷体"/>
                <w:b/>
                <w:bCs/>
                <w:sz w:val="24"/>
                <w:highlight w:val="none"/>
              </w:rPr>
              <w:t>对招股说明书的修订、补充</w:t>
            </w:r>
          </w:p>
        </w:tc>
        <w:tc>
          <w:tcPr>
            <w:tcW w:w="3329" w:type="dxa"/>
            <w:vAlign w:val="center"/>
          </w:tcPr>
          <w:p>
            <w:pPr>
              <w:snapToGrid w:val="0"/>
              <w:spacing w:line="240" w:lineRule="exact"/>
              <w:rPr>
                <w:rFonts w:ascii="楷体" w:hAnsi="楷体" w:eastAsia="楷体"/>
                <w:b/>
                <w:bCs/>
                <w:sz w:val="24"/>
                <w:highlight w:val="none"/>
              </w:rPr>
            </w:pPr>
            <w:r>
              <w:rPr>
                <w:rFonts w:hint="eastAsia" w:ascii="楷体" w:hAnsi="楷体" w:eastAsia="楷体"/>
                <w:b/>
                <w:bCs/>
                <w:sz w:val="24"/>
                <w:highlight w:val="none"/>
              </w:rPr>
              <w:t>楷体（加粗）</w:t>
            </w:r>
          </w:p>
        </w:tc>
      </w:tr>
    </w:tbl>
    <w:p>
      <w:pPr>
        <w:snapToGrid w:val="0"/>
        <w:spacing w:before="289" w:beforeLines="50" w:after="289" w:afterLines="50" w:line="360" w:lineRule="auto"/>
        <w:ind w:firstLine="472" w:firstLineChars="200"/>
        <w:rPr>
          <w:rFonts w:eastAsia="宋体"/>
          <w:sz w:val="24"/>
          <w:szCs w:val="22"/>
          <w:highlight w:val="none"/>
        </w:rPr>
      </w:pPr>
      <w:r>
        <w:rPr>
          <w:rFonts w:hint="eastAsia" w:eastAsia="宋体"/>
          <w:sz w:val="24"/>
          <w:szCs w:val="22"/>
          <w:highlight w:val="none"/>
        </w:rPr>
        <w:t>在本意见落实函回复中，若合计数与各分项数值相加之和在尾数上存在差异，均为四舍五入所致。</w:t>
      </w:r>
    </w:p>
    <w:p>
      <w:pPr>
        <w:snapToGrid w:val="0"/>
        <w:spacing w:line="560" w:lineRule="exact"/>
        <w:ind w:left="1024" w:leftChars="100" w:right="316" w:rightChars="100" w:hanging="708" w:hangingChars="300"/>
        <w:rPr>
          <w:rFonts w:ascii="仿宋" w:hAnsi="仿宋"/>
          <w:sz w:val="24"/>
          <w:highlight w:val="none"/>
        </w:rPr>
      </w:pPr>
    </w:p>
    <w:p>
      <w:pPr>
        <w:widowControl/>
        <w:snapToGrid w:val="0"/>
        <w:jc w:val="left"/>
        <w:rPr>
          <w:rFonts w:ascii="仿宋" w:hAnsi="仿宋"/>
          <w:sz w:val="24"/>
          <w:highlight w:val="none"/>
        </w:rPr>
      </w:pPr>
      <w:r>
        <w:rPr>
          <w:rFonts w:ascii="仿宋" w:hAnsi="仿宋"/>
          <w:sz w:val="24"/>
          <w:highlight w:val="none"/>
        </w:rPr>
        <w:br w:type="page"/>
      </w:r>
    </w:p>
    <w:p>
      <w:pPr>
        <w:widowControl/>
        <w:snapToGrid w:val="0"/>
        <w:jc w:val="center"/>
        <w:outlineLvl w:val="0"/>
        <w:rPr>
          <w:rFonts w:ascii="黑体" w:hAnsi="黑体" w:eastAsia="黑体"/>
          <w:b/>
          <w:bCs/>
          <w:sz w:val="40"/>
          <w:szCs w:val="32"/>
          <w:highlight w:val="none"/>
        </w:rPr>
      </w:pPr>
      <w:r>
        <w:rPr>
          <w:rFonts w:hint="eastAsia" w:ascii="黑体" w:hAnsi="黑体" w:eastAsia="黑体"/>
          <w:b/>
          <w:bCs/>
          <w:szCs w:val="32"/>
          <w:highlight w:val="none"/>
        </w:rPr>
        <w:t xml:space="preserve">目 </w:t>
      </w:r>
      <w:r>
        <w:rPr>
          <w:rFonts w:ascii="黑体" w:hAnsi="黑体" w:eastAsia="黑体"/>
          <w:b/>
          <w:bCs/>
          <w:szCs w:val="32"/>
          <w:highlight w:val="none"/>
        </w:rPr>
        <w:t xml:space="preserve"> </w:t>
      </w:r>
      <w:r>
        <w:rPr>
          <w:rFonts w:hint="eastAsia" w:ascii="黑体" w:hAnsi="黑体" w:eastAsia="黑体"/>
          <w:b/>
          <w:bCs/>
          <w:szCs w:val="32"/>
          <w:highlight w:val="none"/>
        </w:rPr>
        <w:t>录</w:t>
      </w:r>
      <w:r>
        <w:rPr>
          <w:rFonts w:ascii="黑体" w:hAnsi="黑体" w:eastAsia="黑体"/>
          <w:b/>
          <w:bCs/>
          <w:szCs w:val="32"/>
          <w:highlight w:val="none"/>
        </w:rPr>
        <w:fldChar w:fldCharType="begin" w:fldLock="1"/>
      </w:r>
      <w:r>
        <w:rPr>
          <w:rFonts w:ascii="黑体" w:hAnsi="黑体" w:eastAsia="黑体"/>
          <w:b/>
          <w:bCs/>
          <w:szCs w:val="32"/>
          <w:highlight w:val="none"/>
        </w:rPr>
        <w:instrText xml:space="preserve"> TOC \o "1-1" \h \z \u </w:instrText>
      </w:r>
      <w:r>
        <w:rPr>
          <w:rFonts w:ascii="黑体" w:hAnsi="黑体" w:eastAsia="黑体"/>
          <w:b/>
          <w:bCs/>
          <w:szCs w:val="32"/>
          <w:highlight w:val="none"/>
        </w:rPr>
        <w:fldChar w:fldCharType="separate"/>
      </w:r>
    </w:p>
    <w:p>
      <w:pPr>
        <w:pStyle w:val="8"/>
        <w:tabs>
          <w:tab w:val="right" w:leader="dot" w:pos="8834"/>
        </w:tabs>
        <w:spacing w:line="240" w:lineRule="auto"/>
        <w:rPr>
          <w:rFonts w:eastAsia="黑体"/>
          <w:sz w:val="21"/>
          <w:szCs w:val="22"/>
          <w:highlight w:val="none"/>
        </w:rPr>
      </w:pPr>
      <w:r>
        <w:rPr>
          <w:highlight w:val="none"/>
        </w:rPr>
        <w:fldChar w:fldCharType="begin"/>
      </w:r>
      <w:r>
        <w:rPr>
          <w:highlight w:val="none"/>
        </w:rPr>
        <w:instrText xml:space="preserve"> HYPERLINK \l "_Toc51983463" </w:instrText>
      </w:r>
      <w:r>
        <w:rPr>
          <w:highlight w:val="none"/>
        </w:rPr>
        <w:fldChar w:fldCharType="separate"/>
      </w:r>
      <w:r>
        <w:rPr>
          <w:rStyle w:val="15"/>
          <w:rFonts w:eastAsia="黑体"/>
          <w:b/>
          <w:bCs/>
          <w:highlight w:val="none"/>
        </w:rPr>
        <w:t>一、关于周硕情况</w:t>
      </w:r>
      <w:r>
        <w:rPr>
          <w:rFonts w:eastAsia="黑体"/>
          <w:highlight w:val="none"/>
        </w:rPr>
        <w:tab/>
      </w:r>
      <w:r>
        <w:rPr>
          <w:rFonts w:eastAsia="黑体"/>
          <w:highlight w:val="none"/>
        </w:rPr>
        <w:fldChar w:fldCharType="begin" w:fldLock="1"/>
      </w:r>
      <w:r>
        <w:rPr>
          <w:rFonts w:eastAsia="黑体"/>
          <w:highlight w:val="none"/>
        </w:rPr>
        <w:instrText xml:space="preserve"> PAGEREF _Toc51983463 \h </w:instrText>
      </w:r>
      <w:r>
        <w:rPr>
          <w:rFonts w:eastAsia="黑体"/>
          <w:highlight w:val="none"/>
        </w:rPr>
        <w:fldChar w:fldCharType="separate"/>
      </w:r>
      <w:r>
        <w:rPr>
          <w:rFonts w:eastAsia="黑体"/>
          <w:highlight w:val="none"/>
        </w:rPr>
        <w:t>3</w:t>
      </w:r>
      <w:r>
        <w:rPr>
          <w:rFonts w:eastAsia="黑体"/>
          <w:highlight w:val="none"/>
        </w:rPr>
        <w:fldChar w:fldCharType="end"/>
      </w:r>
      <w:r>
        <w:rPr>
          <w:rFonts w:eastAsia="黑体"/>
          <w:highlight w:val="none"/>
        </w:rPr>
        <w:fldChar w:fldCharType="end"/>
      </w:r>
    </w:p>
    <w:p>
      <w:pPr>
        <w:pStyle w:val="8"/>
        <w:tabs>
          <w:tab w:val="right" w:leader="dot" w:pos="8834"/>
        </w:tabs>
        <w:spacing w:line="240" w:lineRule="auto"/>
        <w:rPr>
          <w:rFonts w:eastAsia="黑体"/>
          <w:sz w:val="21"/>
          <w:szCs w:val="22"/>
          <w:highlight w:val="none"/>
        </w:rPr>
      </w:pPr>
      <w:r>
        <w:rPr>
          <w:highlight w:val="none"/>
        </w:rPr>
        <w:fldChar w:fldCharType="begin"/>
      </w:r>
      <w:r>
        <w:rPr>
          <w:highlight w:val="none"/>
        </w:rPr>
        <w:instrText xml:space="preserve"> HYPERLINK \l "_Toc51983464" </w:instrText>
      </w:r>
      <w:r>
        <w:rPr>
          <w:highlight w:val="none"/>
        </w:rPr>
        <w:fldChar w:fldCharType="separate"/>
      </w:r>
      <w:r>
        <w:rPr>
          <w:rStyle w:val="15"/>
          <w:rFonts w:eastAsia="黑体"/>
          <w:b/>
          <w:bCs/>
          <w:highlight w:val="none"/>
        </w:rPr>
        <w:t>二、关于客户情况</w:t>
      </w:r>
      <w:r>
        <w:rPr>
          <w:rFonts w:eastAsia="黑体"/>
          <w:highlight w:val="none"/>
        </w:rPr>
        <w:tab/>
      </w:r>
      <w:r>
        <w:rPr>
          <w:rFonts w:eastAsia="黑体"/>
          <w:highlight w:val="none"/>
        </w:rPr>
        <w:fldChar w:fldCharType="begin" w:fldLock="1"/>
      </w:r>
      <w:r>
        <w:rPr>
          <w:rFonts w:eastAsia="黑体"/>
          <w:highlight w:val="none"/>
        </w:rPr>
        <w:instrText xml:space="preserve"> PAGEREF _Toc51983464 \h </w:instrText>
      </w:r>
      <w:r>
        <w:rPr>
          <w:rFonts w:eastAsia="黑体"/>
          <w:highlight w:val="none"/>
        </w:rPr>
        <w:fldChar w:fldCharType="separate"/>
      </w:r>
      <w:r>
        <w:rPr>
          <w:rFonts w:eastAsia="黑体"/>
          <w:highlight w:val="none"/>
        </w:rPr>
        <w:t>6</w:t>
      </w:r>
      <w:r>
        <w:rPr>
          <w:rFonts w:eastAsia="黑体"/>
          <w:highlight w:val="none"/>
        </w:rPr>
        <w:fldChar w:fldCharType="end"/>
      </w:r>
      <w:r>
        <w:rPr>
          <w:rFonts w:eastAsia="黑体"/>
          <w:highlight w:val="none"/>
        </w:rPr>
        <w:fldChar w:fldCharType="end"/>
      </w:r>
    </w:p>
    <w:p>
      <w:pPr>
        <w:pStyle w:val="8"/>
        <w:tabs>
          <w:tab w:val="right" w:leader="dot" w:pos="8834"/>
        </w:tabs>
        <w:spacing w:line="240" w:lineRule="auto"/>
        <w:rPr>
          <w:rFonts w:eastAsia="黑体"/>
          <w:sz w:val="21"/>
          <w:szCs w:val="22"/>
          <w:highlight w:val="none"/>
        </w:rPr>
      </w:pPr>
      <w:r>
        <w:rPr>
          <w:highlight w:val="none"/>
        </w:rPr>
        <w:fldChar w:fldCharType="begin"/>
      </w:r>
      <w:r>
        <w:rPr>
          <w:highlight w:val="none"/>
        </w:rPr>
        <w:instrText xml:space="preserve"> HYPERLINK \l "_Toc51983465" </w:instrText>
      </w:r>
      <w:r>
        <w:rPr>
          <w:highlight w:val="none"/>
        </w:rPr>
        <w:fldChar w:fldCharType="separate"/>
      </w:r>
      <w:r>
        <w:rPr>
          <w:rStyle w:val="15"/>
          <w:rFonts w:eastAsia="黑体"/>
          <w:b/>
          <w:bCs/>
          <w:highlight w:val="none"/>
        </w:rPr>
        <w:t>三、关于产品定价</w:t>
      </w:r>
      <w:r>
        <w:rPr>
          <w:rFonts w:eastAsia="黑体"/>
          <w:highlight w:val="none"/>
        </w:rPr>
        <w:tab/>
      </w:r>
      <w:r>
        <w:rPr>
          <w:rFonts w:eastAsia="黑体"/>
          <w:highlight w:val="none"/>
        </w:rPr>
        <w:fldChar w:fldCharType="begin" w:fldLock="1"/>
      </w:r>
      <w:r>
        <w:rPr>
          <w:rFonts w:eastAsia="黑体"/>
          <w:highlight w:val="none"/>
        </w:rPr>
        <w:instrText xml:space="preserve"> PAGEREF _Toc51983465 \h </w:instrText>
      </w:r>
      <w:r>
        <w:rPr>
          <w:rFonts w:eastAsia="黑体"/>
          <w:highlight w:val="none"/>
        </w:rPr>
        <w:fldChar w:fldCharType="separate"/>
      </w:r>
      <w:r>
        <w:rPr>
          <w:rFonts w:eastAsia="黑体"/>
          <w:highlight w:val="none"/>
        </w:rPr>
        <w:t>11</w:t>
      </w:r>
      <w:r>
        <w:rPr>
          <w:rFonts w:eastAsia="黑体"/>
          <w:highlight w:val="none"/>
        </w:rPr>
        <w:fldChar w:fldCharType="end"/>
      </w:r>
      <w:r>
        <w:rPr>
          <w:rFonts w:eastAsia="黑体"/>
          <w:highlight w:val="none"/>
        </w:rPr>
        <w:fldChar w:fldCharType="end"/>
      </w:r>
    </w:p>
    <w:p>
      <w:pPr>
        <w:pStyle w:val="8"/>
        <w:tabs>
          <w:tab w:val="right" w:leader="dot" w:pos="8834"/>
        </w:tabs>
        <w:spacing w:line="240" w:lineRule="auto"/>
        <w:rPr>
          <w:rFonts w:eastAsia="黑体"/>
          <w:sz w:val="21"/>
          <w:szCs w:val="22"/>
          <w:highlight w:val="none"/>
        </w:rPr>
      </w:pPr>
      <w:r>
        <w:rPr>
          <w:highlight w:val="none"/>
        </w:rPr>
        <w:fldChar w:fldCharType="begin"/>
      </w:r>
      <w:r>
        <w:rPr>
          <w:highlight w:val="none"/>
        </w:rPr>
        <w:instrText xml:space="preserve"> HYPERLINK \l "_Toc51983466" </w:instrText>
      </w:r>
      <w:r>
        <w:rPr>
          <w:highlight w:val="none"/>
        </w:rPr>
        <w:fldChar w:fldCharType="separate"/>
      </w:r>
      <w:r>
        <w:rPr>
          <w:rStyle w:val="15"/>
          <w:rFonts w:eastAsia="黑体"/>
          <w:b/>
          <w:bCs/>
          <w:highlight w:val="none"/>
        </w:rPr>
        <w:t>四、关于其他业务收入</w:t>
      </w:r>
      <w:r>
        <w:rPr>
          <w:rFonts w:eastAsia="黑体"/>
          <w:highlight w:val="none"/>
        </w:rPr>
        <w:tab/>
      </w:r>
      <w:r>
        <w:rPr>
          <w:rFonts w:eastAsia="黑体"/>
          <w:highlight w:val="none"/>
        </w:rPr>
        <w:fldChar w:fldCharType="begin" w:fldLock="1"/>
      </w:r>
      <w:r>
        <w:rPr>
          <w:rFonts w:eastAsia="黑体"/>
          <w:highlight w:val="none"/>
        </w:rPr>
        <w:instrText xml:space="preserve"> PAGEREF _Toc51983466 \h </w:instrText>
      </w:r>
      <w:r>
        <w:rPr>
          <w:rFonts w:eastAsia="黑体"/>
          <w:highlight w:val="none"/>
        </w:rPr>
        <w:fldChar w:fldCharType="separate"/>
      </w:r>
      <w:r>
        <w:rPr>
          <w:rFonts w:eastAsia="黑体"/>
          <w:highlight w:val="none"/>
        </w:rPr>
        <w:t>15</w:t>
      </w:r>
      <w:r>
        <w:rPr>
          <w:rFonts w:eastAsia="黑体"/>
          <w:highlight w:val="none"/>
        </w:rPr>
        <w:fldChar w:fldCharType="end"/>
      </w:r>
      <w:r>
        <w:rPr>
          <w:rFonts w:eastAsia="黑体"/>
          <w:highlight w:val="none"/>
        </w:rPr>
        <w:fldChar w:fldCharType="end"/>
      </w:r>
    </w:p>
    <w:p>
      <w:pPr>
        <w:pStyle w:val="8"/>
        <w:tabs>
          <w:tab w:val="right" w:leader="dot" w:pos="8834"/>
        </w:tabs>
        <w:spacing w:line="240" w:lineRule="auto"/>
        <w:rPr>
          <w:rFonts w:eastAsia="黑体"/>
          <w:sz w:val="21"/>
          <w:szCs w:val="22"/>
          <w:highlight w:val="none"/>
        </w:rPr>
      </w:pPr>
      <w:r>
        <w:rPr>
          <w:highlight w:val="none"/>
        </w:rPr>
        <w:fldChar w:fldCharType="begin"/>
      </w:r>
      <w:r>
        <w:rPr>
          <w:highlight w:val="none"/>
        </w:rPr>
        <w:instrText xml:space="preserve"> HYPERLINK \l "_Toc51983467" </w:instrText>
      </w:r>
      <w:r>
        <w:rPr>
          <w:highlight w:val="none"/>
        </w:rPr>
        <w:fldChar w:fldCharType="separate"/>
      </w:r>
      <w:r>
        <w:rPr>
          <w:rStyle w:val="15"/>
          <w:rFonts w:eastAsia="黑体"/>
          <w:b/>
          <w:bCs/>
          <w:highlight w:val="none"/>
        </w:rPr>
        <w:t>五、关于应收票据和应收账款</w:t>
      </w:r>
      <w:r>
        <w:rPr>
          <w:rFonts w:eastAsia="黑体"/>
          <w:highlight w:val="none"/>
        </w:rPr>
        <w:tab/>
      </w:r>
      <w:r>
        <w:rPr>
          <w:rFonts w:eastAsia="黑体"/>
          <w:highlight w:val="none"/>
        </w:rPr>
        <w:fldChar w:fldCharType="begin" w:fldLock="1"/>
      </w:r>
      <w:r>
        <w:rPr>
          <w:rFonts w:eastAsia="黑体"/>
          <w:highlight w:val="none"/>
        </w:rPr>
        <w:instrText xml:space="preserve"> PAGEREF _Toc51983467 \h </w:instrText>
      </w:r>
      <w:r>
        <w:rPr>
          <w:rFonts w:eastAsia="黑体"/>
          <w:highlight w:val="none"/>
        </w:rPr>
        <w:fldChar w:fldCharType="separate"/>
      </w:r>
      <w:r>
        <w:rPr>
          <w:rFonts w:eastAsia="黑体"/>
          <w:highlight w:val="none"/>
        </w:rPr>
        <w:t>22</w:t>
      </w:r>
      <w:r>
        <w:rPr>
          <w:rFonts w:eastAsia="黑体"/>
          <w:highlight w:val="none"/>
        </w:rPr>
        <w:fldChar w:fldCharType="end"/>
      </w:r>
      <w:r>
        <w:rPr>
          <w:rFonts w:eastAsia="黑体"/>
          <w:highlight w:val="none"/>
        </w:rPr>
        <w:fldChar w:fldCharType="end"/>
      </w:r>
    </w:p>
    <w:p>
      <w:pPr>
        <w:widowControl/>
        <w:snapToGrid w:val="0"/>
        <w:jc w:val="left"/>
        <w:rPr>
          <w:rFonts w:ascii="仿宋" w:hAnsi="仿宋"/>
          <w:sz w:val="24"/>
          <w:highlight w:val="none"/>
        </w:rPr>
      </w:pPr>
      <w:r>
        <w:rPr>
          <w:rFonts w:ascii="黑体" w:hAnsi="黑体" w:eastAsia="黑体"/>
          <w:sz w:val="24"/>
          <w:highlight w:val="none"/>
        </w:rPr>
        <w:fldChar w:fldCharType="end"/>
      </w:r>
    </w:p>
    <w:p>
      <w:pPr>
        <w:widowControl/>
        <w:jc w:val="left"/>
        <w:rPr>
          <w:rFonts w:ascii="仿宋" w:hAnsi="仿宋"/>
          <w:sz w:val="24"/>
          <w:highlight w:val="none"/>
        </w:rPr>
      </w:pPr>
      <w:r>
        <w:rPr>
          <w:rFonts w:ascii="仿宋" w:hAnsi="仿宋"/>
          <w:sz w:val="24"/>
          <w:highlight w:val="none"/>
        </w:rPr>
        <w:br w:type="page"/>
      </w:r>
    </w:p>
    <w:p>
      <w:pPr>
        <w:topLinePunct/>
        <w:adjustRightInd w:val="0"/>
        <w:snapToGrid w:val="0"/>
        <w:spacing w:before="289" w:beforeLines="50" w:after="289" w:afterLines="50" w:line="360" w:lineRule="auto"/>
        <w:ind w:firstLine="472" w:firstLineChars="200"/>
        <w:outlineLvl w:val="0"/>
        <w:rPr>
          <w:rFonts w:ascii="黑体" w:hAnsi="黑体" w:eastAsia="黑体"/>
          <w:b/>
          <w:bCs/>
          <w:sz w:val="24"/>
          <w:highlight w:val="none"/>
        </w:rPr>
      </w:pPr>
      <w:bookmarkStart w:id="1" w:name="_Toc51983463"/>
      <w:r>
        <w:rPr>
          <w:rFonts w:hint="eastAsia" w:ascii="黑体" w:hAnsi="黑体" w:eastAsia="黑体"/>
          <w:b/>
          <w:bCs/>
          <w:sz w:val="24"/>
          <w:highlight w:val="none"/>
        </w:rPr>
        <w:t>一、关于周硕情况</w:t>
      </w:r>
      <w:bookmarkEnd w:id="1"/>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招股说明书披露，报告期初至今，公司以及实际控制人宋朝阳与关联方周硕之间存在较多的资金往来。周硕曾持有北美三友40%股权，2018年3月将所持全部股权转让给发行人；曾持有德国三友40%股权，2018年3月将所持全部股权转让给发行人；美国三友电器有限公司系周硕在美国注册的公司，周硕持股100%，担任执行董事；已于2019年5月20日注销。北美三友、德国三友是发行人重要的子公司，美国三友曾作为第三方代收货款。目前，周硕简历披露至2018年。</w:t>
      </w:r>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请发行人：（1）补充更新披露周硕的基本情况和履历，主要对外投资情况，是否持股或控制与发行人从事相同或相近业务、或存在资金业务往来的公司；（2）说明周硕对发行人美国业务拓展中发挥的作用，说明在周硕退出北美三友股份并注销美国三友后，发行人海外业务的具体开展方式，客户开发或承接过程，并结合前述周硕的简历和对外持股情况，补充披露发行人在美业务是否仍然依托周硕展开，周硕是否存在利用其他公司为发行人分担费用、调节收入的情形；（3）简要说明周硕转让北美三友、德国三友股权所得资金的使用情况，是否与发行人实际控制人存在资金往来，是否存在其他形式的安排。请保荐机构、律师核查并发表意见。</w:t>
      </w:r>
    </w:p>
    <w:p>
      <w:pPr>
        <w:snapToGrid w:val="0"/>
        <w:spacing w:before="289" w:beforeLines="50" w:after="289" w:afterLines="50"/>
        <w:ind w:firstLine="472" w:firstLineChars="200"/>
        <w:rPr>
          <w:rFonts w:ascii="宋体" w:hAnsi="宋体" w:eastAsia="宋体"/>
          <w:b/>
          <w:bCs/>
          <w:sz w:val="24"/>
          <w:highlight w:val="none"/>
        </w:rPr>
      </w:pPr>
      <w:r>
        <w:rPr>
          <w:rFonts w:ascii="宋体" w:hAnsi="宋体" w:eastAsia="宋体"/>
          <w:b/>
          <w:bCs/>
          <w:sz w:val="24"/>
          <w:highlight w:val="none"/>
        </w:rPr>
        <w:t>回复：</w:t>
      </w:r>
    </w:p>
    <w:p>
      <w:pPr>
        <w:topLinePunct/>
        <w:adjustRightInd w:val="0"/>
        <w:snapToGrid w:val="0"/>
        <w:spacing w:after="289" w:afterLines="50"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（一）补充更新披露周硕的基本情况和履历，主要对外投资情况，是否持股或控制与发行人从事相同或相近业务、或存在资金业务往来的公司；</w:t>
      </w:r>
    </w:p>
    <w:p>
      <w:pPr>
        <w:pStyle w:val="25"/>
        <w:adjustRightInd w:val="0"/>
        <w:snapToGrid w:val="0"/>
        <w:ind w:firstLine="472"/>
        <w:rPr>
          <w:rFonts w:cs="Times New Roman"/>
          <w:bCs/>
          <w:highlight w:val="none"/>
        </w:rPr>
      </w:pPr>
      <w:r>
        <w:rPr>
          <w:rFonts w:hint="eastAsia" w:cs="Times New Roman"/>
          <w:bCs/>
          <w:highlight w:val="none"/>
        </w:rPr>
        <w:t>周硕原为发行人境外子公司北美三友、德国三友的少数股东，并注册成立了美国三友。2018年3月，周硕持有的北美三友全部股权以288.00万加拿大元的价格转让给了公司，持有的德国三友全部股权以1.00欧元的价格转让给了公司。2</w:t>
      </w:r>
      <w:r>
        <w:rPr>
          <w:rFonts w:cs="Times New Roman"/>
          <w:bCs/>
          <w:highlight w:val="none"/>
        </w:rPr>
        <w:t>019</w:t>
      </w:r>
      <w:r>
        <w:rPr>
          <w:rFonts w:hint="eastAsia" w:cs="Times New Roman"/>
          <w:bCs/>
          <w:highlight w:val="none"/>
        </w:rPr>
        <w:t>年</w:t>
      </w:r>
      <w:r>
        <w:rPr>
          <w:rFonts w:cs="Times New Roman"/>
          <w:bCs/>
          <w:highlight w:val="none"/>
        </w:rPr>
        <w:t>5</w:t>
      </w:r>
      <w:r>
        <w:rPr>
          <w:rFonts w:hint="eastAsia" w:cs="Times New Roman"/>
          <w:bCs/>
          <w:highlight w:val="none"/>
        </w:rPr>
        <w:t>月，周硕解散注销了美国三友。周硕的基本情况和履历、主要对外投资情况如下：</w:t>
      </w:r>
    </w:p>
    <w:p>
      <w:pPr>
        <w:pStyle w:val="25"/>
        <w:adjustRightInd w:val="0"/>
        <w:snapToGrid w:val="0"/>
        <w:ind w:firstLine="472"/>
        <w:rPr>
          <w:rFonts w:cs="Times New Roman"/>
          <w:bCs/>
          <w:highlight w:val="none"/>
        </w:rPr>
      </w:pPr>
      <w:r>
        <w:rPr>
          <w:rFonts w:hint="eastAsia" w:cs="Times New Roman"/>
          <w:bCs/>
          <w:highlight w:val="none"/>
        </w:rPr>
        <w:t>周硕，男，加拿大国籍。1959年8月出生，机器制造学士学位。1982年7月毕业于天津市河北工学院（现名</w:t>
      </w:r>
      <w:r>
        <w:rPr>
          <w:rFonts w:hint="eastAsia" w:ascii="宋体" w:hAnsi="宋体" w:cs="Times New Roman"/>
          <w:bCs/>
          <w:highlight w:val="none"/>
        </w:rPr>
        <w:t>“</w:t>
      </w:r>
      <w:r>
        <w:rPr>
          <w:rFonts w:hint="eastAsia" w:cs="Times New Roman"/>
          <w:bCs/>
          <w:highlight w:val="none"/>
        </w:rPr>
        <w:t>河北工业大学</w:t>
      </w:r>
      <w:r>
        <w:rPr>
          <w:rFonts w:hint="eastAsia" w:ascii="宋体" w:hAnsi="宋体" w:cs="Times New Roman"/>
          <w:bCs/>
          <w:highlight w:val="none"/>
        </w:rPr>
        <w:t>”</w:t>
      </w:r>
      <w:r>
        <w:rPr>
          <w:rFonts w:hint="eastAsia" w:cs="Times New Roman"/>
          <w:bCs/>
          <w:highlight w:val="none"/>
        </w:rPr>
        <w:t>），机器制造专业。1982年至1985年在秦皇岛冶金机修总厂研究所任职员；1985年至1992年在秦皇岛外贸进出口公司任职员；1992年至2003年在匈牙利Glory Co., Ltd任总经理；2004年至2008年在加拿大Vancouver Source Inc任总经理；2008年至2019年，在注册地位于美国的美国三友任执行董事；2011年至2018年，在注册地位于加拿大的北美三友任执行董事；2015年至2018年，在注册地位于德国的德国三友任执行董事；</w:t>
      </w:r>
      <w:r>
        <w:rPr>
          <w:rFonts w:hint="eastAsia" w:ascii="楷体" w:hAnsi="楷体" w:eastAsia="楷体" w:cs="Times New Roman"/>
          <w:b/>
          <w:highlight w:val="none"/>
        </w:rPr>
        <w:t>2</w:t>
      </w:r>
      <w:r>
        <w:rPr>
          <w:rFonts w:ascii="楷体" w:hAnsi="楷体" w:eastAsia="楷体" w:cs="Times New Roman"/>
          <w:b/>
          <w:highlight w:val="none"/>
        </w:rPr>
        <w:t>019</w:t>
      </w:r>
      <w:r>
        <w:rPr>
          <w:rFonts w:hint="eastAsia" w:ascii="楷体" w:hAnsi="楷体" w:eastAsia="楷体" w:cs="Times New Roman"/>
          <w:b/>
          <w:highlight w:val="none"/>
        </w:rPr>
        <w:t>年美国三友注销后即退休，没有担任其他职务</w:t>
      </w:r>
      <w:r>
        <w:rPr>
          <w:rFonts w:hint="eastAsia" w:cs="Times New Roman"/>
          <w:bCs/>
          <w:highlight w:val="none"/>
        </w:rPr>
        <w:t>。</w:t>
      </w:r>
    </w:p>
    <w:p>
      <w:pPr>
        <w:pStyle w:val="25"/>
        <w:adjustRightInd w:val="0"/>
        <w:snapToGrid w:val="0"/>
        <w:ind w:firstLine="474"/>
        <w:rPr>
          <w:rFonts w:ascii="楷体" w:hAnsi="楷体" w:eastAsia="楷体"/>
          <w:b/>
          <w:szCs w:val="22"/>
          <w:highlight w:val="none"/>
        </w:rPr>
      </w:pPr>
      <w:r>
        <w:rPr>
          <w:rFonts w:hint="eastAsia" w:ascii="楷体" w:hAnsi="楷体" w:eastAsia="楷体" w:cs="Times New Roman"/>
          <w:b/>
          <w:highlight w:val="none"/>
        </w:rPr>
        <w:t>除银行理财产品的投资外，在转让北美三友、德国三友股权并注销美国三友后，周硕没有其他直接或间接对外投资，</w:t>
      </w:r>
      <w:r>
        <w:rPr>
          <w:rFonts w:hint="eastAsia" w:ascii="楷体" w:hAnsi="楷体" w:eastAsia="楷体"/>
          <w:b/>
          <w:szCs w:val="22"/>
          <w:highlight w:val="none"/>
        </w:rPr>
        <w:t>未持股或控制与发行人从事相同或相近业务、或存在资金业务往来的公司，亦不存在</w:t>
      </w:r>
      <w:r>
        <w:rPr>
          <w:rFonts w:ascii="楷体" w:hAnsi="楷体" w:eastAsia="楷体"/>
          <w:b/>
          <w:szCs w:val="22"/>
          <w:highlight w:val="none"/>
        </w:rPr>
        <w:t>发行人</w:t>
      </w:r>
      <w:r>
        <w:rPr>
          <w:rFonts w:hint="eastAsia" w:ascii="楷体" w:hAnsi="楷体" w:eastAsia="楷体"/>
          <w:b/>
          <w:szCs w:val="22"/>
          <w:highlight w:val="none"/>
        </w:rPr>
        <w:t>股东为其代持股份的情形。</w:t>
      </w:r>
    </w:p>
    <w:p>
      <w:pPr>
        <w:pStyle w:val="25"/>
        <w:adjustRightInd w:val="0"/>
        <w:snapToGrid w:val="0"/>
        <w:ind w:firstLine="472"/>
        <w:rPr>
          <w:rFonts w:ascii="宋体" w:hAnsi="宋体" w:cs="Times New Roman"/>
          <w:bCs/>
          <w:highlight w:val="none"/>
        </w:rPr>
      </w:pPr>
      <w:r>
        <w:rPr>
          <w:rFonts w:hint="eastAsia" w:ascii="宋体" w:hAnsi="宋体" w:cs="Times New Roman"/>
          <w:bCs/>
          <w:highlight w:val="none"/>
        </w:rPr>
        <w:t>周硕</w:t>
      </w:r>
      <w:r>
        <w:rPr>
          <w:rFonts w:cs="Times New Roman"/>
          <w:bCs/>
          <w:highlight w:val="none"/>
        </w:rPr>
        <w:t>2018年</w:t>
      </w:r>
      <w:r>
        <w:rPr>
          <w:rFonts w:hint="eastAsia" w:ascii="宋体" w:hAnsi="宋体" w:cs="Times New Roman"/>
          <w:bCs/>
          <w:highlight w:val="none"/>
        </w:rPr>
        <w:t>自北美三友、德国三友退出后，未在公司及其子公司以及公司的客户或供应商担任任何职务；</w:t>
      </w:r>
      <w:r>
        <w:rPr>
          <w:rFonts w:hint="eastAsia" w:ascii="宋体" w:hAnsi="宋体" w:cs="Times New Roman"/>
          <w:bCs/>
          <w:highlight w:val="none"/>
          <w:lang w:val="en-US" w:eastAsia="zh-CN"/>
        </w:rPr>
        <w:t>并</w:t>
      </w:r>
      <w:r>
        <w:rPr>
          <w:rFonts w:hint="eastAsia" w:ascii="宋体" w:hAnsi="宋体" w:cs="Times New Roman"/>
          <w:bCs/>
          <w:highlight w:val="none"/>
        </w:rPr>
        <w:t>于</w:t>
      </w:r>
      <w:r>
        <w:rPr>
          <w:rFonts w:cs="Times New Roman"/>
          <w:bCs/>
          <w:highlight w:val="none"/>
        </w:rPr>
        <w:t>2019</w:t>
      </w:r>
      <w:r>
        <w:rPr>
          <w:rFonts w:hint="eastAsia" w:ascii="宋体" w:hAnsi="宋体" w:cs="Times New Roman"/>
          <w:bCs/>
          <w:highlight w:val="none"/>
        </w:rPr>
        <w:t>年美国三友注销后退休，未担任其他职务。</w:t>
      </w:r>
    </w:p>
    <w:p>
      <w:pPr>
        <w:pStyle w:val="25"/>
        <w:adjustRightInd w:val="0"/>
        <w:snapToGrid w:val="0"/>
        <w:ind w:firstLine="472"/>
        <w:rPr>
          <w:rFonts w:cs="Times New Roman"/>
          <w:bCs/>
          <w:highlight w:val="none"/>
        </w:rPr>
      </w:pPr>
      <w:r>
        <w:rPr>
          <w:rFonts w:hint="eastAsia" w:cs="Times New Roman"/>
          <w:bCs/>
          <w:highlight w:val="none"/>
        </w:rPr>
        <w:t>以上楷体加粗部分已在招股说明书</w:t>
      </w:r>
      <w:r>
        <w:rPr>
          <w:rFonts w:hint="eastAsia" w:ascii="宋体" w:hAnsi="宋体" w:cs="Times New Roman"/>
          <w:bCs/>
          <w:highlight w:val="none"/>
        </w:rPr>
        <w:t>“</w:t>
      </w:r>
      <w:r>
        <w:rPr>
          <w:rFonts w:hint="eastAsia" w:cs="Times New Roman"/>
          <w:bCs/>
          <w:highlight w:val="none"/>
        </w:rPr>
        <w:t>第七节 公司治理与独立性</w:t>
      </w:r>
      <w:r>
        <w:rPr>
          <w:rFonts w:hint="eastAsia" w:ascii="宋体" w:hAnsi="宋体" w:cs="Times New Roman"/>
          <w:bCs/>
          <w:highlight w:val="none"/>
        </w:rPr>
        <w:t>”</w:t>
      </w:r>
      <w:r>
        <w:rPr>
          <w:rFonts w:hint="eastAsia" w:cs="Times New Roman"/>
          <w:bCs/>
          <w:highlight w:val="none"/>
        </w:rPr>
        <w:t>之</w:t>
      </w:r>
      <w:r>
        <w:rPr>
          <w:rFonts w:hint="eastAsia" w:ascii="宋体" w:hAnsi="宋体" w:cs="Times New Roman"/>
          <w:bCs/>
          <w:highlight w:val="none"/>
        </w:rPr>
        <w:t>“</w:t>
      </w:r>
      <w:r>
        <w:rPr>
          <w:rFonts w:hint="eastAsia" w:cs="Times New Roman"/>
          <w:bCs/>
          <w:highlight w:val="none"/>
        </w:rPr>
        <w:t>九、关联方及关联关系</w:t>
      </w:r>
      <w:r>
        <w:rPr>
          <w:rFonts w:hint="eastAsia" w:ascii="宋体" w:hAnsi="宋体" w:cs="Times New Roman"/>
          <w:bCs/>
          <w:highlight w:val="none"/>
        </w:rPr>
        <w:t>”</w:t>
      </w:r>
      <w:r>
        <w:rPr>
          <w:rFonts w:hint="eastAsia" w:cs="Times New Roman"/>
          <w:bCs/>
          <w:highlight w:val="none"/>
        </w:rPr>
        <w:t>之</w:t>
      </w:r>
      <w:r>
        <w:rPr>
          <w:rFonts w:hint="eastAsia" w:ascii="宋体" w:hAnsi="宋体" w:cs="Times New Roman"/>
          <w:bCs/>
          <w:highlight w:val="none"/>
        </w:rPr>
        <w:t>“</w:t>
      </w:r>
      <w:r>
        <w:rPr>
          <w:rFonts w:hint="eastAsia" w:cs="Times New Roman"/>
          <w:bCs/>
          <w:highlight w:val="none"/>
        </w:rPr>
        <w:t>（八）其他关联方</w:t>
      </w:r>
      <w:r>
        <w:rPr>
          <w:rFonts w:hint="eastAsia" w:ascii="宋体" w:hAnsi="宋体" w:cs="Times New Roman"/>
          <w:bCs/>
          <w:highlight w:val="none"/>
        </w:rPr>
        <w:t>”</w:t>
      </w:r>
      <w:r>
        <w:rPr>
          <w:rFonts w:hint="eastAsia" w:cs="Times New Roman"/>
          <w:bCs/>
          <w:highlight w:val="none"/>
        </w:rPr>
        <w:t>中补充披露。</w:t>
      </w:r>
    </w:p>
    <w:p>
      <w:pPr>
        <w:topLinePunct/>
        <w:adjustRightInd w:val="0"/>
        <w:snapToGrid w:val="0"/>
        <w:spacing w:after="289" w:afterLines="50"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二）说明周硕对发行人美国业务拓展中发挥的作用，说明在周硕退出北美三友股份并注销美国三友后，发行人海外业务的具体开展方式，客户开发或承接过程，并结合前述周硕的简历和对外持股情况，补充披露发行人在美业务是否仍然依托周硕展开，周硕是否存在利用其他公司为发行人分担费用、调节收入的情形；</w:t>
      </w:r>
    </w:p>
    <w:p>
      <w:pPr>
        <w:pStyle w:val="25"/>
        <w:adjustRightInd w:val="0"/>
        <w:snapToGrid w:val="0"/>
        <w:ind w:firstLine="472"/>
        <w:rPr>
          <w:rFonts w:cs="Times New Roman"/>
          <w:bCs/>
          <w:highlight w:val="none"/>
        </w:rPr>
      </w:pPr>
      <w:r>
        <w:rPr>
          <w:rFonts w:hint="eastAsia" w:cs="Times New Roman"/>
          <w:bCs/>
          <w:highlight w:val="none"/>
        </w:rPr>
        <w:t>在担任北美三友、德国三友的执行董事期间，周硕全面负责北美三友的管理工作，包括日常管理、财务管理、销售拓展，负责德国三友的财务管理。北美三友的客户包括直销客户、销售代理、贸易商，周硕负责相关拓展、沟通、协调等工作，对三友联众在北美地区包括美国的业务拓展起到了推动作用。</w:t>
      </w:r>
    </w:p>
    <w:p>
      <w:pPr>
        <w:pStyle w:val="25"/>
        <w:adjustRightInd w:val="0"/>
        <w:snapToGrid w:val="0"/>
        <w:ind w:firstLine="472"/>
        <w:rPr>
          <w:rFonts w:cs="Times New Roman"/>
          <w:bCs/>
          <w:highlight w:val="none"/>
        </w:rPr>
      </w:pPr>
      <w:r>
        <w:rPr>
          <w:rFonts w:hint="eastAsia" w:cs="Times New Roman"/>
          <w:bCs/>
          <w:highlight w:val="none"/>
        </w:rPr>
        <w:t>周硕2018年退出北美三友后，北美三友执行董事由公司控股股东、实际控制人兼董事长宋朝阳担任，对重要的经营活动及资金使用进行审批；提拔北美三友入职时间较长的资深业务经理担任北美三友总经理，负责日常</w:t>
      </w:r>
      <w:r>
        <w:rPr>
          <w:rFonts w:hint="eastAsia" w:cs="Times New Roman"/>
          <w:bCs/>
          <w:highlight w:val="none"/>
          <w:lang w:val="en-US" w:eastAsia="zh-CN"/>
        </w:rPr>
        <w:t>经营</w:t>
      </w:r>
      <w:r>
        <w:rPr>
          <w:rFonts w:hint="eastAsia" w:cs="Times New Roman"/>
          <w:bCs/>
          <w:highlight w:val="none"/>
        </w:rPr>
        <w:t>管理及销售拓展工作，并</w:t>
      </w:r>
      <w:r>
        <w:rPr>
          <w:rFonts w:hint="eastAsia" w:cs="Times New Roman"/>
          <w:bCs/>
          <w:highlight w:val="none"/>
          <w:lang w:val="en-US" w:eastAsia="zh-CN"/>
        </w:rPr>
        <w:t>正常维系</w:t>
      </w:r>
      <w:r>
        <w:rPr>
          <w:rFonts w:hint="eastAsia" w:cs="Times New Roman"/>
          <w:bCs/>
          <w:highlight w:val="none"/>
        </w:rPr>
        <w:t>原有</w:t>
      </w:r>
      <w:r>
        <w:rPr>
          <w:rFonts w:hint="eastAsia" w:cs="Times New Roman"/>
          <w:bCs/>
          <w:highlight w:val="none"/>
          <w:lang w:val="en-US" w:eastAsia="zh-CN"/>
        </w:rPr>
        <w:t>的</w:t>
      </w:r>
      <w:r>
        <w:rPr>
          <w:rFonts w:hint="eastAsia" w:cs="Times New Roman"/>
          <w:bCs/>
          <w:highlight w:val="none"/>
        </w:rPr>
        <w:t>客户关系。同时，公司为加强对海外子公司的销售管理，聘请海外销售总监，统一对海外三家子公司进行销售管理。新聘任的海外销售总监毕业于哈尔滨理工大学，曾就职于LG电子有限公司、华为技术有限公司及TCL-罗格朗国际电工有限公司等企业，具有丰富的海外销售经验。发行人新聘任的海外销售总监和北美三友总经理与周硕不存在关联关系。</w:t>
      </w:r>
    </w:p>
    <w:p>
      <w:pPr>
        <w:pStyle w:val="25"/>
        <w:adjustRightInd w:val="0"/>
        <w:snapToGrid w:val="0"/>
        <w:ind w:firstLine="472"/>
        <w:rPr>
          <w:rFonts w:cs="Times New Roman"/>
          <w:bCs/>
          <w:highlight w:val="none"/>
        </w:rPr>
      </w:pPr>
      <w:r>
        <w:rPr>
          <w:rFonts w:hint="eastAsia" w:cs="Times New Roman"/>
          <w:bCs/>
          <w:highlight w:val="none"/>
        </w:rPr>
        <w:t>综上，北美三友的经营管理未受到</w:t>
      </w:r>
      <w:r>
        <w:rPr>
          <w:rFonts w:hint="eastAsia" w:cs="Times New Roman"/>
          <w:bCs/>
          <w:highlight w:val="none"/>
          <w:lang w:val="en-US" w:eastAsia="zh-CN"/>
        </w:rPr>
        <w:t>周硕退出的</w:t>
      </w:r>
      <w:r>
        <w:rPr>
          <w:rFonts w:hint="eastAsia" w:cs="Times New Roman"/>
          <w:bCs/>
          <w:highlight w:val="none"/>
        </w:rPr>
        <w:t>影响，原有客户未受到影响。</w:t>
      </w:r>
    </w:p>
    <w:p>
      <w:pPr>
        <w:pStyle w:val="25"/>
        <w:adjustRightInd w:val="0"/>
        <w:snapToGrid w:val="0"/>
        <w:ind w:firstLine="472"/>
        <w:rPr>
          <w:rFonts w:cs="Times New Roman"/>
          <w:bCs/>
          <w:highlight w:val="none"/>
        </w:rPr>
      </w:pPr>
      <w:bookmarkStart w:id="2" w:name="_Hlk52358911"/>
      <w:r>
        <w:rPr>
          <w:rFonts w:hint="eastAsia" w:cs="Times New Roman"/>
          <w:bCs/>
          <w:highlight w:val="none"/>
        </w:rPr>
        <w:t>美国三友存续期间未开展实质经营，2019年注销时不涉及</w:t>
      </w:r>
      <w:r>
        <w:rPr>
          <w:rFonts w:hint="eastAsia" w:cs="Times New Roman"/>
          <w:bCs/>
          <w:highlight w:val="none"/>
          <w:lang w:val="en-US" w:eastAsia="zh-CN"/>
        </w:rPr>
        <w:t>资产、</w:t>
      </w:r>
      <w:r>
        <w:rPr>
          <w:rFonts w:hint="eastAsia" w:cs="Times New Roman"/>
          <w:bCs/>
          <w:highlight w:val="none"/>
        </w:rPr>
        <w:t>业务、客户和员工安排或处置情形。</w:t>
      </w:r>
    </w:p>
    <w:p>
      <w:pPr>
        <w:pStyle w:val="25"/>
        <w:adjustRightInd w:val="0"/>
        <w:snapToGrid w:val="0"/>
        <w:ind w:firstLine="472"/>
        <w:rPr>
          <w:rFonts w:cs="Times New Roman"/>
          <w:bCs/>
          <w:highlight w:val="none"/>
        </w:rPr>
      </w:pPr>
      <w:r>
        <w:rPr>
          <w:rFonts w:hint="eastAsia" w:cs="Times New Roman"/>
          <w:bCs/>
          <w:highlight w:val="none"/>
        </w:rPr>
        <w:t>在周硕退出北美三友股份并注销美国三友后，公司海外业务的具体开展方式、客户开发或承接过程未发生变化，未对已有客户造成影响。</w:t>
      </w:r>
    </w:p>
    <w:p>
      <w:pPr>
        <w:pStyle w:val="25"/>
        <w:adjustRightInd w:val="0"/>
        <w:snapToGrid w:val="0"/>
        <w:ind w:firstLine="472"/>
        <w:rPr>
          <w:rFonts w:cs="Times New Roman"/>
          <w:bCs/>
          <w:highlight w:val="none"/>
        </w:rPr>
      </w:pPr>
      <w:r>
        <w:rPr>
          <w:rFonts w:hint="eastAsia" w:cs="Times New Roman"/>
          <w:szCs w:val="24"/>
          <w:highlight w:val="none"/>
        </w:rPr>
        <w:t>根据产品的不同，公司在海外业务的开展方式有所差别</w:t>
      </w:r>
      <w:r>
        <w:rPr>
          <w:rFonts w:hint="eastAsia" w:cs="Times New Roman"/>
          <w:bCs/>
          <w:highlight w:val="none"/>
        </w:rPr>
        <w:t>，具体如下：</w:t>
      </w:r>
    </w:p>
    <w:bookmarkEnd w:id="2"/>
    <w:p>
      <w:pPr>
        <w:pStyle w:val="25"/>
        <w:adjustRightInd w:val="0"/>
        <w:snapToGrid w:val="0"/>
        <w:ind w:firstLine="472"/>
        <w:rPr>
          <w:rFonts w:cs="Times New Roman"/>
          <w:bCs/>
          <w:highlight w:val="none"/>
        </w:rPr>
      </w:pPr>
      <w:r>
        <w:rPr>
          <w:rFonts w:hint="eastAsia" w:cs="Times New Roman"/>
          <w:bCs/>
          <w:highlight w:val="none"/>
        </w:rPr>
        <w:t>1、通用功率继电器海外市场开拓方式</w:t>
      </w:r>
    </w:p>
    <w:p>
      <w:pPr>
        <w:pStyle w:val="25"/>
        <w:adjustRightInd w:val="0"/>
        <w:snapToGrid w:val="0"/>
        <w:ind w:firstLine="472"/>
        <w:rPr>
          <w:rFonts w:cs="Times New Roman"/>
          <w:bCs/>
          <w:highlight w:val="none"/>
        </w:rPr>
      </w:pPr>
      <w:r>
        <w:rPr>
          <w:rFonts w:hint="eastAsia" w:cs="Times New Roman"/>
          <w:bCs/>
          <w:highlight w:val="none"/>
        </w:rPr>
        <w:t>公司通用功率继电器海外市场的业务开展采用国内直接开拓与海外子公司开拓相结合的方式进行。公司国内的海外销售总部主要负责海外大客户及重要合作伙伴的拓展及维护，以更好匹配跨国公司跨区域采购及交付的业务需求；主要服务的客户为全球知名企业，如：Whirlpool（惠而浦）、GEA（通用电气）、Electrolux（伊莱克斯）、Samsung（三星）、Panasonic（松下）、Voltas等及其合作的板厂。公司的3家海外子公司即北美三友、韩国三友及德国三友作为公司在海外业务拓展的销售中心，分别负责北美地区、韩国地区及欧洲地区的市场开拓、品牌推广以及客户的维护；主要服务于区域性家电制造商及其板厂，如：Arcelik、E.G.O、Prettl，以及重要的区域性电子产品经销商，如：CODICO、Panel等。</w:t>
      </w:r>
    </w:p>
    <w:p>
      <w:pPr>
        <w:pStyle w:val="25"/>
        <w:adjustRightInd w:val="0"/>
        <w:snapToGrid w:val="0"/>
        <w:ind w:firstLine="472"/>
        <w:rPr>
          <w:rFonts w:cs="Times New Roman"/>
          <w:bCs/>
          <w:highlight w:val="none"/>
        </w:rPr>
      </w:pPr>
      <w:r>
        <w:rPr>
          <w:rFonts w:hint="eastAsia" w:cs="Times New Roman"/>
          <w:bCs/>
          <w:highlight w:val="none"/>
        </w:rPr>
        <w:t>公司及子公司每年定期参加各类继电器行业相关的全球展会，宣传公司品牌，推广公司产品，结识潜在客户，了解市场需求，并根据通过展会了解的行业发展趋势和客户需求，进一步研发产品，向潜在客户进行推介，并最终获取新的海外客户。随着持续</w:t>
      </w:r>
      <w:r>
        <w:rPr>
          <w:rFonts w:hint="eastAsia" w:cs="Times New Roman"/>
          <w:bCs/>
          <w:highlight w:val="none"/>
          <w:lang w:val="en-US" w:eastAsia="zh-CN"/>
        </w:rPr>
        <w:t>进行</w:t>
      </w:r>
      <w:r>
        <w:rPr>
          <w:rFonts w:hint="eastAsia" w:cs="Times New Roman"/>
          <w:bCs/>
          <w:highlight w:val="none"/>
        </w:rPr>
        <w:t>海外推广，以及与海外知名客户的深入合作，公司产品知名度得到进一步提升，也</w:t>
      </w:r>
      <w:r>
        <w:rPr>
          <w:rFonts w:hint="eastAsia" w:cs="Times New Roman"/>
          <w:bCs/>
          <w:highlight w:val="none"/>
          <w:lang w:val="en-US" w:eastAsia="zh-CN"/>
        </w:rPr>
        <w:t>有海外</w:t>
      </w:r>
      <w:r>
        <w:rPr>
          <w:rFonts w:hint="eastAsia" w:cs="Times New Roman"/>
          <w:bCs/>
          <w:highlight w:val="none"/>
        </w:rPr>
        <w:t>客户主动接洽公司</w:t>
      </w:r>
      <w:r>
        <w:rPr>
          <w:rFonts w:hint="eastAsia" w:cs="Times New Roman"/>
          <w:bCs/>
          <w:highlight w:val="none"/>
          <w:lang w:eastAsia="zh-CN"/>
        </w:rPr>
        <w:t>，</w:t>
      </w:r>
      <w:r>
        <w:rPr>
          <w:rFonts w:hint="eastAsia" w:cs="Times New Roman"/>
          <w:bCs/>
          <w:highlight w:val="none"/>
          <w:lang w:val="en-US" w:eastAsia="zh-CN"/>
        </w:rPr>
        <w:t>寻求商业合作</w:t>
      </w:r>
      <w:r>
        <w:rPr>
          <w:rFonts w:hint="eastAsia" w:cs="Times New Roman"/>
          <w:bCs/>
          <w:highlight w:val="none"/>
        </w:rPr>
        <w:t>。</w:t>
      </w:r>
    </w:p>
    <w:p>
      <w:pPr>
        <w:pStyle w:val="25"/>
        <w:adjustRightInd w:val="0"/>
        <w:snapToGrid w:val="0"/>
        <w:ind w:firstLine="472"/>
        <w:rPr>
          <w:rFonts w:cs="Times New Roman"/>
          <w:bCs/>
          <w:highlight w:val="none"/>
        </w:rPr>
      </w:pPr>
      <w:r>
        <w:rPr>
          <w:rFonts w:hint="eastAsia" w:cs="Times New Roman"/>
          <w:bCs/>
          <w:highlight w:val="none"/>
        </w:rPr>
        <w:t>2、磁保持继电器海外市场开拓方式</w:t>
      </w:r>
    </w:p>
    <w:p>
      <w:pPr>
        <w:pStyle w:val="25"/>
        <w:adjustRightInd w:val="0"/>
        <w:snapToGrid w:val="0"/>
        <w:ind w:firstLine="472"/>
        <w:rPr>
          <w:rFonts w:cs="Times New Roman"/>
          <w:bCs/>
          <w:highlight w:val="none"/>
        </w:rPr>
      </w:pPr>
      <w:r>
        <w:rPr>
          <w:rFonts w:hint="eastAsia" w:cs="Times New Roman"/>
          <w:bCs/>
          <w:highlight w:val="none"/>
        </w:rPr>
        <w:t>磁保持继电器下游客户为电表制造商，产品多以项目制形式开展，因此公司磁保持继电器海外市场的开拓主要采用国内直接开拓，目前开始探索通过海外子公司进行</w:t>
      </w:r>
      <w:r>
        <w:rPr>
          <w:rFonts w:hint="eastAsia" w:cs="Times New Roman"/>
          <w:bCs/>
          <w:highlight w:val="none"/>
          <w:lang w:val="en-US" w:eastAsia="zh-CN"/>
        </w:rPr>
        <w:t>市场</w:t>
      </w:r>
      <w:r>
        <w:rPr>
          <w:rFonts w:hint="eastAsia" w:cs="Times New Roman"/>
          <w:bCs/>
          <w:highlight w:val="none"/>
        </w:rPr>
        <w:t>开拓。</w:t>
      </w:r>
    </w:p>
    <w:p>
      <w:pPr>
        <w:pStyle w:val="25"/>
        <w:adjustRightInd w:val="0"/>
        <w:snapToGrid w:val="0"/>
        <w:ind w:firstLine="472"/>
        <w:rPr>
          <w:rFonts w:cs="Times New Roman"/>
          <w:bCs/>
          <w:highlight w:val="none"/>
        </w:rPr>
      </w:pPr>
      <w:r>
        <w:rPr>
          <w:rFonts w:hint="eastAsia" w:cs="Times New Roman"/>
          <w:bCs/>
          <w:highlight w:val="none"/>
        </w:rPr>
        <w:t>公司以海外主要的电表制造商为开发目标，通过参加大型的行业展会向潜在客户介绍公司、推广产品，并通过具体的项目向潜在客户报送产品方案，提供样品和报价，取得和潜在客户开展业务的机会，并最终取得订单形成销售。通过这种方式，公司开发了Sagemcom、Apator、</w:t>
      </w:r>
      <w:r>
        <w:rPr>
          <w:rFonts w:cs="Times New Roman"/>
          <w:bCs/>
          <w:highlight w:val="none"/>
        </w:rPr>
        <w:t>T</w:t>
      </w:r>
      <w:r>
        <w:rPr>
          <w:rFonts w:hint="eastAsia" w:cs="Times New Roman"/>
          <w:bCs/>
          <w:highlight w:val="none"/>
        </w:rPr>
        <w:t>oshiba、Incomtex、Genus、EDMI等海外客户。</w:t>
      </w:r>
    </w:p>
    <w:p>
      <w:pPr>
        <w:pStyle w:val="25"/>
        <w:adjustRightInd w:val="0"/>
        <w:snapToGrid w:val="0"/>
        <w:ind w:firstLine="472"/>
        <w:rPr>
          <w:rFonts w:cs="Times New Roman"/>
          <w:bCs/>
          <w:highlight w:val="none"/>
        </w:rPr>
      </w:pPr>
      <w:r>
        <w:rPr>
          <w:rFonts w:hint="eastAsia" w:cs="Times New Roman"/>
          <w:bCs/>
          <w:highlight w:val="none"/>
        </w:rPr>
        <w:t>综上，自成立以来，公司海外业务一直坚持通过市场化的方式拓展海外客户，为了更好的把握各个区域的市场需求和服务各个区域的客户，公司设立了三家海外子公司</w:t>
      </w:r>
      <w:r>
        <w:rPr>
          <w:rFonts w:hint="eastAsia" w:cs="Times New Roman"/>
          <w:bCs/>
          <w:highlight w:val="none"/>
          <w:lang w:eastAsia="zh-CN"/>
        </w:rPr>
        <w:t>，</w:t>
      </w:r>
      <w:r>
        <w:rPr>
          <w:rFonts w:hint="eastAsia" w:cs="Times New Roman"/>
          <w:bCs/>
          <w:highlight w:val="none"/>
          <w:lang w:val="en-US" w:eastAsia="zh-CN"/>
        </w:rPr>
        <w:t>形成了以国内销售中心与海外子公司相结合的海外销售布局</w:t>
      </w:r>
      <w:r>
        <w:rPr>
          <w:rFonts w:hint="eastAsia" w:cs="Times New Roman"/>
          <w:bCs/>
          <w:highlight w:val="none"/>
        </w:rPr>
        <w:t>。通过多年的海外业务开展，公司已</w:t>
      </w:r>
      <w:r>
        <w:rPr>
          <w:rFonts w:hint="eastAsia" w:cs="Times New Roman"/>
          <w:bCs/>
          <w:highlight w:val="none"/>
          <w:lang w:val="en-US" w:eastAsia="zh-CN"/>
        </w:rPr>
        <w:t>根据自己产品的特性和海外布局，形成了</w:t>
      </w:r>
      <w:r>
        <w:rPr>
          <w:rFonts w:hint="eastAsia" w:cs="Times New Roman"/>
          <w:bCs/>
          <w:highlight w:val="none"/>
        </w:rPr>
        <w:t>具有自身</w:t>
      </w:r>
      <w:r>
        <w:rPr>
          <w:rFonts w:hint="eastAsia" w:cs="Times New Roman"/>
          <w:bCs/>
          <w:highlight w:val="none"/>
          <w:lang w:val="en-US" w:eastAsia="zh-CN"/>
        </w:rPr>
        <w:t>特点</w:t>
      </w:r>
      <w:r>
        <w:rPr>
          <w:rFonts w:hint="eastAsia" w:cs="Times New Roman"/>
          <w:bCs/>
          <w:highlight w:val="none"/>
        </w:rPr>
        <w:t>的海外业务开拓方式及客户开发模式。</w:t>
      </w:r>
    </w:p>
    <w:p>
      <w:pPr>
        <w:pStyle w:val="25"/>
        <w:adjustRightInd w:val="0"/>
        <w:snapToGrid w:val="0"/>
        <w:ind w:firstLine="472"/>
        <w:rPr>
          <w:rFonts w:ascii="楷体" w:hAnsi="楷体" w:eastAsia="楷体" w:cs="Times New Roman"/>
          <w:b/>
          <w:highlight w:val="none"/>
        </w:rPr>
      </w:pPr>
      <w:r>
        <w:rPr>
          <w:rFonts w:hint="eastAsia"/>
          <w:bCs/>
          <w:szCs w:val="22"/>
          <w:highlight w:val="none"/>
        </w:rPr>
        <w:t>周硕退出转让北美三友、德国三友股权并注销美国三友后即退休，没有再担任其他职务，亦没有除银行理财产品投资外的其他直接或间接对外投资。</w:t>
      </w:r>
      <w:r>
        <w:rPr>
          <w:rFonts w:hint="eastAsia" w:ascii="楷体" w:hAnsi="楷体" w:eastAsia="楷体" w:cs="Times New Roman"/>
          <w:b/>
          <w:highlight w:val="none"/>
        </w:rPr>
        <w:t>在周硕退出北美三友股份并注销美国三友后，发行人独立开展在美业务，不存在仍然依托周硕开展的情形，不存在周硕利用其他公司为发行人分担费用、调节收入的情形。</w:t>
      </w:r>
    </w:p>
    <w:p>
      <w:pPr>
        <w:pStyle w:val="25"/>
        <w:adjustRightInd w:val="0"/>
        <w:snapToGrid w:val="0"/>
        <w:ind w:firstLine="472"/>
        <w:rPr>
          <w:rFonts w:cs="Times New Roman"/>
          <w:bCs/>
          <w:highlight w:val="none"/>
        </w:rPr>
      </w:pPr>
      <w:r>
        <w:rPr>
          <w:rFonts w:hint="eastAsia" w:cs="Times New Roman"/>
          <w:bCs/>
          <w:highlight w:val="none"/>
        </w:rPr>
        <w:t>以上楷体加粗部分已在招股说明书</w:t>
      </w:r>
      <w:r>
        <w:rPr>
          <w:rFonts w:hint="eastAsia" w:ascii="宋体" w:hAnsi="宋体" w:cs="Times New Roman"/>
          <w:bCs/>
          <w:highlight w:val="none"/>
        </w:rPr>
        <w:t>“</w:t>
      </w:r>
      <w:r>
        <w:rPr>
          <w:rFonts w:hint="eastAsia" w:cs="Times New Roman"/>
          <w:bCs/>
          <w:highlight w:val="none"/>
        </w:rPr>
        <w:t>第七节 公司治理与独立性</w:t>
      </w:r>
      <w:r>
        <w:rPr>
          <w:rFonts w:hint="eastAsia" w:ascii="宋体" w:hAnsi="宋体" w:cs="Times New Roman"/>
          <w:bCs/>
          <w:highlight w:val="none"/>
        </w:rPr>
        <w:t>”</w:t>
      </w:r>
      <w:r>
        <w:rPr>
          <w:rFonts w:hint="eastAsia" w:cs="Times New Roman"/>
          <w:bCs/>
          <w:highlight w:val="none"/>
        </w:rPr>
        <w:t>之</w:t>
      </w:r>
      <w:r>
        <w:rPr>
          <w:rFonts w:hint="eastAsia" w:ascii="宋体" w:hAnsi="宋体" w:cs="Times New Roman"/>
          <w:bCs/>
          <w:highlight w:val="none"/>
        </w:rPr>
        <w:t>“</w:t>
      </w:r>
      <w:r>
        <w:rPr>
          <w:rFonts w:hint="eastAsia" w:cs="Times New Roman"/>
          <w:bCs/>
          <w:highlight w:val="none"/>
        </w:rPr>
        <w:t>九、关联方及关联关系</w:t>
      </w:r>
      <w:r>
        <w:rPr>
          <w:rFonts w:hint="eastAsia" w:ascii="宋体" w:hAnsi="宋体" w:cs="Times New Roman"/>
          <w:bCs/>
          <w:highlight w:val="none"/>
        </w:rPr>
        <w:t>”</w:t>
      </w:r>
      <w:r>
        <w:rPr>
          <w:rFonts w:hint="eastAsia" w:cs="Times New Roman"/>
          <w:bCs/>
          <w:highlight w:val="none"/>
        </w:rPr>
        <w:t>之</w:t>
      </w:r>
      <w:r>
        <w:rPr>
          <w:rFonts w:hint="eastAsia" w:ascii="宋体" w:hAnsi="宋体" w:cs="Times New Roman"/>
          <w:bCs/>
          <w:highlight w:val="none"/>
        </w:rPr>
        <w:t>“</w:t>
      </w:r>
      <w:r>
        <w:rPr>
          <w:rFonts w:hint="eastAsia" w:cs="Times New Roman"/>
          <w:bCs/>
          <w:highlight w:val="none"/>
        </w:rPr>
        <w:t>（八）其他关联方</w:t>
      </w:r>
      <w:r>
        <w:rPr>
          <w:rFonts w:hint="eastAsia" w:ascii="宋体" w:hAnsi="宋体" w:cs="Times New Roman"/>
          <w:bCs/>
          <w:highlight w:val="none"/>
        </w:rPr>
        <w:t>”</w:t>
      </w:r>
      <w:r>
        <w:rPr>
          <w:rFonts w:hint="eastAsia" w:cs="Times New Roman"/>
          <w:bCs/>
          <w:highlight w:val="none"/>
        </w:rPr>
        <w:t>中补充披露。</w:t>
      </w:r>
    </w:p>
    <w:p>
      <w:pPr>
        <w:topLinePunct/>
        <w:adjustRightInd w:val="0"/>
        <w:snapToGrid w:val="0"/>
        <w:spacing w:after="289" w:afterLines="50"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（三）简要说明周硕转让北美三友、德国三友股权所得资金的使用情况，是否与发行人实际控制人存在资金往来，是否存在其他形式的安排。</w:t>
      </w:r>
    </w:p>
    <w:p>
      <w:pPr>
        <w:pStyle w:val="25"/>
        <w:adjustRightInd w:val="0"/>
        <w:snapToGrid w:val="0"/>
        <w:ind w:firstLine="472"/>
        <w:rPr>
          <w:rFonts w:cs="Times New Roman"/>
          <w:bCs/>
          <w:highlight w:val="none"/>
        </w:rPr>
      </w:pPr>
      <w:r>
        <w:rPr>
          <w:rFonts w:hint="eastAsia" w:cs="Times New Roman"/>
          <w:bCs/>
          <w:highlight w:val="none"/>
        </w:rPr>
        <w:t>2018年3月，周硕持有的北美三友全部股权以288.00万加拿大元的价格转让给了公司，持有的德国三友全部股权以1.00欧元的价格转让给了公司，为此公司向周硕支付了对价合计</w:t>
      </w:r>
      <w:r>
        <w:rPr>
          <w:rFonts w:cs="Times New Roman"/>
          <w:bCs/>
          <w:highlight w:val="none"/>
        </w:rPr>
        <w:t>177.20</w:t>
      </w:r>
      <w:r>
        <w:rPr>
          <w:rFonts w:hint="eastAsia" w:cs="Times New Roman"/>
          <w:bCs/>
          <w:highlight w:val="none"/>
        </w:rPr>
        <w:t>万美元、5</w:t>
      </w:r>
      <w:r>
        <w:rPr>
          <w:rFonts w:cs="Times New Roman"/>
          <w:bCs/>
          <w:highlight w:val="none"/>
        </w:rPr>
        <w:t>7.60</w:t>
      </w:r>
      <w:r>
        <w:rPr>
          <w:rFonts w:hint="eastAsia" w:cs="Times New Roman"/>
          <w:bCs/>
          <w:highlight w:val="none"/>
        </w:rPr>
        <w:t>万加拿大元。</w:t>
      </w:r>
    </w:p>
    <w:p>
      <w:pPr>
        <w:pStyle w:val="25"/>
        <w:adjustRightInd w:val="0"/>
        <w:snapToGrid w:val="0"/>
        <w:ind w:firstLine="472"/>
        <w:rPr>
          <w:rFonts w:cs="Times New Roman"/>
          <w:bCs/>
          <w:highlight w:val="none"/>
        </w:rPr>
      </w:pPr>
      <w:r>
        <w:rPr>
          <w:rFonts w:hint="eastAsia" w:cs="Times New Roman"/>
          <w:bCs/>
          <w:highlight w:val="none"/>
        </w:rPr>
        <w:t>周硕上述所得资金主要使用于家庭和个人日常开销、购买银行理财产品等，不涉及与发行人实际控制人存在资金往来，也不存在其他形式的安排。</w:t>
      </w:r>
    </w:p>
    <w:p>
      <w:pPr>
        <w:topLinePunct/>
        <w:adjustRightInd w:val="0"/>
        <w:snapToGrid w:val="0"/>
        <w:spacing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（四）请保荐机构、律师核查并发表意见</w:t>
      </w:r>
    </w:p>
    <w:p>
      <w:pPr>
        <w:adjustRightInd w:val="0"/>
        <w:snapToGrid w:val="0"/>
        <w:spacing w:line="360" w:lineRule="auto"/>
        <w:ind w:firstLine="472" w:firstLineChars="200"/>
        <w:rPr>
          <w:rFonts w:eastAsia="宋体"/>
          <w:b/>
          <w:sz w:val="24"/>
          <w:highlight w:val="none"/>
        </w:rPr>
      </w:pPr>
      <w:r>
        <w:rPr>
          <w:rFonts w:eastAsia="宋体"/>
          <w:b/>
          <w:sz w:val="24"/>
          <w:highlight w:val="none"/>
        </w:rPr>
        <w:t>1、核查程序</w:t>
      </w:r>
    </w:p>
    <w:p>
      <w:pPr>
        <w:pStyle w:val="25"/>
        <w:adjustRightInd w:val="0"/>
        <w:snapToGrid w:val="0"/>
        <w:ind w:firstLine="472"/>
        <w:rPr>
          <w:rFonts w:cs="Times New Roman"/>
          <w:bCs/>
          <w:highlight w:val="none"/>
        </w:rPr>
      </w:pPr>
      <w:r>
        <w:rPr>
          <w:rFonts w:hint="eastAsia" w:cs="Times New Roman"/>
          <w:bCs/>
          <w:highlight w:val="none"/>
        </w:rPr>
        <w:t>对于上述事项保荐机构及发行人律师执行了如下核查程序：</w:t>
      </w:r>
    </w:p>
    <w:p>
      <w:pPr>
        <w:pStyle w:val="25"/>
        <w:adjustRightInd w:val="0"/>
        <w:snapToGrid w:val="0"/>
        <w:ind w:firstLine="472"/>
        <w:rPr>
          <w:rFonts w:cs="Times New Roman"/>
          <w:bCs/>
          <w:highlight w:val="none"/>
        </w:rPr>
      </w:pPr>
      <w:r>
        <w:rPr>
          <w:rFonts w:cs="Times New Roman"/>
          <w:bCs/>
          <w:highlight w:val="none"/>
        </w:rPr>
        <w:t>（1）</w:t>
      </w:r>
      <w:r>
        <w:rPr>
          <w:rFonts w:hint="eastAsia" w:cs="Times New Roman"/>
          <w:bCs/>
          <w:highlight w:val="none"/>
        </w:rPr>
        <w:t>查阅</w:t>
      </w:r>
      <w:r>
        <w:rPr>
          <w:rFonts w:cs="Times New Roman"/>
          <w:bCs/>
          <w:highlight w:val="none"/>
        </w:rPr>
        <w:t>了周硕原出具的简历、相关说明和签署的访谈笔录；</w:t>
      </w:r>
    </w:p>
    <w:p>
      <w:pPr>
        <w:pStyle w:val="25"/>
        <w:adjustRightInd w:val="0"/>
        <w:snapToGrid w:val="0"/>
        <w:ind w:firstLine="472"/>
        <w:rPr>
          <w:rFonts w:cs="Times New Roman"/>
          <w:bCs/>
          <w:highlight w:val="none"/>
        </w:rPr>
      </w:pPr>
      <w:r>
        <w:rPr>
          <w:rFonts w:cs="Times New Roman"/>
          <w:bCs/>
          <w:highlight w:val="none"/>
        </w:rPr>
        <w:t>（2）取得了周硕补充出具的简历，对周硕进行了访谈；</w:t>
      </w:r>
    </w:p>
    <w:p>
      <w:pPr>
        <w:pStyle w:val="25"/>
        <w:adjustRightInd w:val="0"/>
        <w:snapToGrid w:val="0"/>
        <w:ind w:firstLine="472"/>
        <w:rPr>
          <w:rFonts w:cs="Times New Roman"/>
          <w:bCs/>
          <w:highlight w:val="none"/>
        </w:rPr>
      </w:pPr>
      <w:r>
        <w:rPr>
          <w:rFonts w:cs="Times New Roman"/>
          <w:bCs/>
          <w:highlight w:val="none"/>
        </w:rPr>
        <w:t>（3）</w:t>
      </w:r>
      <w:r>
        <w:rPr>
          <w:rFonts w:hint="eastAsia" w:cs="Times New Roman"/>
          <w:bCs/>
          <w:highlight w:val="none"/>
        </w:rPr>
        <w:t>查阅了</w:t>
      </w:r>
      <w:r>
        <w:rPr>
          <w:rFonts w:cs="Times New Roman"/>
          <w:bCs/>
          <w:highlight w:val="none"/>
        </w:rPr>
        <w:t>报告期内发行人及其实际控制人的相关银行流水、交易文件；</w:t>
      </w:r>
    </w:p>
    <w:p>
      <w:pPr>
        <w:pStyle w:val="25"/>
        <w:adjustRightInd w:val="0"/>
        <w:snapToGrid w:val="0"/>
        <w:ind w:firstLine="472"/>
        <w:rPr>
          <w:rFonts w:cs="Times New Roman"/>
          <w:bCs/>
          <w:highlight w:val="none"/>
        </w:rPr>
      </w:pPr>
      <w:r>
        <w:rPr>
          <w:rFonts w:cs="Times New Roman"/>
          <w:bCs/>
          <w:highlight w:val="none"/>
        </w:rPr>
        <w:t>（4）</w:t>
      </w:r>
      <w:r>
        <w:rPr>
          <w:rFonts w:hint="eastAsia" w:cs="Times New Roman"/>
          <w:bCs/>
          <w:highlight w:val="none"/>
        </w:rPr>
        <w:t>查阅了</w:t>
      </w:r>
      <w:r>
        <w:rPr>
          <w:rFonts w:cs="Times New Roman"/>
          <w:bCs/>
          <w:highlight w:val="none"/>
        </w:rPr>
        <w:t>美国三友的注册登记资料、美国三友在美国加州州务卿（https://www.sos.ca.gov/）网站的公开信息检索记录；</w:t>
      </w:r>
    </w:p>
    <w:p>
      <w:pPr>
        <w:pStyle w:val="25"/>
        <w:adjustRightInd w:val="0"/>
        <w:snapToGrid w:val="0"/>
        <w:ind w:firstLine="472"/>
        <w:rPr>
          <w:rFonts w:cs="Times New Roman"/>
          <w:bCs/>
          <w:highlight w:val="none"/>
        </w:rPr>
      </w:pPr>
      <w:r>
        <w:rPr>
          <w:rFonts w:cs="Times New Roman"/>
          <w:bCs/>
          <w:highlight w:val="none"/>
        </w:rPr>
        <w:t>（5）取得了发行人及其实际控制人出具的相关说明。</w:t>
      </w:r>
    </w:p>
    <w:p>
      <w:pPr>
        <w:adjustRightInd w:val="0"/>
        <w:snapToGrid w:val="0"/>
        <w:spacing w:line="360" w:lineRule="auto"/>
        <w:ind w:firstLine="472" w:firstLineChars="200"/>
        <w:rPr>
          <w:rFonts w:eastAsia="宋体"/>
          <w:b/>
          <w:sz w:val="24"/>
          <w:highlight w:val="none"/>
        </w:rPr>
      </w:pPr>
      <w:r>
        <w:rPr>
          <w:rFonts w:eastAsia="宋体"/>
          <w:b/>
          <w:sz w:val="24"/>
          <w:highlight w:val="none"/>
        </w:rPr>
        <w:t>2、核查意见</w:t>
      </w:r>
    </w:p>
    <w:p>
      <w:pPr>
        <w:pStyle w:val="25"/>
        <w:adjustRightInd w:val="0"/>
        <w:snapToGrid w:val="0"/>
        <w:ind w:firstLine="472"/>
        <w:rPr>
          <w:rFonts w:cs="Times New Roman"/>
          <w:bCs/>
          <w:highlight w:val="none"/>
        </w:rPr>
      </w:pPr>
      <w:r>
        <w:rPr>
          <w:rFonts w:cs="Times New Roman"/>
          <w:bCs/>
          <w:highlight w:val="none"/>
        </w:rPr>
        <w:t>经核查</w:t>
      </w:r>
      <w:r>
        <w:rPr>
          <w:rFonts w:hint="eastAsia" w:cs="Times New Roman"/>
          <w:bCs/>
          <w:highlight w:val="none"/>
        </w:rPr>
        <w:t>，</w:t>
      </w:r>
      <w:r>
        <w:rPr>
          <w:rFonts w:cs="Times New Roman"/>
          <w:bCs/>
          <w:highlight w:val="none"/>
        </w:rPr>
        <w:t>保荐机构及发行人律师认为：</w:t>
      </w:r>
    </w:p>
    <w:p>
      <w:pPr>
        <w:pStyle w:val="25"/>
        <w:adjustRightInd w:val="0"/>
        <w:snapToGrid w:val="0"/>
        <w:ind w:firstLine="472"/>
        <w:rPr>
          <w:rFonts w:cs="Times New Roman"/>
          <w:bCs/>
          <w:highlight w:val="none"/>
        </w:rPr>
      </w:pPr>
      <w:r>
        <w:rPr>
          <w:rFonts w:cs="Times New Roman"/>
          <w:bCs/>
          <w:highlight w:val="none"/>
        </w:rPr>
        <w:t>（1）周硕未持股或控制与发行人从事相同或相近业务、或存在资金业务往来的公司。</w:t>
      </w:r>
    </w:p>
    <w:p>
      <w:pPr>
        <w:pStyle w:val="25"/>
        <w:adjustRightInd w:val="0"/>
        <w:snapToGrid w:val="0"/>
        <w:ind w:firstLine="472"/>
        <w:rPr>
          <w:rFonts w:cs="Times New Roman"/>
          <w:bCs/>
          <w:highlight w:val="none"/>
        </w:rPr>
      </w:pPr>
      <w:r>
        <w:rPr>
          <w:rFonts w:cs="Times New Roman"/>
          <w:bCs/>
          <w:highlight w:val="none"/>
        </w:rPr>
        <w:t>（2）周硕退出北美三友股份并注销美国三友后，发行人独立开展在美业务，不存在仍然依托周硕开展的情形，不存在周硕利用其他公司为发行人分担费用、调节收入的情形。</w:t>
      </w:r>
    </w:p>
    <w:p>
      <w:pPr>
        <w:pStyle w:val="25"/>
        <w:adjustRightInd w:val="0"/>
        <w:snapToGrid w:val="0"/>
        <w:ind w:firstLine="472"/>
        <w:rPr>
          <w:rFonts w:cs="Times New Roman"/>
          <w:bCs/>
          <w:highlight w:val="none"/>
        </w:rPr>
      </w:pPr>
      <w:r>
        <w:rPr>
          <w:rFonts w:cs="Times New Roman"/>
          <w:bCs/>
          <w:highlight w:val="none"/>
        </w:rPr>
        <w:t>（3）周硕转让北美三友、德国三友股权所得资金的使用不涉及与发行人实际控制人存在资金往来，不存在其他形式的安排。</w:t>
      </w:r>
    </w:p>
    <w:p>
      <w:pPr>
        <w:topLinePunct/>
        <w:adjustRightInd w:val="0"/>
        <w:snapToGrid w:val="0"/>
        <w:spacing w:before="289" w:beforeLines="50" w:after="289" w:afterLines="50" w:line="360" w:lineRule="auto"/>
        <w:ind w:firstLine="472" w:firstLineChars="200"/>
        <w:outlineLvl w:val="0"/>
        <w:rPr>
          <w:rFonts w:ascii="黑体" w:hAnsi="黑体" w:eastAsia="黑体"/>
          <w:b/>
          <w:bCs/>
          <w:sz w:val="24"/>
          <w:highlight w:val="none"/>
        </w:rPr>
      </w:pPr>
      <w:bookmarkStart w:id="3" w:name="_Toc51983464"/>
      <w:r>
        <w:rPr>
          <w:rFonts w:hint="eastAsia" w:ascii="黑体" w:hAnsi="黑体" w:eastAsia="黑体"/>
          <w:b/>
          <w:bCs/>
          <w:sz w:val="24"/>
          <w:highlight w:val="none"/>
        </w:rPr>
        <w:t>二、关于客户情况</w:t>
      </w:r>
      <w:bookmarkEnd w:id="3"/>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招股书披露了报告期内前五大客户，以及不同销售模式下的前十大客户情况。其中，广东瑞德智能科技股份有限公司、深圳市锐钜科技有限公司、武汉盛帆电子股份有限公司规模较小。发行人的海外客户相对分散，同时发行人的海外销售毛利率较高。</w:t>
      </w:r>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请发行人：（1）说明Diehl AKO Stiftung &amp; Co. KG、Sagemcom Energy&amp;Telecom SAS等报告期内海外前五大直销客户的成立时间、主营业务和产品及经营规模情况；说明报告期内，海外前五大贸易商的主要股东情况和销售区域，是否由发行人关联方或关系密切者设立，如是，说明对相关客户的销售金额和数量情况，相关交易是否公允；（2）说明广东瑞德智能科技股份有限公司、深圳市锐钜科技有限公司、武汉盛帆电子股份有限公司三家公司的股权结构、主营业务、业务规模情况，其业务规模是否与发行人的采购数量向匹配。请保荐机构核查并发表意见。</w:t>
      </w:r>
    </w:p>
    <w:p>
      <w:pPr>
        <w:snapToGrid w:val="0"/>
        <w:spacing w:before="289" w:beforeLines="50" w:after="289" w:afterLines="50"/>
        <w:ind w:firstLine="472" w:firstLineChars="200"/>
        <w:rPr>
          <w:rFonts w:ascii="宋体" w:hAnsi="宋体" w:eastAsia="宋体"/>
          <w:b/>
          <w:bCs/>
          <w:sz w:val="24"/>
          <w:highlight w:val="none"/>
        </w:rPr>
      </w:pPr>
      <w:r>
        <w:rPr>
          <w:rFonts w:ascii="宋体" w:hAnsi="宋体" w:eastAsia="宋体"/>
          <w:b/>
          <w:bCs/>
          <w:sz w:val="24"/>
          <w:highlight w:val="none"/>
        </w:rPr>
        <w:t>回复：</w:t>
      </w:r>
    </w:p>
    <w:p>
      <w:pPr>
        <w:topLinePunct/>
        <w:adjustRightInd w:val="0"/>
        <w:snapToGrid w:val="0"/>
        <w:spacing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（一）说明Diehl AKO Stiftung &amp; Co. KG、Sagemcom Energy&amp;Telecom SAS等报告期内海外前五大直销客户的成立时间、主营业务和产品及经营规模情况；说明报告期内，海外前五大贸易商的主要股东情况和销售区域，是否由发行人关联方或关系密切者设立，如是，说明对相关客户的销售金额和数量情况，相关交易是否公允；</w:t>
      </w:r>
    </w:p>
    <w:p>
      <w:pPr>
        <w:topLinePunct/>
        <w:adjustRightInd w:val="0"/>
        <w:snapToGrid w:val="0"/>
        <w:spacing w:line="360" w:lineRule="auto"/>
        <w:ind w:firstLine="472" w:firstLineChars="200"/>
        <w:rPr>
          <w:rFonts w:eastAsia="宋体"/>
          <w:b/>
          <w:bCs/>
          <w:sz w:val="24"/>
          <w:highlight w:val="none"/>
        </w:rPr>
      </w:pPr>
      <w:r>
        <w:rPr>
          <w:rFonts w:hint="eastAsia" w:eastAsia="宋体"/>
          <w:b/>
          <w:bCs/>
          <w:sz w:val="24"/>
          <w:highlight w:val="none"/>
        </w:rPr>
        <w:t>1、说明Diehl AKO Stiftung &amp; Co. KG、Sagemcom Energy&amp;Telecom SAS等报告期内海外前五大直销客户的成立时间、主营业务和产品及经营规模情况；</w:t>
      </w:r>
    </w:p>
    <w:p>
      <w:pPr>
        <w:pStyle w:val="25"/>
        <w:adjustRightInd w:val="0"/>
        <w:snapToGrid w:val="0"/>
        <w:ind w:firstLine="472"/>
        <w:rPr>
          <w:rFonts w:cs="Times New Roman"/>
          <w:bCs/>
          <w:highlight w:val="none"/>
        </w:rPr>
      </w:pPr>
      <w:r>
        <w:rPr>
          <w:rFonts w:hint="eastAsia" w:cs="Times New Roman"/>
          <w:bCs/>
          <w:highlight w:val="none"/>
        </w:rPr>
        <w:t>报告期各期，公司境外前五大直销客户销售收入占主营业务收入比分别为8.00%、6.78%、6.90%和5.34%。公司海外销售前五大直销客户的成立时间、主营业务和产品及经营规模情况如下：</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7" w:type="dxa"/>
          <w:bottom w:w="0" w:type="dxa"/>
          <w:right w:w="17" w:type="dxa"/>
        </w:tblCellMar>
      </w:tblPr>
      <w:tblGrid>
        <w:gridCol w:w="525"/>
        <w:gridCol w:w="1619"/>
        <w:gridCol w:w="901"/>
        <w:gridCol w:w="2501"/>
        <w:gridCol w:w="3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trPr>
        <w:tc>
          <w:tcPr>
            <w:tcW w:w="525" w:type="dxa"/>
            <w:vAlign w:val="center"/>
          </w:tcPr>
          <w:p>
            <w:pPr>
              <w:topLinePunct/>
              <w:adjustRightInd w:val="0"/>
              <w:snapToGrid w:val="0"/>
              <w:spacing w:line="240" w:lineRule="atLeast"/>
              <w:jc w:val="center"/>
              <w:rPr>
                <w:rFonts w:eastAsiaTheme="minorEastAsia"/>
                <w:b/>
                <w:bCs/>
                <w:sz w:val="21"/>
                <w:szCs w:val="21"/>
                <w:highlight w:val="none"/>
              </w:rPr>
            </w:pPr>
            <w:r>
              <w:rPr>
                <w:rFonts w:eastAsiaTheme="minorEastAsia"/>
                <w:b/>
                <w:bCs/>
                <w:sz w:val="21"/>
                <w:szCs w:val="21"/>
                <w:highlight w:val="none"/>
              </w:rPr>
              <w:t>序号</w:t>
            </w:r>
          </w:p>
        </w:tc>
        <w:tc>
          <w:tcPr>
            <w:tcW w:w="1619" w:type="dxa"/>
            <w:vAlign w:val="center"/>
          </w:tcPr>
          <w:p>
            <w:pPr>
              <w:topLinePunct/>
              <w:adjustRightInd w:val="0"/>
              <w:snapToGrid w:val="0"/>
              <w:spacing w:line="240" w:lineRule="atLeast"/>
              <w:jc w:val="center"/>
              <w:rPr>
                <w:rFonts w:eastAsiaTheme="minorEastAsia"/>
                <w:b/>
                <w:bCs/>
                <w:sz w:val="21"/>
                <w:szCs w:val="21"/>
                <w:highlight w:val="none"/>
              </w:rPr>
            </w:pPr>
            <w:r>
              <w:rPr>
                <w:rFonts w:eastAsiaTheme="minorEastAsia"/>
                <w:b/>
                <w:bCs/>
                <w:sz w:val="21"/>
                <w:szCs w:val="21"/>
                <w:highlight w:val="none"/>
              </w:rPr>
              <w:t>客户名称</w:t>
            </w:r>
          </w:p>
        </w:tc>
        <w:tc>
          <w:tcPr>
            <w:tcW w:w="901" w:type="dxa"/>
            <w:vAlign w:val="center"/>
          </w:tcPr>
          <w:p>
            <w:pPr>
              <w:topLinePunct/>
              <w:adjustRightInd w:val="0"/>
              <w:snapToGrid w:val="0"/>
              <w:spacing w:line="240" w:lineRule="atLeast"/>
              <w:jc w:val="center"/>
              <w:rPr>
                <w:rFonts w:eastAsiaTheme="minorEastAsia"/>
                <w:b/>
                <w:bCs/>
                <w:sz w:val="21"/>
                <w:szCs w:val="21"/>
                <w:highlight w:val="none"/>
              </w:rPr>
            </w:pPr>
            <w:r>
              <w:rPr>
                <w:rFonts w:eastAsiaTheme="minorEastAsia"/>
                <w:b/>
                <w:bCs/>
                <w:sz w:val="21"/>
                <w:szCs w:val="21"/>
                <w:highlight w:val="none"/>
              </w:rPr>
              <w:t>成立时间</w:t>
            </w:r>
          </w:p>
        </w:tc>
        <w:tc>
          <w:tcPr>
            <w:tcW w:w="2501" w:type="dxa"/>
            <w:vAlign w:val="center"/>
          </w:tcPr>
          <w:p>
            <w:pPr>
              <w:topLinePunct/>
              <w:adjustRightInd w:val="0"/>
              <w:snapToGrid w:val="0"/>
              <w:spacing w:line="240" w:lineRule="atLeast"/>
              <w:jc w:val="center"/>
              <w:rPr>
                <w:rFonts w:eastAsiaTheme="minorEastAsia"/>
                <w:b/>
                <w:bCs/>
                <w:sz w:val="21"/>
                <w:szCs w:val="21"/>
                <w:highlight w:val="none"/>
              </w:rPr>
            </w:pPr>
            <w:r>
              <w:rPr>
                <w:rFonts w:eastAsiaTheme="minorEastAsia"/>
                <w:b/>
                <w:bCs/>
                <w:sz w:val="21"/>
                <w:szCs w:val="21"/>
                <w:highlight w:val="none"/>
              </w:rPr>
              <w:t>主营业务和产品</w:t>
            </w:r>
          </w:p>
        </w:tc>
        <w:tc>
          <w:tcPr>
            <w:tcW w:w="3332" w:type="dxa"/>
            <w:vAlign w:val="center"/>
          </w:tcPr>
          <w:p>
            <w:pPr>
              <w:topLinePunct/>
              <w:adjustRightInd w:val="0"/>
              <w:snapToGrid w:val="0"/>
              <w:spacing w:line="240" w:lineRule="atLeast"/>
              <w:jc w:val="center"/>
              <w:rPr>
                <w:rFonts w:eastAsiaTheme="minorEastAsia"/>
                <w:b/>
                <w:bCs/>
                <w:sz w:val="21"/>
                <w:szCs w:val="21"/>
                <w:highlight w:val="none"/>
              </w:rPr>
            </w:pPr>
            <w:r>
              <w:rPr>
                <w:rFonts w:eastAsiaTheme="minorEastAsia"/>
                <w:b/>
                <w:bCs/>
                <w:sz w:val="21"/>
                <w:szCs w:val="21"/>
                <w:highlight w:val="none"/>
              </w:rPr>
              <w:t>经营规模情况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1</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Sagemcom Energy &amp; Telecom SAS</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1924年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hint="eastAsia" w:eastAsiaTheme="minorEastAsia"/>
                <w:color w:val="000000"/>
                <w:sz w:val="21"/>
                <w:szCs w:val="21"/>
                <w:highlight w:val="none"/>
              </w:rPr>
              <w:t>公司主营业务为</w:t>
            </w:r>
            <w:r>
              <w:rPr>
                <w:rFonts w:eastAsiaTheme="minorEastAsia"/>
                <w:color w:val="000000"/>
                <w:sz w:val="21"/>
                <w:szCs w:val="21"/>
                <w:highlight w:val="none"/>
              </w:rPr>
              <w:t>通信终端市场</w:t>
            </w:r>
            <w:r>
              <w:rPr>
                <w:rFonts w:hint="eastAsia" w:eastAsiaTheme="minorEastAsia"/>
                <w:color w:val="000000"/>
                <w:sz w:val="21"/>
                <w:szCs w:val="21"/>
                <w:highlight w:val="none"/>
              </w:rPr>
              <w:t>提供</w:t>
            </w:r>
            <w:r>
              <w:rPr>
                <w:rFonts w:eastAsiaTheme="minorEastAsia"/>
                <w:color w:val="000000"/>
                <w:sz w:val="21"/>
                <w:szCs w:val="21"/>
                <w:highlight w:val="none"/>
              </w:rPr>
              <w:t>宽带解决方案、音频视频解决方案和智能电网端到端解决方案</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2019年销售收入21亿欧元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2</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Toshiba International Trading Shanghai Co., Ltd.</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2012年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日本东芝设立于中国的贸易终端，主要从事机器机械设备及其零件，电气设备及其零件等进、出口贸易</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2017年经营规模4.63亿元；</w:t>
            </w:r>
            <w:r>
              <w:rPr>
                <w:rFonts w:eastAsiaTheme="minorEastAsia"/>
                <w:color w:val="000000"/>
                <w:sz w:val="21"/>
                <w:szCs w:val="21"/>
                <w:highlight w:val="none"/>
              </w:rPr>
              <w:br w:type="textWrapping"/>
            </w:r>
            <w:r>
              <w:rPr>
                <w:rFonts w:eastAsiaTheme="minorEastAsia"/>
                <w:color w:val="000000"/>
                <w:sz w:val="21"/>
                <w:szCs w:val="21"/>
                <w:highlight w:val="none"/>
              </w:rPr>
              <w:t>2018年经营规模2.89亿元；</w:t>
            </w:r>
            <w:r>
              <w:rPr>
                <w:rFonts w:eastAsiaTheme="minorEastAsia"/>
                <w:color w:val="000000"/>
                <w:sz w:val="21"/>
                <w:szCs w:val="21"/>
                <w:highlight w:val="none"/>
              </w:rPr>
              <w:br w:type="textWrapping"/>
            </w:r>
            <w:r>
              <w:rPr>
                <w:rFonts w:eastAsiaTheme="minorEastAsia"/>
                <w:color w:val="000000"/>
                <w:sz w:val="21"/>
                <w:szCs w:val="21"/>
                <w:highlight w:val="none"/>
              </w:rPr>
              <w:t>2019年经营规模2.04亿元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3</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PCI Private Limited</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1988年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印刷电路板组装，定制用户界面设计和制造</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2016年6月-2017年6月，销售收入1</w:t>
            </w:r>
            <w:r>
              <w:rPr>
                <w:rFonts w:hint="eastAsia" w:eastAsiaTheme="minorEastAsia"/>
                <w:color w:val="000000"/>
                <w:sz w:val="21"/>
                <w:szCs w:val="21"/>
                <w:highlight w:val="none"/>
              </w:rPr>
              <w:t>.</w:t>
            </w:r>
            <w:r>
              <w:rPr>
                <w:rFonts w:eastAsiaTheme="minorEastAsia"/>
                <w:color w:val="000000"/>
                <w:sz w:val="21"/>
                <w:szCs w:val="21"/>
                <w:highlight w:val="none"/>
              </w:rPr>
              <w:t>9</w:t>
            </w:r>
            <w:r>
              <w:rPr>
                <w:rFonts w:hint="eastAsia" w:eastAsiaTheme="minorEastAsia"/>
                <w:color w:val="000000"/>
                <w:sz w:val="21"/>
                <w:szCs w:val="21"/>
                <w:highlight w:val="none"/>
              </w:rPr>
              <w:t>8亿</w:t>
            </w:r>
            <w:r>
              <w:rPr>
                <w:rFonts w:eastAsiaTheme="minorEastAsia"/>
                <w:color w:val="000000"/>
                <w:sz w:val="21"/>
                <w:szCs w:val="21"/>
                <w:highlight w:val="none"/>
              </w:rPr>
              <w:t>美元；</w:t>
            </w:r>
            <w:r>
              <w:rPr>
                <w:rFonts w:eastAsiaTheme="minorEastAsia"/>
                <w:color w:val="000000"/>
                <w:sz w:val="21"/>
                <w:szCs w:val="21"/>
                <w:highlight w:val="none"/>
              </w:rPr>
              <w:br w:type="textWrapping"/>
            </w:r>
            <w:r>
              <w:rPr>
                <w:rFonts w:eastAsiaTheme="minorEastAsia"/>
                <w:color w:val="000000"/>
                <w:sz w:val="21"/>
                <w:szCs w:val="21"/>
                <w:highlight w:val="none"/>
              </w:rPr>
              <w:t>2017年6月-2018年6月，销售收入2</w:t>
            </w:r>
            <w:r>
              <w:rPr>
                <w:rFonts w:hint="eastAsia" w:eastAsiaTheme="minorEastAsia"/>
                <w:color w:val="000000"/>
                <w:sz w:val="21"/>
                <w:szCs w:val="21"/>
                <w:highlight w:val="none"/>
              </w:rPr>
              <w:t>.</w:t>
            </w:r>
            <w:r>
              <w:rPr>
                <w:rFonts w:eastAsiaTheme="minorEastAsia"/>
                <w:color w:val="000000"/>
                <w:sz w:val="21"/>
                <w:szCs w:val="21"/>
                <w:highlight w:val="none"/>
              </w:rPr>
              <w:t>8</w:t>
            </w:r>
            <w:r>
              <w:rPr>
                <w:rFonts w:hint="eastAsia" w:eastAsiaTheme="minorEastAsia"/>
                <w:color w:val="000000"/>
                <w:sz w:val="21"/>
                <w:szCs w:val="21"/>
                <w:highlight w:val="none"/>
              </w:rPr>
              <w:t>9亿</w:t>
            </w:r>
            <w:r>
              <w:rPr>
                <w:rFonts w:eastAsiaTheme="minorEastAsia"/>
                <w:color w:val="000000"/>
                <w:sz w:val="21"/>
                <w:szCs w:val="21"/>
                <w:highlight w:val="none"/>
              </w:rPr>
              <w:t>美元；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4</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Sigmatron International Inc.</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1993年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印刷电路板组装和完全电子产品（盒装）等电子制造服务</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2017年销售额为2</w:t>
            </w:r>
            <w:r>
              <w:rPr>
                <w:rFonts w:hint="eastAsia" w:eastAsiaTheme="minorEastAsia"/>
                <w:color w:val="000000"/>
                <w:sz w:val="21"/>
                <w:szCs w:val="21"/>
                <w:highlight w:val="none"/>
              </w:rPr>
              <w:t>.</w:t>
            </w:r>
            <w:r>
              <w:rPr>
                <w:rFonts w:eastAsiaTheme="minorEastAsia"/>
                <w:color w:val="000000"/>
                <w:sz w:val="21"/>
                <w:szCs w:val="21"/>
                <w:highlight w:val="none"/>
              </w:rPr>
              <w:t>53</w:t>
            </w:r>
            <w:r>
              <w:rPr>
                <w:rFonts w:hint="eastAsia" w:eastAsiaTheme="minorEastAsia"/>
                <w:color w:val="000000"/>
                <w:sz w:val="21"/>
                <w:szCs w:val="21"/>
                <w:highlight w:val="none"/>
              </w:rPr>
              <w:t>亿</w:t>
            </w:r>
            <w:r>
              <w:rPr>
                <w:rFonts w:eastAsiaTheme="minorEastAsia"/>
                <w:color w:val="000000"/>
                <w:sz w:val="21"/>
                <w:szCs w:val="21"/>
                <w:highlight w:val="none"/>
              </w:rPr>
              <w:t>美元；</w:t>
            </w:r>
            <w:r>
              <w:rPr>
                <w:rFonts w:eastAsiaTheme="minorEastAsia"/>
                <w:color w:val="000000"/>
                <w:sz w:val="21"/>
                <w:szCs w:val="21"/>
                <w:highlight w:val="none"/>
              </w:rPr>
              <w:br w:type="textWrapping"/>
            </w:r>
            <w:r>
              <w:rPr>
                <w:rFonts w:eastAsiaTheme="minorEastAsia"/>
                <w:color w:val="000000"/>
                <w:sz w:val="21"/>
                <w:szCs w:val="21"/>
                <w:highlight w:val="none"/>
              </w:rPr>
              <w:t>2018年销售额为2</w:t>
            </w:r>
            <w:r>
              <w:rPr>
                <w:rFonts w:hint="eastAsia" w:eastAsiaTheme="minorEastAsia"/>
                <w:color w:val="000000"/>
                <w:sz w:val="21"/>
                <w:szCs w:val="21"/>
                <w:highlight w:val="none"/>
              </w:rPr>
              <w:t>.</w:t>
            </w:r>
            <w:r>
              <w:rPr>
                <w:rFonts w:eastAsiaTheme="minorEastAsia"/>
                <w:color w:val="000000"/>
                <w:sz w:val="21"/>
                <w:szCs w:val="21"/>
                <w:highlight w:val="none"/>
              </w:rPr>
              <w:t>78</w:t>
            </w:r>
            <w:r>
              <w:rPr>
                <w:rFonts w:hint="eastAsia" w:eastAsiaTheme="minorEastAsia"/>
                <w:color w:val="000000"/>
                <w:sz w:val="21"/>
                <w:szCs w:val="21"/>
                <w:highlight w:val="none"/>
              </w:rPr>
              <w:t>亿</w:t>
            </w:r>
            <w:r>
              <w:rPr>
                <w:rFonts w:eastAsiaTheme="minorEastAsia"/>
                <w:color w:val="000000"/>
                <w:sz w:val="21"/>
                <w:szCs w:val="21"/>
                <w:highlight w:val="none"/>
              </w:rPr>
              <w:t>美元；</w:t>
            </w:r>
            <w:r>
              <w:rPr>
                <w:rFonts w:eastAsiaTheme="minorEastAsia"/>
                <w:color w:val="000000"/>
                <w:sz w:val="21"/>
                <w:szCs w:val="21"/>
                <w:highlight w:val="none"/>
              </w:rPr>
              <w:br w:type="textWrapping"/>
            </w:r>
            <w:r>
              <w:rPr>
                <w:rFonts w:eastAsiaTheme="minorEastAsia"/>
                <w:color w:val="000000"/>
                <w:sz w:val="21"/>
                <w:szCs w:val="21"/>
                <w:highlight w:val="none"/>
              </w:rPr>
              <w:t>2019年销售额为2</w:t>
            </w:r>
            <w:r>
              <w:rPr>
                <w:rFonts w:hint="eastAsia" w:eastAsiaTheme="minorEastAsia"/>
                <w:color w:val="000000"/>
                <w:sz w:val="21"/>
                <w:szCs w:val="21"/>
                <w:highlight w:val="none"/>
              </w:rPr>
              <w:t>.</w:t>
            </w:r>
            <w:r>
              <w:rPr>
                <w:rFonts w:eastAsiaTheme="minorEastAsia"/>
                <w:color w:val="000000"/>
                <w:sz w:val="21"/>
                <w:szCs w:val="21"/>
                <w:highlight w:val="none"/>
              </w:rPr>
              <w:t>9</w:t>
            </w:r>
            <w:r>
              <w:rPr>
                <w:rFonts w:hint="eastAsia" w:eastAsiaTheme="minorEastAsia"/>
                <w:color w:val="000000"/>
                <w:sz w:val="21"/>
                <w:szCs w:val="21"/>
                <w:highlight w:val="none"/>
              </w:rPr>
              <w:t>1亿</w:t>
            </w:r>
            <w:r>
              <w:rPr>
                <w:rFonts w:eastAsiaTheme="minorEastAsia"/>
                <w:color w:val="000000"/>
                <w:sz w:val="21"/>
                <w:szCs w:val="21"/>
                <w:highlight w:val="none"/>
              </w:rPr>
              <w:t>美元；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5</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Melecs Electronics Queretaro S.A de C.V.</w:t>
            </w:r>
          </w:p>
        </w:tc>
        <w:tc>
          <w:tcPr>
            <w:tcW w:w="901" w:type="dxa"/>
            <w:shd w:val="clear" w:color="auto" w:fill="auto"/>
            <w:vAlign w:val="center"/>
          </w:tcPr>
          <w:p>
            <w:pPr>
              <w:topLinePunct/>
              <w:adjustRightInd w:val="0"/>
              <w:snapToGrid w:val="0"/>
              <w:spacing w:line="240" w:lineRule="atLeast"/>
              <w:rPr>
                <w:rFonts w:eastAsiaTheme="minorEastAsia"/>
                <w:sz w:val="21"/>
                <w:szCs w:val="21"/>
                <w:highlight w:val="none"/>
              </w:rPr>
            </w:pPr>
            <w:r>
              <w:rPr>
                <w:rFonts w:eastAsiaTheme="minorEastAsia"/>
                <w:sz w:val="21"/>
                <w:szCs w:val="21"/>
                <w:highlight w:val="none"/>
              </w:rPr>
              <w:t>2009</w:t>
            </w:r>
            <w:r>
              <w:rPr>
                <w:rFonts w:hint="eastAsia" w:eastAsiaTheme="minorEastAsia"/>
                <w:sz w:val="21"/>
                <w:szCs w:val="21"/>
                <w:highlight w:val="none"/>
              </w:rPr>
              <w:t>年</w:t>
            </w:r>
          </w:p>
        </w:tc>
        <w:tc>
          <w:tcPr>
            <w:tcW w:w="2501" w:type="dxa"/>
            <w:shd w:val="clear" w:color="auto" w:fill="auto"/>
            <w:vAlign w:val="center"/>
          </w:tcPr>
          <w:p>
            <w:pPr>
              <w:topLinePunct/>
              <w:adjustRightInd w:val="0"/>
              <w:snapToGrid w:val="0"/>
              <w:spacing w:line="240" w:lineRule="atLeast"/>
              <w:rPr>
                <w:rFonts w:eastAsiaTheme="minorEastAsia"/>
                <w:color w:val="000000"/>
                <w:sz w:val="21"/>
                <w:szCs w:val="21"/>
                <w:highlight w:val="none"/>
              </w:rPr>
            </w:pPr>
            <w:r>
              <w:rPr>
                <w:rFonts w:hint="eastAsia" w:eastAsiaTheme="minorEastAsia"/>
                <w:color w:val="000000"/>
                <w:sz w:val="21"/>
                <w:szCs w:val="21"/>
                <w:highlight w:val="none"/>
              </w:rPr>
              <w:t>电子制造服务供应商，公司生产的电子元器件应用于国际高档汽车控制单元、</w:t>
            </w:r>
            <w:r>
              <w:rPr>
                <w:rFonts w:eastAsiaTheme="minorEastAsia"/>
                <w:color w:val="000000"/>
                <w:sz w:val="21"/>
                <w:szCs w:val="21"/>
                <w:highlight w:val="none"/>
              </w:rPr>
              <w:t>LED</w:t>
            </w:r>
            <w:r>
              <w:rPr>
                <w:rFonts w:hint="eastAsia" w:eastAsiaTheme="minorEastAsia"/>
                <w:color w:val="000000"/>
                <w:sz w:val="21"/>
                <w:szCs w:val="21"/>
                <w:highlight w:val="none"/>
              </w:rPr>
              <w:t>应用以及欧洲家电市场，同时为自动扶梯、节能供暖系统提供电子模块和组件等控制系统。</w:t>
            </w:r>
          </w:p>
        </w:tc>
        <w:tc>
          <w:tcPr>
            <w:tcW w:w="3332" w:type="dxa"/>
            <w:shd w:val="clear" w:color="auto" w:fill="auto"/>
            <w:vAlign w:val="center"/>
          </w:tcPr>
          <w:p>
            <w:pPr>
              <w:topLinePunct/>
              <w:adjustRightInd w:val="0"/>
              <w:snapToGrid w:val="0"/>
              <w:spacing w:line="240" w:lineRule="atLeast"/>
              <w:rPr>
                <w:rFonts w:eastAsiaTheme="minorEastAsia"/>
                <w:color w:val="000000"/>
                <w:sz w:val="21"/>
                <w:szCs w:val="21"/>
                <w:highlight w:val="none"/>
              </w:rPr>
            </w:pPr>
            <w:r>
              <w:rPr>
                <w:rFonts w:eastAsiaTheme="minorEastAsia"/>
                <w:color w:val="000000"/>
                <w:sz w:val="21"/>
                <w:szCs w:val="21"/>
                <w:highlight w:val="none"/>
              </w:rPr>
              <w:t>2018</w:t>
            </w:r>
            <w:r>
              <w:rPr>
                <w:rFonts w:hint="eastAsia" w:eastAsiaTheme="minorEastAsia"/>
                <w:color w:val="000000"/>
                <w:sz w:val="21"/>
                <w:szCs w:val="21"/>
                <w:highlight w:val="none"/>
              </w:rPr>
              <w:t>年销售额约为</w:t>
            </w:r>
            <w:r>
              <w:rPr>
                <w:rFonts w:eastAsiaTheme="minorEastAsia"/>
                <w:color w:val="000000"/>
                <w:sz w:val="21"/>
                <w:szCs w:val="21"/>
                <w:highlight w:val="none"/>
              </w:rPr>
              <w:t>2</w:t>
            </w:r>
            <w:r>
              <w:rPr>
                <w:rFonts w:hint="eastAsia" w:eastAsiaTheme="minorEastAsia"/>
                <w:color w:val="000000"/>
                <w:sz w:val="21"/>
                <w:szCs w:val="21"/>
                <w:highlight w:val="none"/>
              </w:rPr>
              <w:t>.</w:t>
            </w:r>
            <w:r>
              <w:rPr>
                <w:rFonts w:eastAsiaTheme="minorEastAsia"/>
                <w:color w:val="000000"/>
                <w:sz w:val="21"/>
                <w:szCs w:val="21"/>
                <w:highlight w:val="none"/>
              </w:rPr>
              <w:t>50</w:t>
            </w:r>
            <w:r>
              <w:rPr>
                <w:rFonts w:hint="eastAsia" w:eastAsiaTheme="minorEastAsia"/>
                <w:color w:val="000000"/>
                <w:sz w:val="21"/>
                <w:szCs w:val="21"/>
                <w:highlight w:val="none"/>
              </w:rPr>
              <w:t>亿欧元；</w:t>
            </w:r>
          </w:p>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2019</w:t>
            </w:r>
            <w:r>
              <w:rPr>
                <w:rFonts w:hint="eastAsia" w:eastAsiaTheme="minorEastAsia"/>
                <w:color w:val="000000"/>
                <w:sz w:val="21"/>
                <w:szCs w:val="21"/>
                <w:highlight w:val="none"/>
              </w:rPr>
              <w:t>年销售额为</w:t>
            </w:r>
            <w:r>
              <w:rPr>
                <w:rFonts w:eastAsiaTheme="minorEastAsia"/>
                <w:color w:val="000000"/>
                <w:sz w:val="21"/>
                <w:szCs w:val="21"/>
                <w:highlight w:val="none"/>
              </w:rPr>
              <w:t>2</w:t>
            </w:r>
            <w:r>
              <w:rPr>
                <w:rFonts w:hint="eastAsia" w:eastAsiaTheme="minorEastAsia"/>
                <w:color w:val="000000"/>
                <w:sz w:val="21"/>
                <w:szCs w:val="21"/>
                <w:highlight w:val="none"/>
              </w:rPr>
              <w:t>.</w:t>
            </w:r>
            <w:r>
              <w:rPr>
                <w:rFonts w:eastAsiaTheme="minorEastAsia"/>
                <w:color w:val="000000"/>
                <w:sz w:val="21"/>
                <w:szCs w:val="21"/>
                <w:highlight w:val="none"/>
              </w:rPr>
              <w:t>8</w:t>
            </w:r>
            <w:r>
              <w:rPr>
                <w:rFonts w:hint="eastAsia" w:eastAsiaTheme="minorEastAsia"/>
                <w:color w:val="000000"/>
                <w:sz w:val="21"/>
                <w:szCs w:val="21"/>
                <w:highlight w:val="none"/>
              </w:rPr>
              <w:t>8亿欧元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6</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Prettl Electronics GmbH</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1953年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电子制造服务供应商，业务涵盖开发、生产客户定制电子产品外，包括开发、生产和销售自有品牌的成套系统和电子模块</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2018年销售规模为4</w:t>
            </w:r>
            <w:r>
              <w:rPr>
                <w:rFonts w:hint="eastAsia" w:eastAsiaTheme="minorEastAsia"/>
                <w:color w:val="000000"/>
                <w:sz w:val="21"/>
                <w:szCs w:val="21"/>
                <w:highlight w:val="none"/>
              </w:rPr>
              <w:t>.</w:t>
            </w:r>
            <w:r>
              <w:rPr>
                <w:rFonts w:eastAsiaTheme="minorEastAsia"/>
                <w:color w:val="000000"/>
                <w:sz w:val="21"/>
                <w:szCs w:val="21"/>
                <w:highlight w:val="none"/>
              </w:rPr>
              <w:t>02</w:t>
            </w:r>
            <w:r>
              <w:rPr>
                <w:rFonts w:hint="eastAsia" w:eastAsiaTheme="minorEastAsia"/>
                <w:color w:val="000000"/>
                <w:sz w:val="21"/>
                <w:szCs w:val="21"/>
                <w:highlight w:val="none"/>
              </w:rPr>
              <w:t>亿</w:t>
            </w:r>
            <w:r>
              <w:rPr>
                <w:rFonts w:eastAsiaTheme="minorEastAsia"/>
                <w:color w:val="000000"/>
                <w:sz w:val="21"/>
                <w:szCs w:val="21"/>
                <w:highlight w:val="none"/>
              </w:rPr>
              <w:t>欧元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7</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Genus Power Infrastructure Ltd</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1992年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计量业务，生产全系列电表，如多功能智能单相、三相电表，网表等；工程建业业务，承担变电站安装、输配电线路铺设等交钥匙工程。</w:t>
            </w:r>
          </w:p>
        </w:tc>
        <w:tc>
          <w:tcPr>
            <w:tcW w:w="3332"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2017.03-2018.03销售规模89,158.72lakhs</w:t>
            </w:r>
            <w:r>
              <w:rPr>
                <w:rStyle w:val="17"/>
                <w:rFonts w:eastAsiaTheme="minorEastAsia"/>
                <w:color w:val="000000"/>
                <w:sz w:val="21"/>
                <w:szCs w:val="21"/>
                <w:highlight w:val="none"/>
              </w:rPr>
              <w:footnoteReference w:id="0"/>
            </w:r>
            <w:r>
              <w:rPr>
                <w:rFonts w:eastAsiaTheme="minorEastAsia"/>
                <w:color w:val="000000"/>
                <w:sz w:val="21"/>
                <w:szCs w:val="21"/>
                <w:highlight w:val="none"/>
              </w:rPr>
              <w:t>；</w:t>
            </w:r>
            <w:r>
              <w:rPr>
                <w:rFonts w:eastAsiaTheme="minorEastAsia"/>
                <w:color w:val="000000"/>
                <w:sz w:val="21"/>
                <w:szCs w:val="21"/>
                <w:highlight w:val="none"/>
              </w:rPr>
              <w:br w:type="textWrapping"/>
            </w:r>
            <w:r>
              <w:rPr>
                <w:rFonts w:eastAsiaTheme="minorEastAsia"/>
                <w:color w:val="000000"/>
                <w:sz w:val="21"/>
                <w:szCs w:val="21"/>
                <w:highlight w:val="none"/>
              </w:rPr>
              <w:t>2018.03-2019.03销售规模106,634.64lakhs；</w:t>
            </w:r>
            <w:r>
              <w:rPr>
                <w:rFonts w:eastAsiaTheme="minorEastAsia"/>
                <w:color w:val="000000"/>
                <w:sz w:val="21"/>
                <w:szCs w:val="21"/>
                <w:highlight w:val="none"/>
              </w:rPr>
              <w:br w:type="textWrapping"/>
            </w:r>
            <w:r>
              <w:rPr>
                <w:rFonts w:eastAsiaTheme="minorEastAsia"/>
                <w:color w:val="000000"/>
                <w:sz w:val="21"/>
                <w:szCs w:val="21"/>
                <w:highlight w:val="none"/>
              </w:rPr>
              <w:t>2019.03-2020.03销售规模107,651.29lakhs；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8</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Diehl AKO Stiftung&amp;Co. KG</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1947年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公司业务涵盖金属、控制、测量、航空、国防等板块，产品包括合金、印刷线路板、导弹、测量技术等</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2017年销售规模37</w:t>
            </w:r>
            <w:r>
              <w:rPr>
                <w:rFonts w:hint="eastAsia" w:eastAsiaTheme="minorEastAsia"/>
                <w:color w:val="000000"/>
                <w:sz w:val="21"/>
                <w:szCs w:val="21"/>
                <w:highlight w:val="none"/>
              </w:rPr>
              <w:t>.</w:t>
            </w:r>
            <w:r>
              <w:rPr>
                <w:rFonts w:eastAsiaTheme="minorEastAsia"/>
                <w:color w:val="000000"/>
                <w:sz w:val="21"/>
                <w:szCs w:val="21"/>
                <w:highlight w:val="none"/>
              </w:rPr>
              <w:t>49</w:t>
            </w:r>
            <w:r>
              <w:rPr>
                <w:rFonts w:hint="eastAsia" w:eastAsiaTheme="minorEastAsia"/>
                <w:color w:val="000000"/>
                <w:sz w:val="21"/>
                <w:szCs w:val="21"/>
                <w:highlight w:val="none"/>
              </w:rPr>
              <w:t>亿</w:t>
            </w:r>
            <w:r>
              <w:rPr>
                <w:rFonts w:eastAsiaTheme="minorEastAsia"/>
                <w:color w:val="000000"/>
                <w:sz w:val="21"/>
                <w:szCs w:val="21"/>
                <w:highlight w:val="none"/>
              </w:rPr>
              <w:t>欧元，其中控制业务5</w:t>
            </w:r>
            <w:r>
              <w:rPr>
                <w:rFonts w:hint="eastAsia" w:eastAsiaTheme="minorEastAsia"/>
                <w:color w:val="000000"/>
                <w:sz w:val="21"/>
                <w:szCs w:val="21"/>
                <w:highlight w:val="none"/>
              </w:rPr>
              <w:t>.</w:t>
            </w:r>
            <w:r>
              <w:rPr>
                <w:rFonts w:eastAsiaTheme="minorEastAsia"/>
                <w:color w:val="000000"/>
                <w:sz w:val="21"/>
                <w:szCs w:val="21"/>
                <w:highlight w:val="none"/>
              </w:rPr>
              <w:t>58</w:t>
            </w:r>
            <w:r>
              <w:rPr>
                <w:rFonts w:hint="eastAsia" w:eastAsiaTheme="minorEastAsia"/>
                <w:color w:val="000000"/>
                <w:sz w:val="21"/>
                <w:szCs w:val="21"/>
                <w:highlight w:val="none"/>
              </w:rPr>
              <w:t>亿</w:t>
            </w:r>
            <w:r>
              <w:rPr>
                <w:rFonts w:eastAsiaTheme="minorEastAsia"/>
                <w:color w:val="000000"/>
                <w:sz w:val="21"/>
                <w:szCs w:val="21"/>
                <w:highlight w:val="none"/>
              </w:rPr>
              <w:t>欧元；</w:t>
            </w:r>
            <w:r>
              <w:rPr>
                <w:rFonts w:eastAsiaTheme="minorEastAsia"/>
                <w:color w:val="000000"/>
                <w:sz w:val="21"/>
                <w:szCs w:val="21"/>
                <w:highlight w:val="none"/>
              </w:rPr>
              <w:br w:type="textWrapping"/>
            </w:r>
            <w:r>
              <w:rPr>
                <w:rFonts w:eastAsiaTheme="minorEastAsia"/>
                <w:color w:val="000000"/>
                <w:sz w:val="21"/>
                <w:szCs w:val="21"/>
                <w:highlight w:val="none"/>
              </w:rPr>
              <w:t>2018年销售规模为36</w:t>
            </w:r>
            <w:r>
              <w:rPr>
                <w:rFonts w:hint="eastAsia" w:eastAsiaTheme="minorEastAsia"/>
                <w:color w:val="000000"/>
                <w:sz w:val="21"/>
                <w:szCs w:val="21"/>
                <w:highlight w:val="none"/>
              </w:rPr>
              <w:t>.</w:t>
            </w:r>
            <w:r>
              <w:rPr>
                <w:rFonts w:eastAsiaTheme="minorEastAsia"/>
                <w:color w:val="000000"/>
                <w:sz w:val="21"/>
                <w:szCs w:val="21"/>
                <w:highlight w:val="none"/>
              </w:rPr>
              <w:t>94</w:t>
            </w:r>
            <w:r>
              <w:rPr>
                <w:rFonts w:hint="eastAsia" w:eastAsiaTheme="minorEastAsia"/>
                <w:color w:val="000000"/>
                <w:sz w:val="21"/>
                <w:szCs w:val="21"/>
                <w:highlight w:val="none"/>
              </w:rPr>
              <w:t>亿</w:t>
            </w:r>
            <w:r>
              <w:rPr>
                <w:rFonts w:eastAsiaTheme="minorEastAsia"/>
                <w:color w:val="000000"/>
                <w:sz w:val="21"/>
                <w:szCs w:val="21"/>
                <w:highlight w:val="none"/>
              </w:rPr>
              <w:t>欧元，其中控制业务5</w:t>
            </w:r>
            <w:r>
              <w:rPr>
                <w:rFonts w:hint="eastAsia" w:eastAsiaTheme="minorEastAsia"/>
                <w:color w:val="000000"/>
                <w:sz w:val="21"/>
                <w:szCs w:val="21"/>
                <w:highlight w:val="none"/>
              </w:rPr>
              <w:t>.</w:t>
            </w:r>
            <w:r>
              <w:rPr>
                <w:rFonts w:eastAsiaTheme="minorEastAsia"/>
                <w:color w:val="000000"/>
                <w:sz w:val="21"/>
                <w:szCs w:val="21"/>
                <w:highlight w:val="none"/>
              </w:rPr>
              <w:t>33</w:t>
            </w:r>
            <w:r>
              <w:rPr>
                <w:rFonts w:hint="eastAsia" w:eastAsiaTheme="minorEastAsia"/>
                <w:color w:val="000000"/>
                <w:sz w:val="21"/>
                <w:szCs w:val="21"/>
                <w:highlight w:val="none"/>
              </w:rPr>
              <w:t>亿</w:t>
            </w:r>
            <w:r>
              <w:rPr>
                <w:rFonts w:eastAsiaTheme="minorEastAsia"/>
                <w:color w:val="000000"/>
                <w:sz w:val="21"/>
                <w:szCs w:val="21"/>
                <w:highlight w:val="none"/>
              </w:rPr>
              <w:t>欧元；</w:t>
            </w:r>
            <w:r>
              <w:rPr>
                <w:rFonts w:eastAsiaTheme="minorEastAsia"/>
                <w:color w:val="000000"/>
                <w:sz w:val="21"/>
                <w:szCs w:val="21"/>
                <w:highlight w:val="none"/>
              </w:rPr>
              <w:br w:type="textWrapping"/>
            </w:r>
            <w:r>
              <w:rPr>
                <w:rFonts w:eastAsiaTheme="minorEastAsia"/>
                <w:color w:val="000000"/>
                <w:sz w:val="21"/>
                <w:szCs w:val="21"/>
                <w:highlight w:val="none"/>
              </w:rPr>
              <w:t>2019年销售规模为36</w:t>
            </w:r>
            <w:r>
              <w:rPr>
                <w:rFonts w:hint="eastAsia" w:eastAsiaTheme="minorEastAsia"/>
                <w:color w:val="000000"/>
                <w:sz w:val="21"/>
                <w:szCs w:val="21"/>
                <w:highlight w:val="none"/>
              </w:rPr>
              <w:t>.</w:t>
            </w:r>
            <w:r>
              <w:rPr>
                <w:rFonts w:eastAsiaTheme="minorEastAsia"/>
                <w:color w:val="000000"/>
                <w:sz w:val="21"/>
                <w:szCs w:val="21"/>
                <w:highlight w:val="none"/>
              </w:rPr>
              <w:t>29</w:t>
            </w:r>
            <w:r>
              <w:rPr>
                <w:rFonts w:hint="eastAsia" w:eastAsiaTheme="minorEastAsia"/>
                <w:color w:val="000000"/>
                <w:sz w:val="21"/>
                <w:szCs w:val="21"/>
                <w:highlight w:val="none"/>
              </w:rPr>
              <w:t>亿</w:t>
            </w:r>
            <w:r>
              <w:rPr>
                <w:rFonts w:eastAsiaTheme="minorEastAsia"/>
                <w:color w:val="000000"/>
                <w:sz w:val="21"/>
                <w:szCs w:val="21"/>
                <w:highlight w:val="none"/>
              </w:rPr>
              <w:t>欧元，其中控制业务4</w:t>
            </w:r>
            <w:r>
              <w:rPr>
                <w:rFonts w:hint="eastAsia" w:eastAsiaTheme="minorEastAsia"/>
                <w:color w:val="000000"/>
                <w:sz w:val="21"/>
                <w:szCs w:val="21"/>
                <w:highlight w:val="none"/>
              </w:rPr>
              <w:t>.</w:t>
            </w:r>
            <w:r>
              <w:rPr>
                <w:rFonts w:eastAsiaTheme="minorEastAsia"/>
                <w:color w:val="000000"/>
                <w:sz w:val="21"/>
                <w:szCs w:val="21"/>
                <w:highlight w:val="none"/>
              </w:rPr>
              <w:t>89</w:t>
            </w:r>
            <w:r>
              <w:rPr>
                <w:rFonts w:hint="eastAsia" w:eastAsiaTheme="minorEastAsia"/>
                <w:color w:val="000000"/>
                <w:sz w:val="21"/>
                <w:szCs w:val="21"/>
                <w:highlight w:val="none"/>
              </w:rPr>
              <w:t>亿</w:t>
            </w:r>
            <w:r>
              <w:rPr>
                <w:rFonts w:eastAsiaTheme="minorEastAsia"/>
                <w:color w:val="000000"/>
                <w:sz w:val="21"/>
                <w:szCs w:val="21"/>
                <w:highlight w:val="none"/>
              </w:rPr>
              <w:t>欧元；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9</w:t>
            </w:r>
          </w:p>
        </w:tc>
        <w:tc>
          <w:tcPr>
            <w:tcW w:w="1619"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EDMI LIMITED</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1978年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sz w:val="21"/>
                <w:szCs w:val="21"/>
                <w:highlight w:val="none"/>
              </w:rPr>
              <w:t>业务涵盖能源解决方案和计量产品供应商，产品包括全套能源计量产品，包括智能电表、通讯设备、配套软件及配件。</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hint="eastAsia" w:eastAsiaTheme="minorEastAsia"/>
                <w:sz w:val="21"/>
                <w:szCs w:val="21"/>
                <w:highlight w:val="none"/>
              </w:rPr>
              <w:t>2018年销售收入约为0.8亿美元。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10</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E.G.O. Elektro-Geräte GmbH &amp; Co. Holding KG</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1931年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为洗碗机、烘干机、热壁炉等设计、生产电子控制组件，以及为专业洗衣店、医疗设备、建筑服务和自动化工业供应复杂部件</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2018年销售规模为6</w:t>
            </w:r>
            <w:r>
              <w:rPr>
                <w:rFonts w:hint="eastAsia" w:eastAsiaTheme="minorEastAsia"/>
                <w:color w:val="000000"/>
                <w:sz w:val="21"/>
                <w:szCs w:val="21"/>
                <w:highlight w:val="none"/>
              </w:rPr>
              <w:t>.</w:t>
            </w:r>
            <w:r>
              <w:rPr>
                <w:rFonts w:eastAsiaTheme="minorEastAsia"/>
                <w:color w:val="000000"/>
                <w:sz w:val="21"/>
                <w:szCs w:val="21"/>
                <w:highlight w:val="none"/>
              </w:rPr>
              <w:t>0</w:t>
            </w:r>
            <w:r>
              <w:rPr>
                <w:rFonts w:hint="eastAsia" w:eastAsiaTheme="minorEastAsia"/>
                <w:color w:val="000000"/>
                <w:sz w:val="21"/>
                <w:szCs w:val="21"/>
                <w:highlight w:val="none"/>
              </w:rPr>
              <w:t>亿</w:t>
            </w:r>
            <w:r>
              <w:rPr>
                <w:rFonts w:eastAsiaTheme="minorEastAsia"/>
                <w:color w:val="000000"/>
                <w:sz w:val="21"/>
                <w:szCs w:val="21"/>
                <w:highlight w:val="none"/>
              </w:rPr>
              <w:t>欧元</w:t>
            </w:r>
            <w:r>
              <w:rPr>
                <w:rFonts w:hint="eastAsia" w:eastAsiaTheme="minorEastAsia"/>
                <w:color w:val="00000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11</w:t>
            </w:r>
          </w:p>
        </w:tc>
        <w:tc>
          <w:tcPr>
            <w:tcW w:w="1619" w:type="dxa"/>
            <w:vAlign w:val="center"/>
          </w:tcPr>
          <w:p>
            <w:pPr>
              <w:topLinePunct/>
              <w:adjustRightInd w:val="0"/>
              <w:snapToGrid w:val="0"/>
              <w:spacing w:line="240" w:lineRule="atLeast"/>
              <w:jc w:val="left"/>
              <w:rPr>
                <w:rFonts w:eastAsiaTheme="minorEastAsia"/>
                <w:b/>
                <w:bCs/>
                <w:sz w:val="21"/>
                <w:szCs w:val="21"/>
                <w:highlight w:val="none"/>
              </w:rPr>
            </w:pPr>
            <w:r>
              <w:rPr>
                <w:rFonts w:eastAsiaTheme="minorEastAsia"/>
                <w:color w:val="000000"/>
                <w:sz w:val="21"/>
                <w:szCs w:val="21"/>
                <w:highlight w:val="none"/>
              </w:rPr>
              <w:t>Robertshaw Controls Company</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1899年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为家电、暖通空调、运载设备设计、生产控制组件和解决方案，产品包括控制组件等。</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2017年至2019年各年销售规模均超过5</w:t>
            </w:r>
            <w:r>
              <w:rPr>
                <w:rFonts w:hint="eastAsia" w:eastAsiaTheme="minorEastAsia"/>
                <w:color w:val="000000"/>
                <w:sz w:val="21"/>
                <w:szCs w:val="21"/>
                <w:highlight w:val="none"/>
              </w:rPr>
              <w:t>亿</w:t>
            </w:r>
            <w:r>
              <w:rPr>
                <w:rFonts w:eastAsiaTheme="minorEastAsia"/>
                <w:color w:val="000000"/>
                <w:sz w:val="21"/>
                <w:szCs w:val="21"/>
                <w:highlight w:val="none"/>
              </w:rPr>
              <w:t>美元</w:t>
            </w:r>
            <w:r>
              <w:rPr>
                <w:rFonts w:hint="eastAsia" w:eastAsiaTheme="minorEastAsia"/>
                <w:color w:val="00000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Theme="minorEastAsia"/>
                <w:sz w:val="21"/>
                <w:szCs w:val="21"/>
                <w:highlight w:val="none"/>
              </w:rPr>
            </w:pPr>
            <w:r>
              <w:rPr>
                <w:rFonts w:eastAsiaTheme="minorEastAsia"/>
                <w:sz w:val="21"/>
                <w:szCs w:val="21"/>
                <w:highlight w:val="none"/>
              </w:rPr>
              <w:t>12</w:t>
            </w:r>
          </w:p>
        </w:tc>
        <w:tc>
          <w:tcPr>
            <w:tcW w:w="1619" w:type="dxa"/>
            <w:vAlign w:val="center"/>
          </w:tcPr>
          <w:p>
            <w:pPr>
              <w:topLinePunct/>
              <w:adjustRightInd w:val="0"/>
              <w:snapToGrid w:val="0"/>
              <w:spacing w:line="240" w:lineRule="atLeast"/>
              <w:jc w:val="left"/>
              <w:rPr>
                <w:rFonts w:eastAsiaTheme="minorEastAsia"/>
                <w:color w:val="000000"/>
                <w:sz w:val="21"/>
                <w:szCs w:val="21"/>
                <w:highlight w:val="none"/>
              </w:rPr>
            </w:pPr>
            <w:r>
              <w:rPr>
                <w:rFonts w:eastAsiaTheme="minorEastAsia"/>
                <w:color w:val="000000"/>
                <w:sz w:val="21"/>
                <w:szCs w:val="21"/>
                <w:highlight w:val="none"/>
              </w:rPr>
              <w:t>Daiichi Electric Co.，Ltd</w:t>
            </w:r>
          </w:p>
        </w:tc>
        <w:tc>
          <w:tcPr>
            <w:tcW w:w="9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1961年</w:t>
            </w:r>
          </w:p>
        </w:tc>
        <w:tc>
          <w:tcPr>
            <w:tcW w:w="2501"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各种继电器、生产设备的设计、生产和销售</w:t>
            </w:r>
          </w:p>
        </w:tc>
        <w:tc>
          <w:tcPr>
            <w:tcW w:w="3332" w:type="dxa"/>
            <w:vAlign w:val="center"/>
          </w:tcPr>
          <w:p>
            <w:pPr>
              <w:topLinePunct/>
              <w:adjustRightInd w:val="0"/>
              <w:snapToGrid w:val="0"/>
              <w:spacing w:line="240" w:lineRule="atLeast"/>
              <w:rPr>
                <w:rFonts w:eastAsiaTheme="minorEastAsia"/>
                <w:b/>
                <w:bCs/>
                <w:sz w:val="21"/>
                <w:szCs w:val="21"/>
                <w:highlight w:val="none"/>
              </w:rPr>
            </w:pPr>
            <w:r>
              <w:rPr>
                <w:rFonts w:eastAsiaTheme="minorEastAsia"/>
                <w:color w:val="000000"/>
                <w:sz w:val="21"/>
                <w:szCs w:val="21"/>
                <w:highlight w:val="none"/>
              </w:rPr>
              <w:t>2017年销售规模23</w:t>
            </w:r>
            <w:r>
              <w:rPr>
                <w:rFonts w:hint="eastAsia" w:eastAsiaTheme="minorEastAsia"/>
                <w:color w:val="000000"/>
                <w:sz w:val="21"/>
                <w:szCs w:val="21"/>
                <w:highlight w:val="none"/>
              </w:rPr>
              <w:t>.</w:t>
            </w:r>
            <w:r>
              <w:rPr>
                <w:rFonts w:eastAsiaTheme="minorEastAsia"/>
                <w:color w:val="000000"/>
                <w:sz w:val="21"/>
                <w:szCs w:val="21"/>
                <w:highlight w:val="none"/>
              </w:rPr>
              <w:t>49</w:t>
            </w:r>
            <w:r>
              <w:rPr>
                <w:rFonts w:hint="eastAsia" w:eastAsiaTheme="minorEastAsia"/>
                <w:color w:val="000000"/>
                <w:sz w:val="21"/>
                <w:szCs w:val="21"/>
                <w:highlight w:val="none"/>
              </w:rPr>
              <w:t>亿</w:t>
            </w:r>
            <w:r>
              <w:rPr>
                <w:rFonts w:eastAsiaTheme="minorEastAsia"/>
                <w:color w:val="000000"/>
                <w:sz w:val="21"/>
                <w:szCs w:val="21"/>
                <w:highlight w:val="none"/>
              </w:rPr>
              <w:t>日元；</w:t>
            </w:r>
            <w:r>
              <w:rPr>
                <w:rFonts w:eastAsiaTheme="minorEastAsia"/>
                <w:color w:val="000000"/>
                <w:sz w:val="21"/>
                <w:szCs w:val="21"/>
                <w:highlight w:val="none"/>
              </w:rPr>
              <w:br w:type="textWrapping"/>
            </w:r>
            <w:r>
              <w:rPr>
                <w:rFonts w:eastAsiaTheme="minorEastAsia"/>
                <w:color w:val="000000"/>
                <w:sz w:val="21"/>
                <w:szCs w:val="21"/>
                <w:highlight w:val="none"/>
              </w:rPr>
              <w:t>2018年销售规模22</w:t>
            </w:r>
            <w:r>
              <w:rPr>
                <w:rFonts w:hint="eastAsia" w:eastAsiaTheme="minorEastAsia"/>
                <w:color w:val="000000"/>
                <w:sz w:val="21"/>
                <w:szCs w:val="21"/>
                <w:highlight w:val="none"/>
              </w:rPr>
              <w:t>.</w:t>
            </w:r>
            <w:r>
              <w:rPr>
                <w:rFonts w:eastAsiaTheme="minorEastAsia"/>
                <w:color w:val="000000"/>
                <w:sz w:val="21"/>
                <w:szCs w:val="21"/>
                <w:highlight w:val="none"/>
              </w:rPr>
              <w:t>55</w:t>
            </w:r>
            <w:r>
              <w:rPr>
                <w:rFonts w:hint="eastAsia" w:eastAsiaTheme="minorEastAsia"/>
                <w:color w:val="000000"/>
                <w:sz w:val="21"/>
                <w:szCs w:val="21"/>
                <w:highlight w:val="none"/>
              </w:rPr>
              <w:t>亿</w:t>
            </w:r>
            <w:r>
              <w:rPr>
                <w:rFonts w:eastAsiaTheme="minorEastAsia"/>
                <w:color w:val="000000"/>
                <w:sz w:val="21"/>
                <w:szCs w:val="21"/>
                <w:highlight w:val="none"/>
              </w:rPr>
              <w:t>日元；</w:t>
            </w:r>
            <w:r>
              <w:rPr>
                <w:rFonts w:eastAsiaTheme="minorEastAsia"/>
                <w:color w:val="000000"/>
                <w:sz w:val="21"/>
                <w:szCs w:val="21"/>
                <w:highlight w:val="none"/>
              </w:rPr>
              <w:br w:type="textWrapping"/>
            </w:r>
            <w:r>
              <w:rPr>
                <w:rFonts w:eastAsiaTheme="minorEastAsia"/>
                <w:color w:val="000000"/>
                <w:sz w:val="21"/>
                <w:szCs w:val="21"/>
                <w:highlight w:val="none"/>
              </w:rPr>
              <w:t>2019年销售规模18</w:t>
            </w:r>
            <w:r>
              <w:rPr>
                <w:rFonts w:hint="eastAsia" w:eastAsiaTheme="minorEastAsia"/>
                <w:color w:val="000000"/>
                <w:sz w:val="21"/>
                <w:szCs w:val="21"/>
                <w:highlight w:val="none"/>
              </w:rPr>
              <w:t>.</w:t>
            </w:r>
            <w:r>
              <w:rPr>
                <w:rFonts w:eastAsiaTheme="minorEastAsia"/>
                <w:color w:val="000000"/>
                <w:sz w:val="21"/>
                <w:szCs w:val="21"/>
                <w:highlight w:val="none"/>
              </w:rPr>
              <w:t>71</w:t>
            </w:r>
            <w:r>
              <w:rPr>
                <w:rFonts w:hint="eastAsia" w:eastAsiaTheme="minorEastAsia"/>
                <w:color w:val="000000"/>
                <w:sz w:val="21"/>
                <w:szCs w:val="21"/>
                <w:highlight w:val="none"/>
              </w:rPr>
              <w:t>亿</w:t>
            </w:r>
            <w:r>
              <w:rPr>
                <w:rFonts w:eastAsiaTheme="minorEastAsia"/>
                <w:color w:val="000000"/>
                <w:sz w:val="21"/>
                <w:szCs w:val="21"/>
                <w:highlight w:val="none"/>
              </w:rPr>
              <w:t>日元</w:t>
            </w:r>
          </w:p>
        </w:tc>
      </w:tr>
    </w:tbl>
    <w:p>
      <w:pPr>
        <w:topLinePunct/>
        <w:adjustRightInd w:val="0"/>
        <w:snapToGrid w:val="0"/>
        <w:spacing w:before="289" w:beforeLines="50" w:after="289" w:afterLines="50" w:line="360" w:lineRule="auto"/>
        <w:ind w:firstLine="472" w:firstLineChars="200"/>
        <w:rPr>
          <w:rFonts w:eastAsia="宋体"/>
          <w:b/>
          <w:bCs/>
          <w:sz w:val="24"/>
          <w:highlight w:val="none"/>
        </w:rPr>
      </w:pPr>
      <w:r>
        <w:rPr>
          <w:rFonts w:hint="eastAsia" w:eastAsia="宋体"/>
          <w:b/>
          <w:bCs/>
          <w:sz w:val="24"/>
          <w:highlight w:val="none"/>
        </w:rPr>
        <w:t>2、说明报告期内，海外前五大贸易商的主要股东情况和销售区域，是否由发行人关联方或关系密切者设立，如是，说明对相关客户的销售金额和数量情况，相关交易是否公允；</w:t>
      </w:r>
    </w:p>
    <w:p>
      <w:pPr>
        <w:pStyle w:val="25"/>
        <w:adjustRightInd w:val="0"/>
        <w:snapToGrid w:val="0"/>
        <w:ind w:firstLine="472"/>
        <w:rPr>
          <w:rFonts w:cs="Times New Roman"/>
          <w:bCs/>
          <w:highlight w:val="none"/>
        </w:rPr>
      </w:pPr>
      <w:r>
        <w:rPr>
          <w:rFonts w:hint="eastAsia" w:cs="Times New Roman"/>
          <w:bCs/>
          <w:highlight w:val="none"/>
        </w:rPr>
        <w:t>报告期各期，公司海外前五大贸易商的销售占主营业务收入比分别为1.46%、1.53%、1.49%和1.33%，占比较低。公司海外前五大贸易商的主要股东情况、销售区域以及关联关系情况如下：</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7" w:type="dxa"/>
          <w:bottom w:w="0" w:type="dxa"/>
          <w:right w:w="17" w:type="dxa"/>
        </w:tblCellMar>
      </w:tblPr>
      <w:tblGrid>
        <w:gridCol w:w="525"/>
        <w:gridCol w:w="2186"/>
        <w:gridCol w:w="3670"/>
        <w:gridCol w:w="1188"/>
        <w:gridCol w:w="1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trPr>
        <w:tc>
          <w:tcPr>
            <w:tcW w:w="525" w:type="dxa"/>
            <w:vAlign w:val="center"/>
          </w:tcPr>
          <w:p>
            <w:pPr>
              <w:topLinePunct/>
              <w:adjustRightInd w:val="0"/>
              <w:snapToGrid w:val="0"/>
              <w:spacing w:line="240" w:lineRule="atLeast"/>
              <w:jc w:val="center"/>
              <w:rPr>
                <w:rFonts w:eastAsia="宋体"/>
                <w:b/>
                <w:bCs/>
                <w:sz w:val="21"/>
                <w:szCs w:val="21"/>
                <w:highlight w:val="none"/>
              </w:rPr>
            </w:pPr>
            <w:r>
              <w:rPr>
                <w:rFonts w:eastAsia="宋体"/>
                <w:b/>
                <w:bCs/>
                <w:sz w:val="21"/>
                <w:szCs w:val="21"/>
                <w:highlight w:val="none"/>
              </w:rPr>
              <w:t>序号</w:t>
            </w:r>
          </w:p>
        </w:tc>
        <w:tc>
          <w:tcPr>
            <w:tcW w:w="2186" w:type="dxa"/>
            <w:vAlign w:val="center"/>
          </w:tcPr>
          <w:p>
            <w:pPr>
              <w:topLinePunct/>
              <w:adjustRightInd w:val="0"/>
              <w:snapToGrid w:val="0"/>
              <w:spacing w:line="240" w:lineRule="atLeast"/>
              <w:jc w:val="center"/>
              <w:rPr>
                <w:rFonts w:eastAsia="宋体"/>
                <w:b/>
                <w:bCs/>
                <w:sz w:val="21"/>
                <w:szCs w:val="21"/>
                <w:highlight w:val="none"/>
              </w:rPr>
            </w:pPr>
            <w:r>
              <w:rPr>
                <w:rFonts w:eastAsia="宋体"/>
                <w:b/>
                <w:bCs/>
                <w:sz w:val="21"/>
                <w:szCs w:val="21"/>
                <w:highlight w:val="none"/>
              </w:rPr>
              <w:t>客户名称</w:t>
            </w:r>
          </w:p>
        </w:tc>
        <w:tc>
          <w:tcPr>
            <w:tcW w:w="3670" w:type="dxa"/>
            <w:vAlign w:val="center"/>
          </w:tcPr>
          <w:p>
            <w:pPr>
              <w:topLinePunct/>
              <w:adjustRightInd w:val="0"/>
              <w:snapToGrid w:val="0"/>
              <w:spacing w:line="240" w:lineRule="atLeast"/>
              <w:jc w:val="center"/>
              <w:rPr>
                <w:rFonts w:eastAsia="宋体"/>
                <w:b/>
                <w:bCs/>
                <w:sz w:val="21"/>
                <w:szCs w:val="21"/>
                <w:highlight w:val="none"/>
              </w:rPr>
            </w:pPr>
            <w:r>
              <w:rPr>
                <w:rFonts w:eastAsia="宋体"/>
                <w:b/>
                <w:bCs/>
                <w:sz w:val="21"/>
                <w:szCs w:val="21"/>
                <w:highlight w:val="none"/>
              </w:rPr>
              <w:t>主要股东情况</w:t>
            </w:r>
          </w:p>
        </w:tc>
        <w:tc>
          <w:tcPr>
            <w:tcW w:w="1188" w:type="dxa"/>
            <w:vAlign w:val="center"/>
          </w:tcPr>
          <w:p>
            <w:pPr>
              <w:topLinePunct/>
              <w:adjustRightInd w:val="0"/>
              <w:snapToGrid w:val="0"/>
              <w:spacing w:line="240" w:lineRule="atLeast"/>
              <w:jc w:val="center"/>
              <w:rPr>
                <w:rFonts w:eastAsia="宋体"/>
                <w:b/>
                <w:bCs/>
                <w:sz w:val="21"/>
                <w:szCs w:val="21"/>
                <w:highlight w:val="none"/>
              </w:rPr>
            </w:pPr>
            <w:r>
              <w:rPr>
                <w:rFonts w:eastAsia="宋体"/>
                <w:b/>
                <w:bCs/>
                <w:sz w:val="21"/>
                <w:szCs w:val="21"/>
                <w:highlight w:val="none"/>
              </w:rPr>
              <w:t>销售区域</w:t>
            </w:r>
          </w:p>
        </w:tc>
        <w:tc>
          <w:tcPr>
            <w:tcW w:w="1309" w:type="dxa"/>
            <w:vAlign w:val="center"/>
          </w:tcPr>
          <w:p>
            <w:pPr>
              <w:topLinePunct/>
              <w:adjustRightInd w:val="0"/>
              <w:snapToGrid w:val="0"/>
              <w:spacing w:line="240" w:lineRule="atLeast"/>
              <w:jc w:val="center"/>
              <w:rPr>
                <w:rFonts w:eastAsia="宋体"/>
                <w:b/>
                <w:bCs/>
                <w:sz w:val="21"/>
                <w:szCs w:val="21"/>
                <w:highlight w:val="none"/>
              </w:rPr>
            </w:pPr>
            <w:r>
              <w:rPr>
                <w:rFonts w:eastAsia="宋体"/>
                <w:b/>
                <w:bCs/>
                <w:sz w:val="21"/>
                <w:szCs w:val="21"/>
                <w:highlight w:val="none"/>
              </w:rPr>
              <w:t>关联关系</w:t>
            </w:r>
            <w:r>
              <w:rPr>
                <w:rFonts w:hint="eastAsia" w:eastAsia="宋体"/>
                <w:b/>
                <w:bCs/>
                <w:sz w:val="21"/>
                <w:szCs w:val="21"/>
                <w:highlight w:val="none"/>
              </w:rPr>
              <w:t>或利益安排</w:t>
            </w:r>
            <w:r>
              <w:rPr>
                <w:rFonts w:eastAsia="宋体"/>
                <w:b/>
                <w:bCs/>
                <w:sz w:val="21"/>
                <w:szCs w:val="21"/>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宋体"/>
                <w:sz w:val="21"/>
                <w:szCs w:val="21"/>
                <w:highlight w:val="none"/>
              </w:rPr>
            </w:pPr>
            <w:r>
              <w:rPr>
                <w:rFonts w:eastAsia="宋体"/>
                <w:sz w:val="21"/>
                <w:szCs w:val="21"/>
                <w:highlight w:val="none"/>
              </w:rPr>
              <w:t>1</w:t>
            </w:r>
          </w:p>
        </w:tc>
        <w:tc>
          <w:tcPr>
            <w:tcW w:w="2186"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通威科技（香港）有限公司</w:t>
            </w:r>
          </w:p>
        </w:tc>
        <w:tc>
          <w:tcPr>
            <w:tcW w:w="3670"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朱学兵100%持股</w:t>
            </w:r>
          </w:p>
        </w:tc>
        <w:tc>
          <w:tcPr>
            <w:tcW w:w="1188"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中国、东南亚</w:t>
            </w:r>
          </w:p>
        </w:tc>
        <w:tc>
          <w:tcPr>
            <w:tcW w:w="1309" w:type="dxa"/>
            <w:vAlign w:val="center"/>
          </w:tcPr>
          <w:p>
            <w:pPr>
              <w:topLinePunct/>
              <w:adjustRightInd w:val="0"/>
              <w:snapToGrid w:val="0"/>
              <w:spacing w:line="240" w:lineRule="atLeast"/>
              <w:jc w:val="center"/>
              <w:rPr>
                <w:rFonts w:eastAsia="宋体"/>
                <w:b/>
                <w:bCs/>
                <w:sz w:val="21"/>
                <w:szCs w:val="21"/>
                <w:highlight w:val="none"/>
              </w:rPr>
            </w:pPr>
            <w:r>
              <w:rPr>
                <w:rFonts w:eastAsia="宋体"/>
                <w:color w:val="000000"/>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宋体"/>
                <w:sz w:val="21"/>
                <w:szCs w:val="21"/>
                <w:highlight w:val="none"/>
              </w:rPr>
            </w:pPr>
            <w:r>
              <w:rPr>
                <w:rFonts w:eastAsia="宋体"/>
                <w:sz w:val="21"/>
                <w:szCs w:val="21"/>
                <w:highlight w:val="none"/>
              </w:rPr>
              <w:t>2</w:t>
            </w:r>
          </w:p>
        </w:tc>
        <w:tc>
          <w:tcPr>
            <w:tcW w:w="2186"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CODICO GmbH</w:t>
            </w:r>
          </w:p>
        </w:tc>
        <w:tc>
          <w:tcPr>
            <w:tcW w:w="3670"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Codico Holding GmbH100%持股，</w:t>
            </w:r>
            <w:r>
              <w:rPr>
                <w:rFonts w:eastAsia="宋体"/>
                <w:color w:val="000000"/>
                <w:sz w:val="21"/>
                <w:szCs w:val="21"/>
                <w:highlight w:val="none"/>
              </w:rPr>
              <w:br w:type="textWrapping"/>
            </w:r>
            <w:r>
              <w:rPr>
                <w:rFonts w:eastAsia="宋体"/>
                <w:color w:val="000000"/>
                <w:sz w:val="21"/>
                <w:szCs w:val="21"/>
                <w:highlight w:val="none"/>
              </w:rPr>
              <w:t>该公司股东为Karin Krumpel和Sven Krumpel</w:t>
            </w:r>
          </w:p>
        </w:tc>
        <w:tc>
          <w:tcPr>
            <w:tcW w:w="1188"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欧盟</w:t>
            </w:r>
          </w:p>
        </w:tc>
        <w:tc>
          <w:tcPr>
            <w:tcW w:w="1309" w:type="dxa"/>
            <w:vAlign w:val="center"/>
          </w:tcPr>
          <w:p>
            <w:pPr>
              <w:topLinePunct/>
              <w:adjustRightInd w:val="0"/>
              <w:snapToGrid w:val="0"/>
              <w:spacing w:line="240" w:lineRule="atLeast"/>
              <w:jc w:val="center"/>
              <w:rPr>
                <w:rFonts w:eastAsia="宋体"/>
                <w:b/>
                <w:bCs/>
                <w:sz w:val="21"/>
                <w:szCs w:val="21"/>
                <w:highlight w:val="none"/>
              </w:rPr>
            </w:pPr>
            <w:r>
              <w:rPr>
                <w:rFonts w:eastAsia="宋体"/>
                <w:color w:val="000000"/>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宋体"/>
                <w:sz w:val="21"/>
                <w:szCs w:val="21"/>
                <w:highlight w:val="none"/>
              </w:rPr>
            </w:pPr>
            <w:r>
              <w:rPr>
                <w:rFonts w:eastAsia="宋体"/>
                <w:sz w:val="21"/>
                <w:szCs w:val="21"/>
                <w:highlight w:val="none"/>
              </w:rPr>
              <w:t>3</w:t>
            </w:r>
          </w:p>
        </w:tc>
        <w:tc>
          <w:tcPr>
            <w:tcW w:w="2186"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Panel Components srl</w:t>
            </w:r>
          </w:p>
        </w:tc>
        <w:tc>
          <w:tcPr>
            <w:tcW w:w="3670" w:type="dxa"/>
            <w:vAlign w:val="center"/>
          </w:tcPr>
          <w:p>
            <w:pPr>
              <w:topLinePunct/>
              <w:adjustRightInd w:val="0"/>
              <w:snapToGrid w:val="0"/>
              <w:spacing w:line="240" w:lineRule="atLeast"/>
              <w:rPr>
                <w:rFonts w:eastAsia="宋体"/>
                <w:color w:val="000000"/>
                <w:sz w:val="21"/>
                <w:szCs w:val="21"/>
                <w:highlight w:val="none"/>
              </w:rPr>
            </w:pPr>
            <w:r>
              <w:rPr>
                <w:rFonts w:eastAsia="宋体"/>
                <w:color w:val="000000"/>
                <w:sz w:val="21"/>
                <w:szCs w:val="21"/>
                <w:highlight w:val="none"/>
              </w:rPr>
              <w:t>Bogogma Giacomo G.持股34%</w:t>
            </w:r>
            <w:r>
              <w:rPr>
                <w:rFonts w:hint="eastAsia" w:eastAsia="宋体"/>
                <w:color w:val="000000"/>
                <w:sz w:val="21"/>
                <w:szCs w:val="21"/>
                <w:highlight w:val="none"/>
              </w:rPr>
              <w:t>；</w:t>
            </w:r>
            <w:r>
              <w:rPr>
                <w:rFonts w:eastAsia="宋体"/>
                <w:color w:val="000000"/>
                <w:sz w:val="21"/>
                <w:szCs w:val="21"/>
                <w:highlight w:val="none"/>
              </w:rPr>
              <w:br w:type="textWrapping"/>
            </w:r>
            <w:r>
              <w:rPr>
                <w:rFonts w:eastAsia="宋体"/>
                <w:color w:val="000000"/>
                <w:sz w:val="21"/>
                <w:szCs w:val="21"/>
                <w:highlight w:val="none"/>
              </w:rPr>
              <w:t>Bogogma Alberto持股3</w:t>
            </w:r>
            <w:r>
              <w:rPr>
                <w:rFonts w:hint="eastAsia" w:eastAsia="宋体"/>
                <w:color w:val="000000"/>
                <w:sz w:val="21"/>
                <w:szCs w:val="21"/>
                <w:highlight w:val="none"/>
              </w:rPr>
              <w:t>3</w:t>
            </w:r>
            <w:r>
              <w:rPr>
                <w:rFonts w:eastAsia="宋体"/>
                <w:color w:val="000000"/>
                <w:sz w:val="21"/>
                <w:szCs w:val="21"/>
                <w:highlight w:val="none"/>
              </w:rPr>
              <w:t>%</w:t>
            </w:r>
            <w:r>
              <w:rPr>
                <w:rFonts w:hint="eastAsia" w:eastAsia="宋体"/>
                <w:color w:val="000000"/>
                <w:sz w:val="21"/>
                <w:szCs w:val="21"/>
                <w:highlight w:val="none"/>
              </w:rPr>
              <w:t>；</w:t>
            </w:r>
          </w:p>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Bogogma Mata持股33%</w:t>
            </w:r>
          </w:p>
        </w:tc>
        <w:tc>
          <w:tcPr>
            <w:tcW w:w="1188"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欧盟</w:t>
            </w:r>
          </w:p>
        </w:tc>
        <w:tc>
          <w:tcPr>
            <w:tcW w:w="1309" w:type="dxa"/>
            <w:vAlign w:val="center"/>
          </w:tcPr>
          <w:p>
            <w:pPr>
              <w:topLinePunct/>
              <w:adjustRightInd w:val="0"/>
              <w:snapToGrid w:val="0"/>
              <w:spacing w:line="240" w:lineRule="atLeast"/>
              <w:jc w:val="center"/>
              <w:rPr>
                <w:rFonts w:eastAsia="宋体"/>
                <w:b/>
                <w:bCs/>
                <w:sz w:val="21"/>
                <w:szCs w:val="21"/>
                <w:highlight w:val="none"/>
              </w:rPr>
            </w:pPr>
            <w:r>
              <w:rPr>
                <w:rFonts w:eastAsia="宋体"/>
                <w:color w:val="000000"/>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宋体"/>
                <w:sz w:val="21"/>
                <w:szCs w:val="21"/>
                <w:highlight w:val="none"/>
              </w:rPr>
            </w:pPr>
            <w:r>
              <w:rPr>
                <w:rFonts w:eastAsia="宋体"/>
                <w:sz w:val="21"/>
                <w:szCs w:val="21"/>
                <w:highlight w:val="none"/>
              </w:rPr>
              <w:t>4</w:t>
            </w:r>
          </w:p>
        </w:tc>
        <w:tc>
          <w:tcPr>
            <w:tcW w:w="2186"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 xml:space="preserve">AQ Electronic </w:t>
            </w:r>
            <w:r>
              <w:rPr>
                <w:rFonts w:hint="eastAsia" w:eastAsia="宋体"/>
                <w:color w:val="000000"/>
                <w:sz w:val="21"/>
                <w:szCs w:val="21"/>
                <w:highlight w:val="none"/>
              </w:rPr>
              <w:t>s.r.o.</w:t>
            </w:r>
          </w:p>
        </w:tc>
        <w:tc>
          <w:tcPr>
            <w:tcW w:w="3670"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Radek Kocian持股</w:t>
            </w:r>
            <w:r>
              <w:rPr>
                <w:rFonts w:hint="eastAsia" w:eastAsia="宋体"/>
                <w:color w:val="000000"/>
                <w:sz w:val="21"/>
                <w:szCs w:val="21"/>
                <w:highlight w:val="none"/>
              </w:rPr>
              <w:t>1</w:t>
            </w:r>
            <w:r>
              <w:rPr>
                <w:rFonts w:eastAsia="宋体"/>
                <w:color w:val="000000"/>
                <w:sz w:val="21"/>
                <w:szCs w:val="21"/>
                <w:highlight w:val="none"/>
              </w:rPr>
              <w:t>00</w:t>
            </w:r>
            <w:r>
              <w:rPr>
                <w:rFonts w:hint="eastAsia" w:eastAsia="宋体"/>
                <w:color w:val="000000"/>
                <w:sz w:val="21"/>
                <w:szCs w:val="21"/>
                <w:highlight w:val="none"/>
              </w:rPr>
              <w:t>%</w:t>
            </w:r>
          </w:p>
        </w:tc>
        <w:tc>
          <w:tcPr>
            <w:tcW w:w="1188"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欧盟</w:t>
            </w:r>
          </w:p>
        </w:tc>
        <w:tc>
          <w:tcPr>
            <w:tcW w:w="1309" w:type="dxa"/>
            <w:vAlign w:val="center"/>
          </w:tcPr>
          <w:p>
            <w:pPr>
              <w:topLinePunct/>
              <w:adjustRightInd w:val="0"/>
              <w:snapToGrid w:val="0"/>
              <w:spacing w:line="240" w:lineRule="atLeast"/>
              <w:jc w:val="center"/>
              <w:rPr>
                <w:rFonts w:eastAsia="宋体"/>
                <w:b/>
                <w:bCs/>
                <w:sz w:val="21"/>
                <w:szCs w:val="21"/>
                <w:highlight w:val="none"/>
              </w:rPr>
            </w:pPr>
            <w:r>
              <w:rPr>
                <w:rFonts w:eastAsia="宋体"/>
                <w:color w:val="000000"/>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宋体"/>
                <w:sz w:val="21"/>
                <w:szCs w:val="21"/>
                <w:highlight w:val="none"/>
              </w:rPr>
            </w:pPr>
            <w:r>
              <w:rPr>
                <w:rFonts w:eastAsia="宋体"/>
                <w:sz w:val="21"/>
                <w:szCs w:val="21"/>
                <w:highlight w:val="none"/>
              </w:rPr>
              <w:t>5</w:t>
            </w:r>
          </w:p>
        </w:tc>
        <w:tc>
          <w:tcPr>
            <w:tcW w:w="2186"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J.J. Intertrading L</w:t>
            </w:r>
            <w:r>
              <w:rPr>
                <w:rFonts w:hint="eastAsia" w:eastAsia="宋体"/>
                <w:color w:val="000000"/>
                <w:sz w:val="21"/>
                <w:szCs w:val="21"/>
                <w:highlight w:val="none"/>
              </w:rPr>
              <w:t>td</w:t>
            </w:r>
            <w:r>
              <w:rPr>
                <w:rFonts w:eastAsia="宋体"/>
                <w:color w:val="000000"/>
                <w:sz w:val="21"/>
                <w:szCs w:val="21"/>
                <w:highlight w:val="none"/>
              </w:rPr>
              <w:t>.</w:t>
            </w:r>
          </w:p>
        </w:tc>
        <w:tc>
          <w:tcPr>
            <w:tcW w:w="3670"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Kitja Chaiwattanasakul持股40%；</w:t>
            </w:r>
            <w:r>
              <w:rPr>
                <w:rFonts w:eastAsia="宋体"/>
                <w:color w:val="000000"/>
                <w:sz w:val="21"/>
                <w:szCs w:val="21"/>
                <w:highlight w:val="none"/>
              </w:rPr>
              <w:br w:type="textWrapping"/>
            </w:r>
            <w:r>
              <w:rPr>
                <w:rFonts w:eastAsia="宋体"/>
                <w:color w:val="000000"/>
                <w:sz w:val="21"/>
                <w:szCs w:val="21"/>
                <w:highlight w:val="none"/>
              </w:rPr>
              <w:t>Kammalaporn持股40%；</w:t>
            </w:r>
            <w:r>
              <w:rPr>
                <w:rFonts w:eastAsia="宋体"/>
                <w:color w:val="000000"/>
                <w:sz w:val="21"/>
                <w:szCs w:val="21"/>
                <w:highlight w:val="none"/>
              </w:rPr>
              <w:br w:type="textWrapping"/>
            </w:r>
            <w:r>
              <w:rPr>
                <w:rFonts w:eastAsia="宋体"/>
                <w:color w:val="000000"/>
                <w:sz w:val="21"/>
                <w:szCs w:val="21"/>
                <w:highlight w:val="none"/>
              </w:rPr>
              <w:t>Prakaikaew Sunakron持股10%；</w:t>
            </w:r>
            <w:r>
              <w:rPr>
                <w:rFonts w:eastAsia="宋体"/>
                <w:color w:val="000000"/>
                <w:sz w:val="21"/>
                <w:szCs w:val="21"/>
                <w:highlight w:val="none"/>
              </w:rPr>
              <w:br w:type="textWrapping"/>
            </w:r>
            <w:r>
              <w:rPr>
                <w:rFonts w:eastAsia="宋体"/>
                <w:color w:val="000000"/>
                <w:sz w:val="21"/>
                <w:szCs w:val="21"/>
                <w:highlight w:val="none"/>
              </w:rPr>
              <w:t>其他持股10%</w:t>
            </w:r>
          </w:p>
        </w:tc>
        <w:tc>
          <w:tcPr>
            <w:tcW w:w="1188"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泰国</w:t>
            </w:r>
          </w:p>
        </w:tc>
        <w:tc>
          <w:tcPr>
            <w:tcW w:w="1309" w:type="dxa"/>
            <w:vAlign w:val="center"/>
          </w:tcPr>
          <w:p>
            <w:pPr>
              <w:topLinePunct/>
              <w:adjustRightInd w:val="0"/>
              <w:snapToGrid w:val="0"/>
              <w:spacing w:line="240" w:lineRule="atLeast"/>
              <w:jc w:val="center"/>
              <w:rPr>
                <w:rFonts w:eastAsia="宋体"/>
                <w:b/>
                <w:bCs/>
                <w:sz w:val="21"/>
                <w:szCs w:val="21"/>
                <w:highlight w:val="none"/>
              </w:rPr>
            </w:pPr>
            <w:r>
              <w:rPr>
                <w:rFonts w:eastAsia="宋体"/>
                <w:color w:val="000000"/>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宋体"/>
                <w:sz w:val="21"/>
                <w:szCs w:val="21"/>
                <w:highlight w:val="none"/>
              </w:rPr>
            </w:pPr>
            <w:r>
              <w:rPr>
                <w:rFonts w:eastAsia="宋体"/>
                <w:sz w:val="21"/>
                <w:szCs w:val="21"/>
                <w:highlight w:val="none"/>
              </w:rPr>
              <w:t>6</w:t>
            </w:r>
          </w:p>
        </w:tc>
        <w:tc>
          <w:tcPr>
            <w:tcW w:w="2186"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w:t>
            </w:r>
            <w:r>
              <w:rPr>
                <w:rFonts w:eastAsia="Batang"/>
                <w:color w:val="000000"/>
                <w:sz w:val="21"/>
                <w:szCs w:val="21"/>
                <w:highlight w:val="none"/>
              </w:rPr>
              <w:t>주</w:t>
            </w:r>
            <w:r>
              <w:rPr>
                <w:rFonts w:eastAsia="宋体"/>
                <w:color w:val="000000"/>
                <w:sz w:val="21"/>
                <w:szCs w:val="21"/>
                <w:highlight w:val="none"/>
              </w:rPr>
              <w:t>）</w:t>
            </w:r>
            <w:r>
              <w:rPr>
                <w:rFonts w:eastAsia="Batang"/>
                <w:color w:val="000000"/>
                <w:sz w:val="21"/>
                <w:szCs w:val="21"/>
                <w:highlight w:val="none"/>
              </w:rPr>
              <w:t>진비테크</w:t>
            </w:r>
          </w:p>
        </w:tc>
        <w:tc>
          <w:tcPr>
            <w:tcW w:w="3670" w:type="dxa"/>
            <w:vAlign w:val="center"/>
          </w:tcPr>
          <w:p>
            <w:pPr>
              <w:topLinePunct/>
              <w:adjustRightInd w:val="0"/>
              <w:snapToGrid w:val="0"/>
              <w:spacing w:line="240" w:lineRule="atLeast"/>
              <w:rPr>
                <w:rFonts w:eastAsia="宋体"/>
                <w:color w:val="000000"/>
                <w:sz w:val="21"/>
                <w:szCs w:val="21"/>
                <w:highlight w:val="none"/>
              </w:rPr>
            </w:pPr>
            <w:r>
              <w:rPr>
                <w:rFonts w:hint="eastAsia" w:eastAsia="宋体"/>
                <w:color w:val="000000"/>
                <w:sz w:val="21"/>
                <w:szCs w:val="21"/>
                <w:highlight w:val="none"/>
              </w:rPr>
              <w:t>김현호持股</w:t>
            </w:r>
            <w:r>
              <w:rPr>
                <w:rFonts w:eastAsia="宋体"/>
                <w:color w:val="000000"/>
                <w:sz w:val="21"/>
                <w:szCs w:val="21"/>
                <w:highlight w:val="none"/>
              </w:rPr>
              <w:t>50%</w:t>
            </w:r>
          </w:p>
          <w:p>
            <w:pPr>
              <w:topLinePunct/>
              <w:adjustRightInd w:val="0"/>
              <w:snapToGrid w:val="0"/>
              <w:spacing w:line="240" w:lineRule="atLeast"/>
              <w:rPr>
                <w:rFonts w:eastAsia="宋体"/>
                <w:b/>
                <w:bCs/>
                <w:sz w:val="21"/>
                <w:szCs w:val="21"/>
                <w:highlight w:val="none"/>
              </w:rPr>
            </w:pPr>
            <w:r>
              <w:rPr>
                <w:rFonts w:hint="eastAsia" w:eastAsia="宋体"/>
                <w:color w:val="000000"/>
                <w:sz w:val="21"/>
                <w:szCs w:val="21"/>
                <w:highlight w:val="none"/>
              </w:rPr>
              <w:t>조영선持股</w:t>
            </w:r>
            <w:r>
              <w:rPr>
                <w:rFonts w:eastAsia="宋体"/>
                <w:color w:val="000000"/>
                <w:sz w:val="21"/>
                <w:szCs w:val="21"/>
                <w:highlight w:val="none"/>
              </w:rPr>
              <w:t>50%</w:t>
            </w:r>
          </w:p>
        </w:tc>
        <w:tc>
          <w:tcPr>
            <w:tcW w:w="1188"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韩国</w:t>
            </w:r>
          </w:p>
        </w:tc>
        <w:tc>
          <w:tcPr>
            <w:tcW w:w="1309" w:type="dxa"/>
            <w:vAlign w:val="center"/>
          </w:tcPr>
          <w:p>
            <w:pPr>
              <w:topLinePunct/>
              <w:adjustRightInd w:val="0"/>
              <w:snapToGrid w:val="0"/>
              <w:spacing w:line="240" w:lineRule="atLeast"/>
              <w:jc w:val="center"/>
              <w:rPr>
                <w:rFonts w:eastAsia="宋体"/>
                <w:b/>
                <w:bCs/>
                <w:sz w:val="21"/>
                <w:szCs w:val="21"/>
                <w:highlight w:val="none"/>
              </w:rPr>
            </w:pPr>
            <w:r>
              <w:rPr>
                <w:rFonts w:eastAsia="宋体"/>
                <w:color w:val="000000"/>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宋体"/>
                <w:sz w:val="21"/>
                <w:szCs w:val="21"/>
                <w:highlight w:val="none"/>
              </w:rPr>
            </w:pPr>
            <w:r>
              <w:rPr>
                <w:rFonts w:eastAsia="宋体"/>
                <w:sz w:val="21"/>
                <w:szCs w:val="21"/>
                <w:highlight w:val="none"/>
              </w:rPr>
              <w:t>7</w:t>
            </w:r>
          </w:p>
        </w:tc>
        <w:tc>
          <w:tcPr>
            <w:tcW w:w="2186" w:type="dxa"/>
            <w:vAlign w:val="center"/>
          </w:tcPr>
          <w:p>
            <w:pPr>
              <w:topLinePunct/>
              <w:adjustRightInd w:val="0"/>
              <w:snapToGrid w:val="0"/>
              <w:spacing w:line="240" w:lineRule="atLeast"/>
              <w:rPr>
                <w:rFonts w:eastAsia="宋体"/>
                <w:color w:val="000000"/>
                <w:sz w:val="21"/>
                <w:szCs w:val="21"/>
                <w:highlight w:val="none"/>
              </w:rPr>
            </w:pPr>
            <w:r>
              <w:rPr>
                <w:rFonts w:eastAsia="宋体"/>
                <w:color w:val="000000"/>
                <w:sz w:val="21"/>
                <w:szCs w:val="21"/>
                <w:highlight w:val="none"/>
              </w:rPr>
              <w:t>Navion Electronics Pvt Ltd</w:t>
            </w:r>
          </w:p>
        </w:tc>
        <w:tc>
          <w:tcPr>
            <w:tcW w:w="3670"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Nikesh Sanghvi持股99%；</w:t>
            </w:r>
            <w:r>
              <w:rPr>
                <w:rFonts w:eastAsia="宋体"/>
                <w:color w:val="000000"/>
                <w:sz w:val="21"/>
                <w:szCs w:val="21"/>
                <w:highlight w:val="none"/>
              </w:rPr>
              <w:br w:type="textWrapping"/>
            </w:r>
            <w:r>
              <w:rPr>
                <w:rFonts w:eastAsia="宋体"/>
                <w:color w:val="000000"/>
                <w:sz w:val="21"/>
                <w:szCs w:val="21"/>
                <w:highlight w:val="none"/>
              </w:rPr>
              <w:t>Shobha Sanghvi持股1%</w:t>
            </w:r>
          </w:p>
        </w:tc>
        <w:tc>
          <w:tcPr>
            <w:tcW w:w="1188"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中国、日本、英国、韩国等</w:t>
            </w:r>
          </w:p>
        </w:tc>
        <w:tc>
          <w:tcPr>
            <w:tcW w:w="1309" w:type="dxa"/>
            <w:vAlign w:val="center"/>
          </w:tcPr>
          <w:p>
            <w:pPr>
              <w:topLinePunct/>
              <w:adjustRightInd w:val="0"/>
              <w:snapToGrid w:val="0"/>
              <w:spacing w:line="240" w:lineRule="atLeast"/>
              <w:jc w:val="center"/>
              <w:rPr>
                <w:rFonts w:eastAsia="宋体"/>
                <w:b/>
                <w:bCs/>
                <w:sz w:val="21"/>
                <w:szCs w:val="21"/>
                <w:highlight w:val="none"/>
              </w:rPr>
            </w:pPr>
            <w:r>
              <w:rPr>
                <w:rFonts w:eastAsia="宋体"/>
                <w:color w:val="000000"/>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525" w:type="dxa"/>
            <w:vAlign w:val="center"/>
          </w:tcPr>
          <w:p>
            <w:pPr>
              <w:topLinePunct/>
              <w:adjustRightInd w:val="0"/>
              <w:snapToGrid w:val="0"/>
              <w:spacing w:line="240" w:lineRule="atLeast"/>
              <w:jc w:val="center"/>
              <w:rPr>
                <w:rFonts w:eastAsia="宋体"/>
                <w:sz w:val="21"/>
                <w:szCs w:val="21"/>
                <w:highlight w:val="none"/>
              </w:rPr>
            </w:pPr>
            <w:r>
              <w:rPr>
                <w:rFonts w:eastAsia="宋体"/>
                <w:sz w:val="21"/>
                <w:szCs w:val="21"/>
                <w:highlight w:val="none"/>
              </w:rPr>
              <w:t>8</w:t>
            </w:r>
          </w:p>
        </w:tc>
        <w:tc>
          <w:tcPr>
            <w:tcW w:w="2186" w:type="dxa"/>
            <w:vAlign w:val="center"/>
          </w:tcPr>
          <w:p>
            <w:pPr>
              <w:topLinePunct/>
              <w:adjustRightInd w:val="0"/>
              <w:snapToGrid w:val="0"/>
              <w:spacing w:line="240" w:lineRule="atLeast"/>
              <w:rPr>
                <w:rFonts w:eastAsia="宋体"/>
                <w:b/>
                <w:bCs/>
                <w:sz w:val="21"/>
                <w:szCs w:val="21"/>
                <w:highlight w:val="none"/>
              </w:rPr>
            </w:pPr>
            <w:r>
              <w:rPr>
                <w:rFonts w:eastAsia="Batang"/>
                <w:color w:val="000000"/>
                <w:sz w:val="21"/>
                <w:szCs w:val="21"/>
                <w:highlight w:val="none"/>
              </w:rPr>
              <w:t>벽삼전자</w:t>
            </w:r>
          </w:p>
        </w:tc>
        <w:tc>
          <w:tcPr>
            <w:tcW w:w="3670" w:type="dxa"/>
            <w:vAlign w:val="center"/>
          </w:tcPr>
          <w:p>
            <w:pPr>
              <w:topLinePunct/>
              <w:adjustRightInd w:val="0"/>
              <w:snapToGrid w:val="0"/>
              <w:spacing w:line="240" w:lineRule="atLeast"/>
              <w:rPr>
                <w:rFonts w:eastAsia="宋体"/>
                <w:b/>
                <w:bCs/>
                <w:sz w:val="21"/>
                <w:szCs w:val="21"/>
                <w:highlight w:val="none"/>
              </w:rPr>
            </w:pPr>
            <w:r>
              <w:rPr>
                <w:rFonts w:hint="eastAsia" w:eastAsia="宋体"/>
                <w:color w:val="000000"/>
                <w:sz w:val="21"/>
                <w:szCs w:val="21"/>
                <w:highlight w:val="none"/>
              </w:rPr>
              <w:t>반 세훈持股100%</w:t>
            </w:r>
          </w:p>
        </w:tc>
        <w:tc>
          <w:tcPr>
            <w:tcW w:w="1188" w:type="dxa"/>
            <w:vAlign w:val="center"/>
          </w:tcPr>
          <w:p>
            <w:pPr>
              <w:topLinePunct/>
              <w:adjustRightInd w:val="0"/>
              <w:snapToGrid w:val="0"/>
              <w:spacing w:line="240" w:lineRule="atLeast"/>
              <w:rPr>
                <w:rFonts w:eastAsia="宋体"/>
                <w:b/>
                <w:bCs/>
                <w:sz w:val="21"/>
                <w:szCs w:val="21"/>
                <w:highlight w:val="none"/>
              </w:rPr>
            </w:pPr>
            <w:r>
              <w:rPr>
                <w:rFonts w:eastAsia="宋体"/>
                <w:color w:val="000000"/>
                <w:sz w:val="21"/>
                <w:szCs w:val="21"/>
                <w:highlight w:val="none"/>
              </w:rPr>
              <w:t>韩国</w:t>
            </w:r>
          </w:p>
        </w:tc>
        <w:tc>
          <w:tcPr>
            <w:tcW w:w="1309" w:type="dxa"/>
            <w:vAlign w:val="center"/>
          </w:tcPr>
          <w:p>
            <w:pPr>
              <w:topLinePunct/>
              <w:adjustRightInd w:val="0"/>
              <w:snapToGrid w:val="0"/>
              <w:spacing w:line="240" w:lineRule="atLeast"/>
              <w:jc w:val="center"/>
              <w:rPr>
                <w:rFonts w:eastAsia="宋体"/>
                <w:b/>
                <w:bCs/>
                <w:sz w:val="21"/>
                <w:szCs w:val="21"/>
                <w:highlight w:val="none"/>
              </w:rPr>
            </w:pPr>
            <w:r>
              <w:rPr>
                <w:rFonts w:eastAsia="宋体"/>
                <w:color w:val="000000"/>
                <w:sz w:val="21"/>
                <w:szCs w:val="21"/>
                <w:highlight w:val="none"/>
              </w:rPr>
              <w:t>无</w:t>
            </w:r>
          </w:p>
        </w:tc>
      </w:tr>
    </w:tbl>
    <w:p>
      <w:pPr>
        <w:pStyle w:val="25"/>
        <w:adjustRightInd w:val="0"/>
        <w:snapToGrid w:val="0"/>
        <w:spacing w:before="289" w:beforeLines="50"/>
        <w:ind w:firstLine="472"/>
        <w:rPr>
          <w:rFonts w:cs="Times New Roman"/>
          <w:bCs/>
          <w:highlight w:val="none"/>
        </w:rPr>
      </w:pPr>
      <w:r>
        <w:rPr>
          <w:rFonts w:hint="eastAsia" w:cs="Times New Roman"/>
          <w:bCs/>
          <w:highlight w:val="none"/>
        </w:rPr>
        <w:t>海外前五大贸易商与公司不存在关联关系，双方除正常买卖继电器业务外，不存在其他业务往来或利益安排，海外前五大贸易商不存在由公司关联方或关系密切者设立的情况。</w:t>
      </w:r>
    </w:p>
    <w:p>
      <w:pPr>
        <w:topLinePunct/>
        <w:adjustRightInd w:val="0"/>
        <w:snapToGrid w:val="0"/>
        <w:spacing w:before="289" w:beforeLines="50" w:after="289" w:afterLines="50"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（二）说明广东瑞德智能科技股份有限公司、深圳市锐钜科技有限公司、武汉盛帆电子股份有限公司三家公司的股权结构、主营业务、业务规模情况，其业务规模是否与发行人的采购数量相匹配。</w:t>
      </w:r>
    </w:p>
    <w:p>
      <w:pPr>
        <w:pStyle w:val="25"/>
        <w:adjustRightInd w:val="0"/>
        <w:snapToGrid w:val="0"/>
        <w:ind w:firstLine="472"/>
        <w:rPr>
          <w:rFonts w:cs="Times New Roman"/>
          <w:bCs/>
          <w:highlight w:val="none"/>
        </w:rPr>
      </w:pPr>
      <w:r>
        <w:rPr>
          <w:rFonts w:hint="eastAsia" w:cs="Times New Roman"/>
          <w:bCs/>
          <w:highlight w:val="none"/>
        </w:rPr>
        <w:t>公司客户广东瑞德智能科技股份有限公司（以下简称“瑞德智能”）、深圳市锐钜科技有限公司（以下简称“锐钜科技”）、武汉盛帆电子股份有限公司的股权结构（以下简称“盛帆股份”）、主营业务情况如下表所示：</w:t>
      </w:r>
    </w:p>
    <w:tbl>
      <w:tblPr>
        <w:tblStyle w:val="13"/>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7" w:type="dxa"/>
          <w:bottom w:w="0" w:type="dxa"/>
          <w:right w:w="17" w:type="dxa"/>
        </w:tblCellMar>
      </w:tblPr>
      <w:tblGrid>
        <w:gridCol w:w="371"/>
        <w:gridCol w:w="999"/>
        <w:gridCol w:w="3812"/>
        <w:gridCol w:w="1922"/>
        <w:gridCol w:w="1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382" w:type="dxa"/>
            <w:vAlign w:val="center"/>
          </w:tcPr>
          <w:p>
            <w:pPr>
              <w:topLinePunct/>
              <w:adjustRightInd w:val="0"/>
              <w:snapToGrid w:val="0"/>
              <w:spacing w:line="240" w:lineRule="atLeast"/>
              <w:jc w:val="center"/>
              <w:rPr>
                <w:rFonts w:eastAsia="宋体"/>
                <w:b/>
                <w:bCs/>
                <w:sz w:val="18"/>
                <w:szCs w:val="18"/>
                <w:highlight w:val="none"/>
              </w:rPr>
            </w:pPr>
            <w:r>
              <w:rPr>
                <w:rFonts w:eastAsia="宋体"/>
                <w:b/>
                <w:bCs/>
                <w:sz w:val="18"/>
                <w:szCs w:val="18"/>
                <w:highlight w:val="none"/>
              </w:rPr>
              <w:t>序号</w:t>
            </w:r>
          </w:p>
        </w:tc>
        <w:tc>
          <w:tcPr>
            <w:tcW w:w="1048" w:type="dxa"/>
            <w:vAlign w:val="center"/>
          </w:tcPr>
          <w:p>
            <w:pPr>
              <w:topLinePunct/>
              <w:adjustRightInd w:val="0"/>
              <w:snapToGrid w:val="0"/>
              <w:spacing w:line="240" w:lineRule="atLeast"/>
              <w:jc w:val="center"/>
              <w:rPr>
                <w:rFonts w:eastAsia="宋体"/>
                <w:b/>
                <w:bCs/>
                <w:sz w:val="18"/>
                <w:szCs w:val="18"/>
                <w:highlight w:val="none"/>
              </w:rPr>
            </w:pPr>
            <w:r>
              <w:rPr>
                <w:rFonts w:eastAsia="宋体"/>
                <w:b/>
                <w:bCs/>
                <w:sz w:val="18"/>
                <w:szCs w:val="18"/>
                <w:highlight w:val="none"/>
              </w:rPr>
              <w:t>客户名称</w:t>
            </w:r>
          </w:p>
        </w:tc>
        <w:tc>
          <w:tcPr>
            <w:tcW w:w="3973" w:type="dxa"/>
            <w:vAlign w:val="center"/>
          </w:tcPr>
          <w:p>
            <w:pPr>
              <w:topLinePunct/>
              <w:adjustRightInd w:val="0"/>
              <w:snapToGrid w:val="0"/>
              <w:spacing w:line="240" w:lineRule="atLeast"/>
              <w:jc w:val="center"/>
              <w:rPr>
                <w:rFonts w:eastAsia="宋体"/>
                <w:b/>
                <w:bCs/>
                <w:sz w:val="18"/>
                <w:szCs w:val="18"/>
                <w:highlight w:val="none"/>
              </w:rPr>
            </w:pPr>
            <w:r>
              <w:rPr>
                <w:rFonts w:eastAsia="宋体"/>
                <w:b/>
                <w:bCs/>
                <w:sz w:val="18"/>
                <w:szCs w:val="18"/>
                <w:highlight w:val="none"/>
              </w:rPr>
              <w:t>基本情况</w:t>
            </w:r>
          </w:p>
        </w:tc>
        <w:tc>
          <w:tcPr>
            <w:tcW w:w="1984" w:type="dxa"/>
            <w:vAlign w:val="center"/>
          </w:tcPr>
          <w:p>
            <w:pPr>
              <w:topLinePunct/>
              <w:adjustRightInd w:val="0"/>
              <w:snapToGrid w:val="0"/>
              <w:spacing w:line="240" w:lineRule="atLeast"/>
              <w:jc w:val="center"/>
              <w:rPr>
                <w:rFonts w:eastAsia="宋体"/>
                <w:b/>
                <w:bCs/>
                <w:sz w:val="18"/>
                <w:szCs w:val="18"/>
                <w:highlight w:val="none"/>
              </w:rPr>
            </w:pPr>
            <w:r>
              <w:rPr>
                <w:rFonts w:eastAsia="宋体"/>
                <w:b/>
                <w:bCs/>
                <w:sz w:val="18"/>
                <w:szCs w:val="18"/>
                <w:highlight w:val="none"/>
              </w:rPr>
              <w:t>股权结构</w:t>
            </w:r>
          </w:p>
        </w:tc>
        <w:tc>
          <w:tcPr>
            <w:tcW w:w="1488" w:type="dxa"/>
            <w:vAlign w:val="center"/>
          </w:tcPr>
          <w:p>
            <w:pPr>
              <w:topLinePunct/>
              <w:adjustRightInd w:val="0"/>
              <w:snapToGrid w:val="0"/>
              <w:spacing w:line="240" w:lineRule="atLeast"/>
              <w:jc w:val="center"/>
              <w:rPr>
                <w:rFonts w:eastAsia="宋体"/>
                <w:b/>
                <w:bCs/>
                <w:sz w:val="18"/>
                <w:szCs w:val="18"/>
                <w:highlight w:val="none"/>
              </w:rPr>
            </w:pPr>
            <w:r>
              <w:rPr>
                <w:rFonts w:hint="eastAsia" w:eastAsia="宋体"/>
                <w:b/>
                <w:bCs/>
                <w:sz w:val="18"/>
                <w:szCs w:val="18"/>
                <w:highlight w:val="none"/>
              </w:rPr>
              <w:t>销售规模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382" w:type="dxa"/>
            <w:vAlign w:val="center"/>
          </w:tcPr>
          <w:p>
            <w:pPr>
              <w:topLinePunct/>
              <w:adjustRightInd w:val="0"/>
              <w:snapToGrid w:val="0"/>
              <w:spacing w:line="240" w:lineRule="atLeast"/>
              <w:jc w:val="center"/>
              <w:rPr>
                <w:rFonts w:eastAsia="宋体"/>
                <w:sz w:val="18"/>
                <w:szCs w:val="18"/>
                <w:highlight w:val="none"/>
              </w:rPr>
            </w:pPr>
            <w:r>
              <w:rPr>
                <w:rFonts w:eastAsia="宋体"/>
                <w:sz w:val="18"/>
                <w:szCs w:val="18"/>
                <w:highlight w:val="none"/>
              </w:rPr>
              <w:t>1</w:t>
            </w:r>
          </w:p>
        </w:tc>
        <w:tc>
          <w:tcPr>
            <w:tcW w:w="1048" w:type="dxa"/>
            <w:vAlign w:val="center"/>
          </w:tcPr>
          <w:p>
            <w:pPr>
              <w:topLinePunct/>
              <w:adjustRightInd w:val="0"/>
              <w:snapToGrid w:val="0"/>
              <w:spacing w:line="240" w:lineRule="atLeast"/>
              <w:rPr>
                <w:rFonts w:eastAsia="宋体"/>
                <w:sz w:val="18"/>
                <w:szCs w:val="18"/>
                <w:highlight w:val="none"/>
              </w:rPr>
            </w:pPr>
            <w:r>
              <w:rPr>
                <w:rFonts w:eastAsia="宋体"/>
                <w:sz w:val="18"/>
                <w:szCs w:val="18"/>
                <w:highlight w:val="none"/>
              </w:rPr>
              <w:t>广东瑞德智能科技股份有限公司</w:t>
            </w:r>
          </w:p>
        </w:tc>
        <w:tc>
          <w:tcPr>
            <w:tcW w:w="3973" w:type="dxa"/>
            <w:vAlign w:val="center"/>
          </w:tcPr>
          <w:p>
            <w:pPr>
              <w:topLinePunct/>
              <w:adjustRightInd w:val="0"/>
              <w:snapToGrid w:val="0"/>
              <w:spacing w:line="240" w:lineRule="atLeast"/>
              <w:rPr>
                <w:rFonts w:eastAsia="宋体"/>
                <w:color w:val="000000"/>
                <w:sz w:val="18"/>
                <w:szCs w:val="18"/>
                <w:highlight w:val="none"/>
              </w:rPr>
            </w:pPr>
            <w:r>
              <w:rPr>
                <w:rFonts w:eastAsia="宋体"/>
                <w:color w:val="000000"/>
                <w:sz w:val="18"/>
                <w:szCs w:val="18"/>
                <w:highlight w:val="none"/>
              </w:rPr>
              <w:t>瑞德智能成立于1997年2月，</w:t>
            </w:r>
            <w:r>
              <w:rPr>
                <w:rFonts w:hint="eastAsia" w:eastAsia="宋体"/>
                <w:color w:val="000000"/>
                <w:sz w:val="18"/>
                <w:szCs w:val="18"/>
                <w:highlight w:val="none"/>
              </w:rPr>
              <w:t>注册资本7,646.4万元人民币，</w:t>
            </w:r>
            <w:r>
              <w:rPr>
                <w:rFonts w:eastAsia="宋体"/>
                <w:color w:val="000000"/>
                <w:sz w:val="18"/>
                <w:szCs w:val="18"/>
                <w:highlight w:val="none"/>
              </w:rPr>
              <w:t>是国内最早从事家用电器控制器研发、制造和销售的企业之一。主营产品覆盖家电控制器、设备控制器、家居智能控制器、高效照明产品、新能源产品等各类电子产品领域的大型综合性研发制造企业，主要业务遍及长三角、珠三角以及欧美和东南亚地区，并成为九阳电器、苏泊尔、美的集团、格力电器、TCL、格兰仕、德豪润达、韩国IBC等众多国内外知名家电企业的战略合作伙伴。2015年在10月，其股票在全国中小企业股份转让系统挂牌公开转让，证券代码：833635。2017年9月，瑞德智能向广东证监局办理了股票发行上市辅导备案，并获得登记受理。</w:t>
            </w:r>
          </w:p>
        </w:tc>
        <w:tc>
          <w:tcPr>
            <w:tcW w:w="1984" w:type="dxa"/>
            <w:vAlign w:val="center"/>
          </w:tcPr>
          <w:p>
            <w:pPr>
              <w:topLinePunct/>
              <w:adjustRightInd w:val="0"/>
              <w:snapToGrid w:val="0"/>
              <w:spacing w:line="240" w:lineRule="atLeast"/>
              <w:rPr>
                <w:rFonts w:eastAsia="宋体"/>
                <w:b/>
                <w:bCs/>
                <w:sz w:val="18"/>
                <w:szCs w:val="18"/>
                <w:highlight w:val="none"/>
              </w:rPr>
            </w:pPr>
            <w:r>
              <w:rPr>
                <w:rFonts w:eastAsia="宋体"/>
                <w:color w:val="000000"/>
                <w:sz w:val="18"/>
                <w:szCs w:val="18"/>
                <w:highlight w:val="none"/>
              </w:rPr>
              <w:t>汪军27.34%；</w:t>
            </w:r>
            <w:r>
              <w:rPr>
                <w:rFonts w:eastAsia="宋体"/>
                <w:color w:val="000000"/>
                <w:sz w:val="18"/>
                <w:szCs w:val="18"/>
                <w:highlight w:val="none"/>
              </w:rPr>
              <w:br w:type="textWrapping"/>
            </w:r>
            <w:r>
              <w:rPr>
                <w:rFonts w:eastAsia="宋体"/>
                <w:color w:val="000000"/>
                <w:sz w:val="18"/>
                <w:szCs w:val="18"/>
                <w:highlight w:val="none"/>
              </w:rPr>
              <w:t>佛山市瑞</w:t>
            </w:r>
            <w:r>
              <w:rPr>
                <w:rFonts w:hint="eastAsia" w:eastAsia="宋体"/>
                <w:color w:val="000000"/>
                <w:sz w:val="18"/>
                <w:szCs w:val="18"/>
                <w:highlight w:val="none"/>
              </w:rPr>
              <w:t>翔</w:t>
            </w:r>
            <w:r>
              <w:rPr>
                <w:rFonts w:eastAsia="宋体"/>
                <w:color w:val="000000"/>
                <w:sz w:val="18"/>
                <w:szCs w:val="18"/>
                <w:highlight w:val="none"/>
              </w:rPr>
              <w:t>投资有限公司17.92%（公司对员工进行股权激励的员工持股平台</w:t>
            </w:r>
            <w:r>
              <w:rPr>
                <w:rFonts w:hint="eastAsia" w:eastAsia="宋体"/>
                <w:color w:val="000000"/>
                <w:sz w:val="18"/>
                <w:szCs w:val="18"/>
                <w:highlight w:val="none"/>
              </w:rPr>
              <w:t>，其中汪军持股9</w:t>
            </w:r>
            <w:r>
              <w:rPr>
                <w:rFonts w:eastAsia="宋体"/>
                <w:color w:val="000000"/>
                <w:sz w:val="18"/>
                <w:szCs w:val="18"/>
                <w:highlight w:val="none"/>
              </w:rPr>
              <w:t>2.65</w:t>
            </w:r>
            <w:r>
              <w:rPr>
                <w:rFonts w:hint="eastAsia" w:eastAsia="宋体"/>
                <w:color w:val="000000"/>
                <w:sz w:val="18"/>
                <w:szCs w:val="18"/>
                <w:highlight w:val="none"/>
              </w:rPr>
              <w:t>%</w:t>
            </w:r>
            <w:r>
              <w:rPr>
                <w:rFonts w:eastAsia="宋体"/>
                <w:color w:val="000000"/>
                <w:sz w:val="18"/>
                <w:szCs w:val="18"/>
                <w:highlight w:val="none"/>
              </w:rPr>
              <w:t>）；</w:t>
            </w:r>
            <w:r>
              <w:rPr>
                <w:rFonts w:eastAsia="宋体"/>
                <w:color w:val="000000"/>
                <w:sz w:val="18"/>
                <w:szCs w:val="18"/>
                <w:highlight w:val="none"/>
              </w:rPr>
              <w:br w:type="textWrapping"/>
            </w:r>
            <w:r>
              <w:rPr>
                <w:rFonts w:eastAsia="宋体"/>
                <w:color w:val="000000"/>
                <w:sz w:val="18"/>
                <w:szCs w:val="18"/>
                <w:highlight w:val="none"/>
              </w:rPr>
              <w:t>黄祖好11.02%；</w:t>
            </w:r>
            <w:r>
              <w:rPr>
                <w:rFonts w:eastAsia="宋体"/>
                <w:color w:val="000000"/>
                <w:sz w:val="18"/>
                <w:szCs w:val="18"/>
                <w:highlight w:val="none"/>
              </w:rPr>
              <w:br w:type="textWrapping"/>
            </w:r>
            <w:r>
              <w:rPr>
                <w:rFonts w:eastAsia="宋体"/>
                <w:color w:val="000000"/>
                <w:sz w:val="18"/>
                <w:szCs w:val="18"/>
                <w:highlight w:val="none"/>
              </w:rPr>
              <w:t>潘卫明4.36%；</w:t>
            </w:r>
            <w:r>
              <w:rPr>
                <w:rFonts w:eastAsia="宋体"/>
                <w:color w:val="000000"/>
                <w:sz w:val="18"/>
                <w:szCs w:val="18"/>
                <w:highlight w:val="none"/>
              </w:rPr>
              <w:br w:type="textWrapping"/>
            </w:r>
            <w:r>
              <w:rPr>
                <w:rFonts w:eastAsia="宋体"/>
                <w:color w:val="000000"/>
                <w:sz w:val="18"/>
                <w:szCs w:val="18"/>
                <w:highlight w:val="none"/>
              </w:rPr>
              <w:t>上海君石资产管理有限公司4.81%；</w:t>
            </w:r>
            <w:r>
              <w:rPr>
                <w:rFonts w:eastAsia="宋体"/>
                <w:color w:val="000000"/>
                <w:sz w:val="18"/>
                <w:szCs w:val="18"/>
                <w:highlight w:val="none"/>
              </w:rPr>
              <w:br w:type="textWrapping"/>
            </w:r>
            <w:r>
              <w:rPr>
                <w:rFonts w:eastAsia="宋体"/>
                <w:color w:val="000000"/>
                <w:sz w:val="18"/>
                <w:szCs w:val="18"/>
                <w:highlight w:val="none"/>
              </w:rPr>
              <w:t>其他持股小于5%的股东合计持股占比34.55%</w:t>
            </w:r>
          </w:p>
        </w:tc>
        <w:tc>
          <w:tcPr>
            <w:tcW w:w="1488" w:type="dxa"/>
            <w:vAlign w:val="center"/>
          </w:tcPr>
          <w:p>
            <w:pPr>
              <w:topLinePunct/>
              <w:adjustRightInd w:val="0"/>
              <w:snapToGrid w:val="0"/>
              <w:spacing w:line="240" w:lineRule="atLeast"/>
              <w:rPr>
                <w:rFonts w:eastAsia="宋体"/>
                <w:color w:val="000000"/>
                <w:sz w:val="18"/>
                <w:szCs w:val="18"/>
                <w:highlight w:val="none"/>
              </w:rPr>
            </w:pPr>
            <w:r>
              <w:rPr>
                <w:rFonts w:hint="eastAsia" w:eastAsia="宋体"/>
                <w:color w:val="000000"/>
                <w:sz w:val="18"/>
                <w:szCs w:val="18"/>
                <w:highlight w:val="none"/>
              </w:rPr>
              <w:t>2017年销售规模约为6.5-7亿；</w:t>
            </w:r>
          </w:p>
          <w:p>
            <w:pPr>
              <w:topLinePunct/>
              <w:adjustRightInd w:val="0"/>
              <w:snapToGrid w:val="0"/>
              <w:spacing w:line="240" w:lineRule="atLeast"/>
              <w:rPr>
                <w:rFonts w:eastAsia="宋体"/>
                <w:color w:val="000000"/>
                <w:sz w:val="18"/>
                <w:szCs w:val="18"/>
                <w:highlight w:val="none"/>
              </w:rPr>
            </w:pPr>
            <w:r>
              <w:rPr>
                <w:rFonts w:hint="eastAsia" w:eastAsia="宋体"/>
                <w:color w:val="000000"/>
                <w:sz w:val="18"/>
                <w:szCs w:val="18"/>
                <w:highlight w:val="none"/>
              </w:rPr>
              <w:t>2018年销售规模约为8-8.5亿；</w:t>
            </w:r>
          </w:p>
          <w:p>
            <w:pPr>
              <w:topLinePunct/>
              <w:adjustRightInd w:val="0"/>
              <w:snapToGrid w:val="0"/>
              <w:spacing w:line="240" w:lineRule="atLeast"/>
              <w:rPr>
                <w:rFonts w:eastAsia="宋体"/>
                <w:b/>
                <w:bCs/>
                <w:sz w:val="18"/>
                <w:szCs w:val="18"/>
                <w:highlight w:val="none"/>
              </w:rPr>
            </w:pPr>
            <w:r>
              <w:rPr>
                <w:rFonts w:hint="eastAsia" w:eastAsia="宋体"/>
                <w:color w:val="000000"/>
                <w:sz w:val="18"/>
                <w:szCs w:val="18"/>
                <w:highlight w:val="none"/>
              </w:rPr>
              <w:t>2019年销售规模约为9-9.5亿元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382" w:type="dxa"/>
            <w:vAlign w:val="center"/>
          </w:tcPr>
          <w:p>
            <w:pPr>
              <w:topLinePunct/>
              <w:adjustRightInd w:val="0"/>
              <w:snapToGrid w:val="0"/>
              <w:spacing w:line="240" w:lineRule="atLeast"/>
              <w:jc w:val="center"/>
              <w:rPr>
                <w:rFonts w:eastAsia="宋体"/>
                <w:sz w:val="18"/>
                <w:szCs w:val="18"/>
                <w:highlight w:val="none"/>
              </w:rPr>
            </w:pPr>
            <w:r>
              <w:rPr>
                <w:rFonts w:eastAsia="宋体"/>
                <w:sz w:val="18"/>
                <w:szCs w:val="18"/>
                <w:highlight w:val="none"/>
              </w:rPr>
              <w:t>2</w:t>
            </w:r>
          </w:p>
        </w:tc>
        <w:tc>
          <w:tcPr>
            <w:tcW w:w="1048" w:type="dxa"/>
            <w:vAlign w:val="center"/>
          </w:tcPr>
          <w:p>
            <w:pPr>
              <w:topLinePunct/>
              <w:adjustRightInd w:val="0"/>
              <w:snapToGrid w:val="0"/>
              <w:spacing w:line="240" w:lineRule="atLeast"/>
              <w:rPr>
                <w:rFonts w:eastAsia="宋体"/>
                <w:sz w:val="18"/>
                <w:szCs w:val="18"/>
                <w:highlight w:val="none"/>
              </w:rPr>
            </w:pPr>
            <w:r>
              <w:rPr>
                <w:rFonts w:eastAsia="宋体"/>
                <w:sz w:val="18"/>
                <w:szCs w:val="18"/>
                <w:highlight w:val="none"/>
              </w:rPr>
              <w:t>深圳市锐钜科技有限公司</w:t>
            </w:r>
          </w:p>
        </w:tc>
        <w:tc>
          <w:tcPr>
            <w:tcW w:w="3973" w:type="dxa"/>
            <w:vAlign w:val="center"/>
          </w:tcPr>
          <w:p>
            <w:pPr>
              <w:topLinePunct/>
              <w:adjustRightInd w:val="0"/>
              <w:snapToGrid w:val="0"/>
              <w:spacing w:line="240" w:lineRule="atLeast"/>
              <w:rPr>
                <w:rFonts w:eastAsia="宋体"/>
                <w:color w:val="000000"/>
                <w:sz w:val="18"/>
                <w:szCs w:val="18"/>
                <w:highlight w:val="none"/>
              </w:rPr>
            </w:pPr>
            <w:r>
              <w:rPr>
                <w:rFonts w:hint="eastAsia" w:eastAsia="宋体"/>
                <w:sz w:val="18"/>
                <w:szCs w:val="18"/>
                <w:highlight w:val="none"/>
              </w:rPr>
              <w:t>锐钜科技成立于</w:t>
            </w:r>
            <w:r>
              <w:rPr>
                <w:rFonts w:eastAsia="宋体"/>
                <w:sz w:val="18"/>
                <w:szCs w:val="18"/>
                <w:highlight w:val="none"/>
              </w:rPr>
              <w:t>2002</w:t>
            </w:r>
            <w:r>
              <w:rPr>
                <w:rFonts w:hint="eastAsia" w:eastAsia="宋体"/>
                <w:sz w:val="18"/>
                <w:szCs w:val="18"/>
                <w:highlight w:val="none"/>
              </w:rPr>
              <w:t>年</w:t>
            </w:r>
            <w:r>
              <w:rPr>
                <w:rFonts w:eastAsia="宋体"/>
                <w:sz w:val="18"/>
                <w:szCs w:val="18"/>
                <w:highlight w:val="none"/>
              </w:rPr>
              <w:t>9</w:t>
            </w:r>
            <w:r>
              <w:rPr>
                <w:rFonts w:hint="eastAsia" w:eastAsia="宋体"/>
                <w:sz w:val="18"/>
                <w:szCs w:val="18"/>
                <w:highlight w:val="none"/>
              </w:rPr>
              <w:t>月，注册资本</w:t>
            </w:r>
            <w:r>
              <w:rPr>
                <w:rFonts w:eastAsia="宋体"/>
                <w:sz w:val="18"/>
                <w:szCs w:val="18"/>
                <w:highlight w:val="none"/>
              </w:rPr>
              <w:t>1,176</w:t>
            </w:r>
            <w:r>
              <w:rPr>
                <w:rFonts w:hint="eastAsia" w:eastAsia="宋体"/>
                <w:sz w:val="18"/>
                <w:szCs w:val="18"/>
                <w:highlight w:val="none"/>
              </w:rPr>
              <w:t>万元人民币，是一家专注于变频控制领域，集研发、制造、销售为一体的国家级高新技术企业，主要产品为变频控制器、家电控制等，尤其在空调、冰箱、洗衣机等变频家用电器的设计制造上拥有突出的优势。锐钜科技服务于国内外知名家电企业如：</w:t>
            </w:r>
            <w:r>
              <w:rPr>
                <w:rFonts w:eastAsia="宋体"/>
                <w:sz w:val="18"/>
                <w:szCs w:val="18"/>
                <w:highlight w:val="none"/>
              </w:rPr>
              <w:t>TCL</w:t>
            </w:r>
            <w:r>
              <w:rPr>
                <w:rFonts w:hint="eastAsia" w:eastAsia="宋体"/>
                <w:sz w:val="18"/>
                <w:szCs w:val="18"/>
                <w:highlight w:val="none"/>
              </w:rPr>
              <w:t>、美的集团、海信电器、海尔电器、万宝、伊莱克斯、</w:t>
            </w:r>
            <w:r>
              <w:rPr>
                <w:rFonts w:eastAsia="宋体"/>
                <w:sz w:val="18"/>
                <w:szCs w:val="18"/>
                <w:highlight w:val="none"/>
              </w:rPr>
              <w:t>GE</w:t>
            </w:r>
            <w:r>
              <w:rPr>
                <w:rFonts w:hint="eastAsia" w:eastAsia="宋体"/>
                <w:sz w:val="18"/>
                <w:szCs w:val="18"/>
                <w:highlight w:val="none"/>
              </w:rPr>
              <w:t>等。</w:t>
            </w:r>
            <w:r>
              <w:rPr>
                <w:rFonts w:hint="eastAsia" w:ascii="宋体" w:hAnsi="宋体" w:eastAsia="宋体" w:cs="宋体"/>
                <w:sz w:val="18"/>
                <w:szCs w:val="18"/>
                <w:highlight w:val="none"/>
              </w:rPr>
              <w:t>曾主持或参与与日本东芝（</w:t>
            </w:r>
            <w:r>
              <w:rPr>
                <w:rFonts w:eastAsia="宋体"/>
                <w:sz w:val="18"/>
                <w:szCs w:val="18"/>
                <w:highlight w:val="none"/>
              </w:rPr>
              <w:t>TOSHIBA</w:t>
            </w:r>
            <w:r>
              <w:rPr>
                <w:rFonts w:hint="eastAsia" w:eastAsia="宋体"/>
                <w:sz w:val="18"/>
                <w:szCs w:val="18"/>
                <w:highlight w:val="none"/>
              </w:rPr>
              <w:t>）、日电（</w:t>
            </w:r>
            <w:r>
              <w:rPr>
                <w:rFonts w:eastAsia="宋体"/>
                <w:sz w:val="18"/>
                <w:szCs w:val="18"/>
                <w:highlight w:val="none"/>
              </w:rPr>
              <w:t>NEC</w:t>
            </w:r>
            <w:r>
              <w:rPr>
                <w:rFonts w:hint="eastAsia" w:eastAsia="宋体"/>
                <w:sz w:val="18"/>
                <w:szCs w:val="18"/>
                <w:highlight w:val="none"/>
              </w:rPr>
              <w:t>）以及美国</w:t>
            </w:r>
            <w:r>
              <w:rPr>
                <w:rFonts w:eastAsia="宋体"/>
                <w:sz w:val="18"/>
                <w:szCs w:val="18"/>
                <w:highlight w:val="none"/>
              </w:rPr>
              <w:t>MOTOROLA</w:t>
            </w:r>
            <w:r>
              <w:rPr>
                <w:rFonts w:hint="eastAsia" w:eastAsia="宋体"/>
                <w:sz w:val="18"/>
                <w:szCs w:val="18"/>
                <w:highlight w:val="none"/>
              </w:rPr>
              <w:t>、德州仪嚣（</w:t>
            </w:r>
            <w:r>
              <w:rPr>
                <w:rFonts w:eastAsia="宋体"/>
                <w:sz w:val="18"/>
                <w:szCs w:val="18"/>
                <w:highlight w:val="none"/>
              </w:rPr>
              <w:t>TI</w:t>
            </w:r>
            <w:r>
              <w:rPr>
                <w:rFonts w:hint="eastAsia" w:eastAsia="宋体"/>
                <w:sz w:val="18"/>
                <w:szCs w:val="18"/>
                <w:highlight w:val="none"/>
              </w:rPr>
              <w:t>）等国内外著名的企业技术和项目合作。还与国外著名的</w:t>
            </w:r>
            <w:r>
              <w:rPr>
                <w:rFonts w:eastAsia="宋体"/>
                <w:sz w:val="18"/>
                <w:szCs w:val="18"/>
                <w:highlight w:val="none"/>
              </w:rPr>
              <w:t>NEC</w:t>
            </w:r>
            <w:r>
              <w:rPr>
                <w:rFonts w:hint="eastAsia" w:eastAsia="宋体"/>
                <w:sz w:val="18"/>
                <w:szCs w:val="18"/>
                <w:highlight w:val="none"/>
              </w:rPr>
              <w:t>、英飞凌、美国</w:t>
            </w:r>
            <w:r>
              <w:rPr>
                <w:rFonts w:eastAsia="宋体"/>
                <w:sz w:val="18"/>
                <w:szCs w:val="18"/>
                <w:highlight w:val="none"/>
              </w:rPr>
              <w:t>IR</w:t>
            </w:r>
            <w:r>
              <w:rPr>
                <w:rFonts w:hint="eastAsia" w:eastAsia="宋体"/>
                <w:sz w:val="18"/>
                <w:szCs w:val="18"/>
                <w:highlight w:val="none"/>
              </w:rPr>
              <w:t>、三菱等业内领先的半导体公司合作，在永磁同步电机驱动领域进行深入的研究，目前推出可量产的直流变频控制器已经达到全球先进水平。并获得一种电动大巴电池热管理系统的管理控制方法及其装配、一种纯电动新能源汽车驱动控制器的限速方法等1</w:t>
            </w:r>
            <w:r>
              <w:rPr>
                <w:rFonts w:eastAsia="宋体"/>
                <w:sz w:val="18"/>
                <w:szCs w:val="18"/>
                <w:highlight w:val="none"/>
              </w:rPr>
              <w:t>0</w:t>
            </w:r>
            <w:r>
              <w:rPr>
                <w:rFonts w:hint="eastAsia" w:eastAsia="宋体"/>
                <w:sz w:val="18"/>
                <w:szCs w:val="18"/>
                <w:highlight w:val="none"/>
              </w:rPr>
              <w:t>余项发明专利。</w:t>
            </w:r>
          </w:p>
        </w:tc>
        <w:tc>
          <w:tcPr>
            <w:tcW w:w="1984" w:type="dxa"/>
            <w:vAlign w:val="center"/>
          </w:tcPr>
          <w:p>
            <w:pPr>
              <w:topLinePunct/>
              <w:adjustRightInd w:val="0"/>
              <w:snapToGrid w:val="0"/>
              <w:spacing w:line="240" w:lineRule="atLeast"/>
              <w:rPr>
                <w:rFonts w:eastAsia="宋体"/>
                <w:b/>
                <w:bCs/>
                <w:sz w:val="18"/>
                <w:szCs w:val="18"/>
                <w:highlight w:val="none"/>
              </w:rPr>
            </w:pPr>
            <w:r>
              <w:rPr>
                <w:rFonts w:eastAsia="宋体"/>
                <w:color w:val="000000"/>
                <w:sz w:val="18"/>
                <w:szCs w:val="18"/>
                <w:highlight w:val="none"/>
              </w:rPr>
              <w:t>徐继林94.983%；</w:t>
            </w:r>
            <w:r>
              <w:rPr>
                <w:rFonts w:eastAsia="宋体"/>
                <w:color w:val="000000"/>
                <w:sz w:val="18"/>
                <w:szCs w:val="18"/>
                <w:highlight w:val="none"/>
              </w:rPr>
              <w:br w:type="textWrapping"/>
            </w:r>
            <w:r>
              <w:rPr>
                <w:rFonts w:eastAsia="宋体"/>
                <w:color w:val="000000"/>
                <w:sz w:val="18"/>
                <w:szCs w:val="18"/>
                <w:highlight w:val="none"/>
              </w:rPr>
              <w:t>黄秋香5.017%</w:t>
            </w:r>
          </w:p>
        </w:tc>
        <w:tc>
          <w:tcPr>
            <w:tcW w:w="1488"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2017年销售规模3.03亿元；</w:t>
            </w:r>
          </w:p>
          <w:p>
            <w:pPr>
              <w:topLinePunct/>
              <w:adjustRightInd w:val="0"/>
              <w:snapToGrid w:val="0"/>
              <w:spacing w:line="240" w:lineRule="atLeast"/>
              <w:rPr>
                <w:rFonts w:eastAsia="宋体"/>
                <w:sz w:val="18"/>
                <w:szCs w:val="18"/>
                <w:highlight w:val="none"/>
              </w:rPr>
            </w:pPr>
            <w:r>
              <w:rPr>
                <w:rFonts w:eastAsia="宋体"/>
                <w:sz w:val="18"/>
                <w:szCs w:val="18"/>
                <w:highlight w:val="none"/>
              </w:rPr>
              <w:t>2018</w:t>
            </w:r>
            <w:r>
              <w:rPr>
                <w:rFonts w:hint="eastAsia" w:eastAsia="宋体"/>
                <w:sz w:val="18"/>
                <w:szCs w:val="18"/>
                <w:highlight w:val="none"/>
              </w:rPr>
              <w:t>年销售规模2.97亿元；</w:t>
            </w:r>
          </w:p>
          <w:p>
            <w:pPr>
              <w:topLinePunct/>
              <w:adjustRightInd w:val="0"/>
              <w:snapToGrid w:val="0"/>
              <w:spacing w:line="240" w:lineRule="atLeast"/>
              <w:rPr>
                <w:rFonts w:eastAsia="宋体"/>
                <w:b/>
                <w:bCs/>
                <w:sz w:val="18"/>
                <w:szCs w:val="18"/>
                <w:highlight w:val="none"/>
              </w:rPr>
            </w:pPr>
            <w:r>
              <w:rPr>
                <w:rFonts w:eastAsia="宋体"/>
                <w:sz w:val="18"/>
                <w:szCs w:val="18"/>
                <w:highlight w:val="none"/>
              </w:rPr>
              <w:t>2019</w:t>
            </w:r>
            <w:r>
              <w:rPr>
                <w:rFonts w:hint="eastAsia" w:eastAsia="宋体"/>
                <w:sz w:val="18"/>
                <w:szCs w:val="18"/>
                <w:highlight w:val="none"/>
              </w:rPr>
              <w:t>年销售规模</w:t>
            </w:r>
            <w:r>
              <w:rPr>
                <w:rFonts w:eastAsia="宋体"/>
                <w:sz w:val="18"/>
                <w:szCs w:val="18"/>
                <w:highlight w:val="none"/>
              </w:rPr>
              <w:t>3.00</w:t>
            </w:r>
            <w:r>
              <w:rPr>
                <w:rFonts w:hint="eastAsia" w:eastAsia="宋体"/>
                <w:sz w:val="18"/>
                <w:szCs w:val="18"/>
                <w:highlight w:val="none"/>
              </w:rPr>
              <w:t>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382" w:type="dxa"/>
            <w:vAlign w:val="center"/>
          </w:tcPr>
          <w:p>
            <w:pPr>
              <w:topLinePunct/>
              <w:adjustRightInd w:val="0"/>
              <w:snapToGrid w:val="0"/>
              <w:spacing w:line="240" w:lineRule="atLeast"/>
              <w:jc w:val="center"/>
              <w:rPr>
                <w:rFonts w:eastAsia="宋体"/>
                <w:sz w:val="18"/>
                <w:szCs w:val="18"/>
                <w:highlight w:val="none"/>
              </w:rPr>
            </w:pPr>
            <w:r>
              <w:rPr>
                <w:rFonts w:eastAsia="宋体"/>
                <w:sz w:val="18"/>
                <w:szCs w:val="18"/>
                <w:highlight w:val="none"/>
              </w:rPr>
              <w:t>3</w:t>
            </w:r>
          </w:p>
        </w:tc>
        <w:tc>
          <w:tcPr>
            <w:tcW w:w="1048" w:type="dxa"/>
            <w:vAlign w:val="center"/>
          </w:tcPr>
          <w:p>
            <w:pPr>
              <w:topLinePunct/>
              <w:adjustRightInd w:val="0"/>
              <w:snapToGrid w:val="0"/>
              <w:spacing w:line="240" w:lineRule="atLeast"/>
              <w:rPr>
                <w:rFonts w:eastAsia="宋体"/>
                <w:sz w:val="18"/>
                <w:szCs w:val="18"/>
                <w:highlight w:val="none"/>
              </w:rPr>
            </w:pPr>
            <w:r>
              <w:rPr>
                <w:rFonts w:eastAsia="宋体"/>
                <w:sz w:val="18"/>
                <w:szCs w:val="18"/>
                <w:highlight w:val="none"/>
              </w:rPr>
              <w:t>武汉盛帆电子股份有限公司</w:t>
            </w:r>
          </w:p>
        </w:tc>
        <w:tc>
          <w:tcPr>
            <w:tcW w:w="3973" w:type="dxa"/>
            <w:vAlign w:val="center"/>
          </w:tcPr>
          <w:p>
            <w:pPr>
              <w:topLinePunct/>
              <w:adjustRightInd w:val="0"/>
              <w:snapToGrid w:val="0"/>
              <w:spacing w:line="240" w:lineRule="atLeast"/>
              <w:rPr>
                <w:rFonts w:eastAsia="宋体"/>
                <w:color w:val="000000"/>
                <w:sz w:val="18"/>
                <w:szCs w:val="18"/>
                <w:highlight w:val="none"/>
              </w:rPr>
            </w:pPr>
            <w:r>
              <w:rPr>
                <w:rFonts w:eastAsia="宋体"/>
                <w:sz w:val="18"/>
                <w:szCs w:val="18"/>
                <w:highlight w:val="none"/>
              </w:rPr>
              <w:t>盛帆股份</w:t>
            </w:r>
            <w:r>
              <w:rPr>
                <w:rFonts w:eastAsia="宋体"/>
                <w:color w:val="000000"/>
                <w:sz w:val="18"/>
                <w:szCs w:val="18"/>
                <w:highlight w:val="none"/>
              </w:rPr>
              <w:t>成于1998年12月，</w:t>
            </w:r>
            <w:r>
              <w:rPr>
                <w:rFonts w:hint="eastAsia" w:eastAsia="宋体"/>
                <w:color w:val="000000"/>
                <w:sz w:val="18"/>
                <w:szCs w:val="18"/>
                <w:highlight w:val="none"/>
              </w:rPr>
              <w:t>注册资本10,188万元人民币，</w:t>
            </w:r>
            <w:r>
              <w:rPr>
                <w:rFonts w:eastAsia="宋体"/>
                <w:color w:val="000000"/>
                <w:sz w:val="18"/>
                <w:szCs w:val="18"/>
                <w:highlight w:val="none"/>
              </w:rPr>
              <w:t>是国家高新技术企业</w:t>
            </w:r>
            <w:r>
              <w:rPr>
                <w:rFonts w:hint="eastAsia" w:eastAsia="宋体"/>
                <w:color w:val="000000"/>
                <w:sz w:val="18"/>
                <w:szCs w:val="18"/>
                <w:highlight w:val="none"/>
              </w:rPr>
              <w:t>，</w:t>
            </w:r>
            <w:r>
              <w:rPr>
                <w:rFonts w:eastAsia="宋体"/>
                <w:color w:val="000000"/>
                <w:sz w:val="18"/>
                <w:szCs w:val="18"/>
                <w:highlight w:val="none"/>
              </w:rPr>
              <w:t>为国家电网公司配套企业。公司业务覆盖能源计量和能源管理解决方案两大领域，拥有完整的水、电、气计量产品线和全系列的智能电表/水表/气表、采集器/智能网关/集中器、集中抄表系统、智能能源监管系统等上百种软、硬件产品。</w:t>
            </w:r>
            <w:r>
              <w:rPr>
                <w:rFonts w:hint="eastAsia" w:eastAsia="宋体"/>
                <w:color w:val="000000"/>
                <w:sz w:val="18"/>
                <w:szCs w:val="18"/>
                <w:highlight w:val="none"/>
              </w:rPr>
              <w:t>其参与研发的项目曾经多次获得中国仪器仪表学会和湖北省科技（成果）进步奖。2018年获得湖北省企业联合会、湖北省企业家协会发布的“2018年湖北省制造业企业100强”荣誉。</w:t>
            </w:r>
          </w:p>
        </w:tc>
        <w:tc>
          <w:tcPr>
            <w:tcW w:w="1984" w:type="dxa"/>
            <w:vAlign w:val="center"/>
          </w:tcPr>
          <w:p>
            <w:pPr>
              <w:topLinePunct/>
              <w:adjustRightInd w:val="0"/>
              <w:snapToGrid w:val="0"/>
              <w:spacing w:line="240" w:lineRule="atLeast"/>
              <w:rPr>
                <w:rFonts w:eastAsia="宋体"/>
                <w:b/>
                <w:bCs/>
                <w:sz w:val="18"/>
                <w:szCs w:val="18"/>
                <w:highlight w:val="none"/>
              </w:rPr>
            </w:pPr>
            <w:r>
              <w:rPr>
                <w:rFonts w:eastAsia="宋体"/>
                <w:color w:val="000000"/>
                <w:sz w:val="18"/>
                <w:szCs w:val="18"/>
                <w:highlight w:val="none"/>
              </w:rPr>
              <w:t>李中泽71.34%；</w:t>
            </w:r>
            <w:r>
              <w:rPr>
                <w:rFonts w:eastAsia="宋体"/>
                <w:color w:val="000000"/>
                <w:sz w:val="18"/>
                <w:szCs w:val="18"/>
                <w:highlight w:val="none"/>
              </w:rPr>
              <w:br w:type="textWrapping"/>
            </w:r>
            <w:r>
              <w:rPr>
                <w:rFonts w:eastAsia="宋体"/>
                <w:color w:val="000000"/>
                <w:sz w:val="18"/>
                <w:szCs w:val="18"/>
                <w:highlight w:val="none"/>
              </w:rPr>
              <w:t>武汉众盛达投资股份有限公司21.84%（该公司其中李中泽持股95.85%，其他均为自然人股东）</w:t>
            </w:r>
            <w:r>
              <w:rPr>
                <w:rFonts w:eastAsia="宋体"/>
                <w:color w:val="000000"/>
                <w:sz w:val="18"/>
                <w:szCs w:val="18"/>
                <w:highlight w:val="none"/>
              </w:rPr>
              <w:br w:type="textWrapping"/>
            </w:r>
            <w:r>
              <w:rPr>
                <w:rFonts w:eastAsia="宋体"/>
                <w:color w:val="000000"/>
                <w:sz w:val="18"/>
                <w:szCs w:val="18"/>
                <w:highlight w:val="none"/>
              </w:rPr>
              <w:t>其他持股小于5%的股东合计持股占比6.81%</w:t>
            </w:r>
          </w:p>
        </w:tc>
        <w:tc>
          <w:tcPr>
            <w:tcW w:w="1488"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2017年销售规模5.06亿元；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2018年销售规模</w:t>
            </w:r>
            <w:r>
              <w:rPr>
                <w:rFonts w:eastAsia="宋体"/>
                <w:sz w:val="18"/>
                <w:szCs w:val="18"/>
                <w:highlight w:val="none"/>
              </w:rPr>
              <w:t>4.60</w:t>
            </w:r>
            <w:r>
              <w:rPr>
                <w:rFonts w:hint="eastAsia" w:eastAsia="宋体"/>
                <w:sz w:val="18"/>
                <w:szCs w:val="18"/>
                <w:highlight w:val="none"/>
              </w:rPr>
              <w:t>亿元；</w:t>
            </w:r>
          </w:p>
          <w:p>
            <w:pPr>
              <w:topLinePunct/>
              <w:adjustRightInd w:val="0"/>
              <w:snapToGrid w:val="0"/>
              <w:spacing w:line="240" w:lineRule="atLeast"/>
              <w:rPr>
                <w:rFonts w:eastAsia="宋体"/>
                <w:b/>
                <w:bCs/>
                <w:sz w:val="18"/>
                <w:szCs w:val="18"/>
                <w:highlight w:val="none"/>
              </w:rPr>
            </w:pPr>
            <w:r>
              <w:rPr>
                <w:rFonts w:eastAsia="宋体"/>
                <w:sz w:val="18"/>
                <w:szCs w:val="18"/>
                <w:highlight w:val="none"/>
              </w:rPr>
              <w:t>2019</w:t>
            </w:r>
            <w:r>
              <w:rPr>
                <w:rFonts w:hint="eastAsia" w:eastAsia="宋体"/>
                <w:sz w:val="18"/>
                <w:szCs w:val="18"/>
                <w:highlight w:val="none"/>
              </w:rPr>
              <w:t>年销售规模</w:t>
            </w:r>
            <w:r>
              <w:rPr>
                <w:rFonts w:eastAsia="宋体"/>
                <w:sz w:val="18"/>
                <w:szCs w:val="18"/>
                <w:highlight w:val="none"/>
              </w:rPr>
              <w:t>6.39</w:t>
            </w:r>
            <w:r>
              <w:rPr>
                <w:rFonts w:hint="eastAsia" w:eastAsia="宋体"/>
                <w:sz w:val="18"/>
                <w:szCs w:val="18"/>
                <w:highlight w:val="none"/>
              </w:rPr>
              <w:t>亿元。</w:t>
            </w:r>
          </w:p>
        </w:tc>
      </w:tr>
    </w:tbl>
    <w:p>
      <w:pPr>
        <w:pStyle w:val="25"/>
        <w:adjustRightInd w:val="0"/>
        <w:snapToGrid w:val="0"/>
        <w:spacing w:before="289" w:beforeLines="50"/>
        <w:ind w:firstLine="472"/>
        <w:rPr>
          <w:rFonts w:cs="Times New Roman"/>
          <w:bCs/>
          <w:highlight w:val="none"/>
        </w:rPr>
      </w:pPr>
      <w:r>
        <w:rPr>
          <w:rFonts w:hint="eastAsia" w:cs="Times New Roman"/>
          <w:bCs/>
          <w:highlight w:val="none"/>
        </w:rPr>
        <w:t>报告期内，上述客户的销售数量及销售金额与客户业务规模情况如下表所示：</w:t>
      </w:r>
    </w:p>
    <w:tbl>
      <w:tblPr>
        <w:tblStyle w:val="13"/>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7" w:type="dxa"/>
          <w:bottom w:w="0" w:type="dxa"/>
          <w:right w:w="17" w:type="dxa"/>
        </w:tblCellMar>
      </w:tblPr>
      <w:tblGrid>
        <w:gridCol w:w="551"/>
        <w:gridCol w:w="1559"/>
        <w:gridCol w:w="3892"/>
        <w:gridCol w:w="2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551" w:type="dxa"/>
            <w:vAlign w:val="center"/>
          </w:tcPr>
          <w:p>
            <w:pPr>
              <w:topLinePunct/>
              <w:adjustRightInd w:val="0"/>
              <w:snapToGrid w:val="0"/>
              <w:spacing w:line="240" w:lineRule="atLeast"/>
              <w:jc w:val="center"/>
              <w:rPr>
                <w:rFonts w:eastAsia="宋体"/>
                <w:b/>
                <w:bCs/>
                <w:sz w:val="18"/>
                <w:szCs w:val="18"/>
                <w:highlight w:val="none"/>
              </w:rPr>
            </w:pPr>
            <w:r>
              <w:rPr>
                <w:rFonts w:hint="eastAsia" w:eastAsia="宋体"/>
                <w:b/>
                <w:bCs/>
                <w:sz w:val="18"/>
                <w:szCs w:val="18"/>
                <w:highlight w:val="none"/>
              </w:rPr>
              <w:t>序号</w:t>
            </w:r>
          </w:p>
        </w:tc>
        <w:tc>
          <w:tcPr>
            <w:tcW w:w="1559" w:type="dxa"/>
            <w:vAlign w:val="center"/>
          </w:tcPr>
          <w:p>
            <w:pPr>
              <w:topLinePunct/>
              <w:adjustRightInd w:val="0"/>
              <w:snapToGrid w:val="0"/>
              <w:spacing w:line="240" w:lineRule="atLeast"/>
              <w:jc w:val="center"/>
              <w:rPr>
                <w:rFonts w:eastAsia="宋体"/>
                <w:b/>
                <w:bCs/>
                <w:sz w:val="18"/>
                <w:szCs w:val="18"/>
                <w:highlight w:val="none"/>
              </w:rPr>
            </w:pPr>
            <w:r>
              <w:rPr>
                <w:rFonts w:hint="eastAsia" w:eastAsia="宋体"/>
                <w:b/>
                <w:bCs/>
                <w:sz w:val="18"/>
                <w:szCs w:val="18"/>
                <w:highlight w:val="none"/>
              </w:rPr>
              <w:t>客户名称</w:t>
            </w:r>
          </w:p>
        </w:tc>
        <w:tc>
          <w:tcPr>
            <w:tcW w:w="3892" w:type="dxa"/>
            <w:vAlign w:val="center"/>
          </w:tcPr>
          <w:p>
            <w:pPr>
              <w:topLinePunct/>
              <w:adjustRightInd w:val="0"/>
              <w:snapToGrid w:val="0"/>
              <w:spacing w:line="240" w:lineRule="atLeast"/>
              <w:jc w:val="center"/>
              <w:rPr>
                <w:rFonts w:eastAsia="宋体"/>
                <w:b/>
                <w:bCs/>
                <w:sz w:val="18"/>
                <w:szCs w:val="18"/>
                <w:highlight w:val="none"/>
              </w:rPr>
            </w:pPr>
            <w:r>
              <w:rPr>
                <w:rFonts w:hint="eastAsia" w:eastAsia="宋体"/>
                <w:b/>
                <w:bCs/>
                <w:sz w:val="18"/>
                <w:szCs w:val="18"/>
                <w:highlight w:val="none"/>
              </w:rPr>
              <w:t>公司向客户销售数量与金额</w:t>
            </w:r>
          </w:p>
        </w:tc>
        <w:tc>
          <w:tcPr>
            <w:tcW w:w="2526" w:type="dxa"/>
            <w:vAlign w:val="center"/>
          </w:tcPr>
          <w:p>
            <w:pPr>
              <w:topLinePunct/>
              <w:adjustRightInd w:val="0"/>
              <w:snapToGrid w:val="0"/>
              <w:spacing w:line="240" w:lineRule="atLeast"/>
              <w:jc w:val="center"/>
              <w:rPr>
                <w:rFonts w:eastAsia="宋体"/>
                <w:b/>
                <w:bCs/>
                <w:sz w:val="18"/>
                <w:szCs w:val="18"/>
                <w:highlight w:val="none"/>
              </w:rPr>
            </w:pPr>
            <w:r>
              <w:rPr>
                <w:rFonts w:hint="eastAsia" w:eastAsia="宋体"/>
                <w:b/>
                <w:bCs/>
                <w:sz w:val="18"/>
                <w:szCs w:val="18"/>
                <w:highlight w:val="none"/>
              </w:rPr>
              <w:t>客户业务规模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51" w:type="dxa"/>
            <w:vAlign w:val="center"/>
          </w:tcPr>
          <w:p>
            <w:pPr>
              <w:topLinePunct/>
              <w:adjustRightInd w:val="0"/>
              <w:snapToGrid w:val="0"/>
              <w:spacing w:line="240" w:lineRule="atLeast"/>
              <w:jc w:val="center"/>
              <w:rPr>
                <w:rFonts w:eastAsia="宋体"/>
                <w:sz w:val="18"/>
                <w:szCs w:val="18"/>
                <w:highlight w:val="none"/>
              </w:rPr>
            </w:pPr>
            <w:r>
              <w:rPr>
                <w:rFonts w:hint="eastAsia" w:eastAsia="宋体"/>
                <w:sz w:val="18"/>
                <w:szCs w:val="18"/>
                <w:highlight w:val="none"/>
              </w:rPr>
              <w:t>1</w:t>
            </w:r>
          </w:p>
        </w:tc>
        <w:tc>
          <w:tcPr>
            <w:tcW w:w="1559"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广东瑞德智能科技股份有限公司</w:t>
            </w:r>
          </w:p>
        </w:tc>
        <w:tc>
          <w:tcPr>
            <w:tcW w:w="3892"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2</w:t>
            </w:r>
            <w:r>
              <w:rPr>
                <w:rFonts w:eastAsia="宋体"/>
                <w:sz w:val="18"/>
                <w:szCs w:val="18"/>
                <w:highlight w:val="none"/>
              </w:rPr>
              <w:t>017</w:t>
            </w:r>
            <w:r>
              <w:rPr>
                <w:rFonts w:hint="eastAsia" w:eastAsia="宋体"/>
                <w:sz w:val="18"/>
                <w:szCs w:val="18"/>
                <w:highlight w:val="none"/>
              </w:rPr>
              <w:t>年销量1,</w:t>
            </w:r>
            <w:r>
              <w:rPr>
                <w:rFonts w:eastAsia="宋体"/>
                <w:sz w:val="18"/>
                <w:szCs w:val="18"/>
                <w:highlight w:val="none"/>
              </w:rPr>
              <w:t>030.90</w:t>
            </w:r>
            <w:r>
              <w:rPr>
                <w:rFonts w:hint="eastAsia" w:eastAsia="宋体"/>
                <w:sz w:val="18"/>
                <w:szCs w:val="18"/>
                <w:highlight w:val="none"/>
              </w:rPr>
              <w:t>万颗，销售额7</w:t>
            </w:r>
            <w:r>
              <w:rPr>
                <w:rFonts w:eastAsia="宋体"/>
                <w:sz w:val="18"/>
                <w:szCs w:val="18"/>
                <w:highlight w:val="none"/>
              </w:rPr>
              <w:t>99.31</w:t>
            </w:r>
            <w:r>
              <w:rPr>
                <w:rFonts w:hint="eastAsia" w:eastAsia="宋体"/>
                <w:sz w:val="18"/>
                <w:szCs w:val="18"/>
                <w:highlight w:val="none"/>
              </w:rPr>
              <w:t>万元；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w:t>
            </w:r>
            <w:r>
              <w:rPr>
                <w:rFonts w:eastAsia="宋体"/>
                <w:sz w:val="18"/>
                <w:szCs w:val="18"/>
                <w:highlight w:val="none"/>
              </w:rPr>
              <w:t>018</w:t>
            </w:r>
            <w:r>
              <w:rPr>
                <w:rFonts w:hint="eastAsia" w:eastAsia="宋体"/>
                <w:sz w:val="18"/>
                <w:szCs w:val="18"/>
                <w:highlight w:val="none"/>
              </w:rPr>
              <w:t>年销量</w:t>
            </w:r>
            <w:r>
              <w:rPr>
                <w:rFonts w:eastAsia="宋体"/>
                <w:sz w:val="18"/>
                <w:szCs w:val="18"/>
                <w:highlight w:val="none"/>
              </w:rPr>
              <w:t>1,719.20</w:t>
            </w:r>
            <w:r>
              <w:rPr>
                <w:rFonts w:hint="eastAsia" w:eastAsia="宋体"/>
                <w:sz w:val="18"/>
                <w:szCs w:val="18"/>
                <w:highlight w:val="none"/>
              </w:rPr>
              <w:t>万颗，销售额</w:t>
            </w:r>
            <w:r>
              <w:rPr>
                <w:rFonts w:eastAsia="宋体"/>
                <w:sz w:val="18"/>
                <w:szCs w:val="18"/>
                <w:highlight w:val="none"/>
              </w:rPr>
              <w:t>1,393.67</w:t>
            </w:r>
            <w:r>
              <w:rPr>
                <w:rFonts w:hint="eastAsia" w:eastAsia="宋体"/>
                <w:sz w:val="18"/>
                <w:szCs w:val="18"/>
                <w:highlight w:val="none"/>
              </w:rPr>
              <w:t>万元；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w:t>
            </w:r>
            <w:r>
              <w:rPr>
                <w:rFonts w:eastAsia="宋体"/>
                <w:sz w:val="18"/>
                <w:szCs w:val="18"/>
                <w:highlight w:val="none"/>
              </w:rPr>
              <w:t>019</w:t>
            </w:r>
            <w:r>
              <w:rPr>
                <w:rFonts w:hint="eastAsia" w:eastAsia="宋体"/>
                <w:sz w:val="18"/>
                <w:szCs w:val="18"/>
                <w:highlight w:val="none"/>
              </w:rPr>
              <w:t>年销量</w:t>
            </w:r>
            <w:r>
              <w:rPr>
                <w:rFonts w:eastAsia="宋体"/>
                <w:sz w:val="18"/>
                <w:szCs w:val="18"/>
                <w:highlight w:val="none"/>
              </w:rPr>
              <w:t>1,846.07</w:t>
            </w:r>
            <w:r>
              <w:rPr>
                <w:rFonts w:hint="eastAsia" w:eastAsia="宋体"/>
                <w:sz w:val="18"/>
                <w:szCs w:val="18"/>
                <w:highlight w:val="none"/>
              </w:rPr>
              <w:t>万颗，销售额</w:t>
            </w:r>
            <w:r>
              <w:rPr>
                <w:rFonts w:eastAsia="宋体"/>
                <w:sz w:val="18"/>
                <w:szCs w:val="18"/>
                <w:highlight w:val="none"/>
              </w:rPr>
              <w:t>1,475.18</w:t>
            </w:r>
            <w:r>
              <w:rPr>
                <w:rFonts w:hint="eastAsia" w:eastAsia="宋体"/>
                <w:sz w:val="18"/>
                <w:szCs w:val="18"/>
                <w:highlight w:val="none"/>
              </w:rPr>
              <w:t>万元。</w:t>
            </w:r>
          </w:p>
        </w:tc>
        <w:tc>
          <w:tcPr>
            <w:tcW w:w="2526"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2017年销售规模约为6.5-7亿；</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2018年销售规模约为8-8.5亿；</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2019年销售规模约为9-9.5亿元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51" w:type="dxa"/>
            <w:vAlign w:val="center"/>
          </w:tcPr>
          <w:p>
            <w:pPr>
              <w:topLinePunct/>
              <w:adjustRightInd w:val="0"/>
              <w:snapToGrid w:val="0"/>
              <w:spacing w:line="240" w:lineRule="atLeast"/>
              <w:jc w:val="center"/>
              <w:rPr>
                <w:rFonts w:eastAsia="宋体"/>
                <w:sz w:val="18"/>
                <w:szCs w:val="18"/>
                <w:highlight w:val="none"/>
              </w:rPr>
            </w:pPr>
            <w:r>
              <w:rPr>
                <w:rFonts w:hint="eastAsia" w:eastAsia="宋体"/>
                <w:sz w:val="18"/>
                <w:szCs w:val="18"/>
                <w:highlight w:val="none"/>
              </w:rPr>
              <w:t>2</w:t>
            </w:r>
          </w:p>
        </w:tc>
        <w:tc>
          <w:tcPr>
            <w:tcW w:w="1559"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深圳市锐钜科技有限公司</w:t>
            </w:r>
          </w:p>
        </w:tc>
        <w:tc>
          <w:tcPr>
            <w:tcW w:w="3892"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2</w:t>
            </w:r>
            <w:r>
              <w:rPr>
                <w:rFonts w:eastAsia="宋体"/>
                <w:sz w:val="18"/>
                <w:szCs w:val="18"/>
                <w:highlight w:val="none"/>
              </w:rPr>
              <w:t>017</w:t>
            </w:r>
            <w:r>
              <w:rPr>
                <w:rFonts w:hint="eastAsia" w:eastAsia="宋体"/>
                <w:sz w:val="18"/>
                <w:szCs w:val="18"/>
                <w:highlight w:val="none"/>
              </w:rPr>
              <w:t>年销量5</w:t>
            </w:r>
            <w:r>
              <w:rPr>
                <w:rFonts w:eastAsia="宋体"/>
                <w:sz w:val="18"/>
                <w:szCs w:val="18"/>
                <w:highlight w:val="none"/>
              </w:rPr>
              <w:t>46.36</w:t>
            </w:r>
            <w:r>
              <w:rPr>
                <w:rFonts w:hint="eastAsia" w:eastAsia="宋体"/>
                <w:sz w:val="18"/>
                <w:szCs w:val="18"/>
                <w:highlight w:val="none"/>
              </w:rPr>
              <w:t>万颗，销售额</w:t>
            </w:r>
            <w:r>
              <w:rPr>
                <w:rFonts w:eastAsia="宋体"/>
                <w:sz w:val="18"/>
                <w:szCs w:val="18"/>
                <w:highlight w:val="none"/>
              </w:rPr>
              <w:t>584.92</w:t>
            </w:r>
            <w:r>
              <w:rPr>
                <w:rFonts w:hint="eastAsia" w:eastAsia="宋体"/>
                <w:sz w:val="18"/>
                <w:szCs w:val="18"/>
                <w:highlight w:val="none"/>
              </w:rPr>
              <w:t>万元；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w:t>
            </w:r>
            <w:r>
              <w:rPr>
                <w:rFonts w:eastAsia="宋体"/>
                <w:sz w:val="18"/>
                <w:szCs w:val="18"/>
                <w:highlight w:val="none"/>
              </w:rPr>
              <w:t>018</w:t>
            </w:r>
            <w:r>
              <w:rPr>
                <w:rFonts w:hint="eastAsia" w:eastAsia="宋体"/>
                <w:sz w:val="18"/>
                <w:szCs w:val="18"/>
                <w:highlight w:val="none"/>
              </w:rPr>
              <w:t>年销量</w:t>
            </w:r>
            <w:r>
              <w:rPr>
                <w:rFonts w:eastAsia="宋体"/>
                <w:sz w:val="18"/>
                <w:szCs w:val="18"/>
                <w:highlight w:val="none"/>
              </w:rPr>
              <w:t>495.16</w:t>
            </w:r>
            <w:r>
              <w:rPr>
                <w:rFonts w:hint="eastAsia" w:eastAsia="宋体"/>
                <w:sz w:val="18"/>
                <w:szCs w:val="18"/>
                <w:highlight w:val="none"/>
              </w:rPr>
              <w:t>万颗，销售额</w:t>
            </w:r>
            <w:r>
              <w:rPr>
                <w:rFonts w:eastAsia="宋体"/>
                <w:sz w:val="18"/>
                <w:szCs w:val="18"/>
                <w:highlight w:val="none"/>
              </w:rPr>
              <w:t>558.06</w:t>
            </w:r>
            <w:r>
              <w:rPr>
                <w:rFonts w:hint="eastAsia" w:eastAsia="宋体"/>
                <w:sz w:val="18"/>
                <w:szCs w:val="18"/>
                <w:highlight w:val="none"/>
              </w:rPr>
              <w:t>万元；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w:t>
            </w:r>
            <w:r>
              <w:rPr>
                <w:rFonts w:eastAsia="宋体"/>
                <w:sz w:val="18"/>
                <w:szCs w:val="18"/>
                <w:highlight w:val="none"/>
              </w:rPr>
              <w:t>019</w:t>
            </w:r>
            <w:r>
              <w:rPr>
                <w:rFonts w:hint="eastAsia" w:eastAsia="宋体"/>
                <w:sz w:val="18"/>
                <w:szCs w:val="18"/>
                <w:highlight w:val="none"/>
              </w:rPr>
              <w:t>年销量2</w:t>
            </w:r>
            <w:r>
              <w:rPr>
                <w:rFonts w:eastAsia="宋体"/>
                <w:sz w:val="18"/>
                <w:szCs w:val="18"/>
                <w:highlight w:val="none"/>
              </w:rPr>
              <w:t>93.27</w:t>
            </w:r>
            <w:r>
              <w:rPr>
                <w:rFonts w:hint="eastAsia" w:eastAsia="宋体"/>
                <w:sz w:val="18"/>
                <w:szCs w:val="18"/>
                <w:highlight w:val="none"/>
              </w:rPr>
              <w:t>万颗，销售额3</w:t>
            </w:r>
            <w:r>
              <w:rPr>
                <w:rFonts w:eastAsia="宋体"/>
                <w:sz w:val="18"/>
                <w:szCs w:val="18"/>
                <w:highlight w:val="none"/>
              </w:rPr>
              <w:t>21.40</w:t>
            </w:r>
            <w:r>
              <w:rPr>
                <w:rFonts w:hint="eastAsia" w:eastAsia="宋体"/>
                <w:sz w:val="18"/>
                <w:szCs w:val="18"/>
                <w:highlight w:val="none"/>
              </w:rPr>
              <w:t>万元。</w:t>
            </w:r>
          </w:p>
        </w:tc>
        <w:tc>
          <w:tcPr>
            <w:tcW w:w="2526"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2017年销售规模3.03亿元；</w:t>
            </w:r>
          </w:p>
          <w:p>
            <w:pPr>
              <w:topLinePunct/>
              <w:adjustRightInd w:val="0"/>
              <w:snapToGrid w:val="0"/>
              <w:spacing w:line="240" w:lineRule="atLeast"/>
              <w:rPr>
                <w:rFonts w:eastAsia="宋体"/>
                <w:sz w:val="18"/>
                <w:szCs w:val="18"/>
                <w:highlight w:val="none"/>
              </w:rPr>
            </w:pPr>
            <w:r>
              <w:rPr>
                <w:rFonts w:eastAsia="宋体"/>
                <w:sz w:val="18"/>
                <w:szCs w:val="18"/>
                <w:highlight w:val="none"/>
              </w:rPr>
              <w:t>2018</w:t>
            </w:r>
            <w:r>
              <w:rPr>
                <w:rFonts w:hint="eastAsia" w:eastAsia="宋体"/>
                <w:sz w:val="18"/>
                <w:szCs w:val="18"/>
                <w:highlight w:val="none"/>
              </w:rPr>
              <w:t>年销售规模2.97亿元；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w:t>
            </w:r>
            <w:r>
              <w:rPr>
                <w:rFonts w:eastAsia="宋体"/>
                <w:sz w:val="18"/>
                <w:szCs w:val="18"/>
                <w:highlight w:val="none"/>
              </w:rPr>
              <w:t>9</w:t>
            </w:r>
            <w:r>
              <w:rPr>
                <w:rFonts w:hint="eastAsia" w:eastAsia="宋体"/>
                <w:sz w:val="18"/>
                <w:szCs w:val="18"/>
                <w:highlight w:val="none"/>
              </w:rPr>
              <w:t>年销售规模3.00亿元；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51" w:type="dxa"/>
            <w:vAlign w:val="center"/>
          </w:tcPr>
          <w:p>
            <w:pPr>
              <w:topLinePunct/>
              <w:adjustRightInd w:val="0"/>
              <w:snapToGrid w:val="0"/>
              <w:spacing w:line="240" w:lineRule="atLeast"/>
              <w:jc w:val="center"/>
              <w:rPr>
                <w:rFonts w:eastAsia="宋体"/>
                <w:sz w:val="18"/>
                <w:szCs w:val="18"/>
                <w:highlight w:val="none"/>
              </w:rPr>
            </w:pPr>
            <w:r>
              <w:rPr>
                <w:rFonts w:hint="eastAsia" w:eastAsia="宋体"/>
                <w:sz w:val="18"/>
                <w:szCs w:val="18"/>
                <w:highlight w:val="none"/>
              </w:rPr>
              <w:t>3</w:t>
            </w:r>
          </w:p>
        </w:tc>
        <w:tc>
          <w:tcPr>
            <w:tcW w:w="1559"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武汉盛帆电子股份有限公司</w:t>
            </w:r>
          </w:p>
        </w:tc>
        <w:tc>
          <w:tcPr>
            <w:tcW w:w="3892"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2</w:t>
            </w:r>
            <w:r>
              <w:rPr>
                <w:rFonts w:eastAsia="宋体"/>
                <w:sz w:val="18"/>
                <w:szCs w:val="18"/>
                <w:highlight w:val="none"/>
              </w:rPr>
              <w:t>017</w:t>
            </w:r>
            <w:r>
              <w:rPr>
                <w:rFonts w:hint="eastAsia" w:eastAsia="宋体"/>
                <w:sz w:val="18"/>
                <w:szCs w:val="18"/>
                <w:highlight w:val="none"/>
              </w:rPr>
              <w:t>年销量</w:t>
            </w:r>
            <w:r>
              <w:rPr>
                <w:rFonts w:eastAsia="宋体"/>
                <w:sz w:val="18"/>
                <w:szCs w:val="18"/>
                <w:highlight w:val="none"/>
              </w:rPr>
              <w:t>269.13</w:t>
            </w:r>
            <w:r>
              <w:rPr>
                <w:rFonts w:hint="eastAsia" w:eastAsia="宋体"/>
                <w:sz w:val="18"/>
                <w:szCs w:val="18"/>
                <w:highlight w:val="none"/>
              </w:rPr>
              <w:t>万颗，销售额</w:t>
            </w:r>
            <w:r>
              <w:rPr>
                <w:rFonts w:eastAsia="宋体"/>
                <w:sz w:val="18"/>
                <w:szCs w:val="18"/>
                <w:highlight w:val="none"/>
              </w:rPr>
              <w:t>1,512.86</w:t>
            </w:r>
            <w:r>
              <w:rPr>
                <w:rFonts w:hint="eastAsia" w:eastAsia="宋体"/>
                <w:sz w:val="18"/>
                <w:szCs w:val="18"/>
                <w:highlight w:val="none"/>
              </w:rPr>
              <w:t>万元；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w:t>
            </w:r>
            <w:r>
              <w:rPr>
                <w:rFonts w:eastAsia="宋体"/>
                <w:sz w:val="18"/>
                <w:szCs w:val="18"/>
                <w:highlight w:val="none"/>
              </w:rPr>
              <w:t>018</w:t>
            </w:r>
            <w:r>
              <w:rPr>
                <w:rFonts w:hint="eastAsia" w:eastAsia="宋体"/>
                <w:sz w:val="18"/>
                <w:szCs w:val="18"/>
                <w:highlight w:val="none"/>
              </w:rPr>
              <w:t>年销量</w:t>
            </w:r>
            <w:r>
              <w:rPr>
                <w:rFonts w:eastAsia="宋体"/>
                <w:sz w:val="18"/>
                <w:szCs w:val="18"/>
                <w:highlight w:val="none"/>
              </w:rPr>
              <w:t>169.62</w:t>
            </w:r>
            <w:r>
              <w:rPr>
                <w:rFonts w:hint="eastAsia" w:eastAsia="宋体"/>
                <w:sz w:val="18"/>
                <w:szCs w:val="18"/>
                <w:highlight w:val="none"/>
              </w:rPr>
              <w:t>万颗，销售额</w:t>
            </w:r>
            <w:r>
              <w:rPr>
                <w:rFonts w:eastAsia="宋体"/>
                <w:sz w:val="18"/>
                <w:szCs w:val="18"/>
                <w:highlight w:val="none"/>
              </w:rPr>
              <w:t>1,097.48</w:t>
            </w:r>
            <w:r>
              <w:rPr>
                <w:rFonts w:hint="eastAsia" w:eastAsia="宋体"/>
                <w:sz w:val="18"/>
                <w:szCs w:val="18"/>
                <w:highlight w:val="none"/>
              </w:rPr>
              <w:t>万元；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w:t>
            </w:r>
            <w:r>
              <w:rPr>
                <w:rFonts w:eastAsia="宋体"/>
                <w:sz w:val="18"/>
                <w:szCs w:val="18"/>
                <w:highlight w:val="none"/>
              </w:rPr>
              <w:t>019</w:t>
            </w:r>
            <w:r>
              <w:rPr>
                <w:rFonts w:hint="eastAsia" w:eastAsia="宋体"/>
                <w:sz w:val="18"/>
                <w:szCs w:val="18"/>
                <w:highlight w:val="none"/>
              </w:rPr>
              <w:t>年销量</w:t>
            </w:r>
            <w:r>
              <w:rPr>
                <w:rFonts w:eastAsia="宋体"/>
                <w:sz w:val="18"/>
                <w:szCs w:val="18"/>
                <w:highlight w:val="none"/>
              </w:rPr>
              <w:t>453.79</w:t>
            </w:r>
            <w:r>
              <w:rPr>
                <w:rFonts w:hint="eastAsia" w:eastAsia="宋体"/>
                <w:sz w:val="18"/>
                <w:szCs w:val="18"/>
                <w:highlight w:val="none"/>
              </w:rPr>
              <w:t>万颗，销售额</w:t>
            </w:r>
            <w:r>
              <w:rPr>
                <w:rFonts w:eastAsia="宋体"/>
                <w:sz w:val="18"/>
                <w:szCs w:val="18"/>
                <w:highlight w:val="none"/>
              </w:rPr>
              <w:t>3,021.06</w:t>
            </w:r>
            <w:r>
              <w:rPr>
                <w:rFonts w:hint="eastAsia" w:eastAsia="宋体"/>
                <w:sz w:val="18"/>
                <w:szCs w:val="18"/>
                <w:highlight w:val="none"/>
              </w:rPr>
              <w:t>万元。</w:t>
            </w:r>
          </w:p>
        </w:tc>
        <w:tc>
          <w:tcPr>
            <w:tcW w:w="2526" w:type="dxa"/>
            <w:vAlign w:val="center"/>
          </w:tcPr>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2017年销售规模5.06亿元；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2018年销售规模4.60亿元；</w:t>
            </w:r>
          </w:p>
          <w:p>
            <w:pPr>
              <w:topLinePunct/>
              <w:adjustRightInd w:val="0"/>
              <w:snapToGrid w:val="0"/>
              <w:spacing w:line="240" w:lineRule="atLeast"/>
              <w:rPr>
                <w:rFonts w:eastAsia="宋体"/>
                <w:sz w:val="18"/>
                <w:szCs w:val="18"/>
                <w:highlight w:val="none"/>
              </w:rPr>
            </w:pPr>
            <w:r>
              <w:rPr>
                <w:rFonts w:hint="eastAsia" w:eastAsia="宋体"/>
                <w:sz w:val="18"/>
                <w:szCs w:val="18"/>
                <w:highlight w:val="none"/>
              </w:rPr>
              <w:t>2019年销售规模6.39亿元。</w:t>
            </w:r>
          </w:p>
        </w:tc>
      </w:tr>
    </w:tbl>
    <w:p>
      <w:pPr>
        <w:pStyle w:val="25"/>
        <w:adjustRightInd w:val="0"/>
        <w:snapToGrid w:val="0"/>
        <w:spacing w:before="289" w:beforeLines="50"/>
        <w:ind w:firstLine="472"/>
        <w:rPr>
          <w:rFonts w:cs="Times New Roman"/>
          <w:bCs/>
          <w:highlight w:val="none"/>
        </w:rPr>
      </w:pPr>
      <w:r>
        <w:rPr>
          <w:rFonts w:hint="eastAsia" w:cs="Times New Roman"/>
          <w:bCs/>
          <w:highlight w:val="none"/>
        </w:rPr>
        <w:t>由上表可见，公司客户广东瑞德智能科技股份有限公司业务规模在6.5亿至9.5亿，深圳市锐钜科技有限公司业务规模在3亿元左右，武汉盛帆电子股份有限公司业务规模在4.6亿至6.4亿，公司上述客户业务规模较大，远大于</w:t>
      </w:r>
      <w:r>
        <w:rPr>
          <w:rFonts w:cs="Times New Roman"/>
          <w:bCs/>
          <w:highlight w:val="none"/>
        </w:rPr>
        <w:t>其</w:t>
      </w:r>
      <w:r>
        <w:rPr>
          <w:rFonts w:hint="eastAsia" w:cs="Times New Roman"/>
          <w:bCs/>
          <w:highlight w:val="none"/>
        </w:rPr>
        <w:t>向</w:t>
      </w:r>
      <w:r>
        <w:rPr>
          <w:rFonts w:cs="Times New Roman"/>
          <w:bCs/>
          <w:highlight w:val="none"/>
        </w:rPr>
        <w:t>公司</w:t>
      </w:r>
      <w:r>
        <w:rPr>
          <w:rFonts w:hint="eastAsia" w:cs="Times New Roman"/>
          <w:bCs/>
          <w:highlight w:val="none"/>
        </w:rPr>
        <w:t>的采购</w:t>
      </w:r>
      <w:r>
        <w:rPr>
          <w:rFonts w:cs="Times New Roman"/>
          <w:bCs/>
          <w:highlight w:val="none"/>
        </w:rPr>
        <w:t>规模</w:t>
      </w:r>
      <w:r>
        <w:rPr>
          <w:rFonts w:hint="eastAsia" w:cs="Times New Roman"/>
          <w:bCs/>
          <w:highlight w:val="none"/>
        </w:rPr>
        <w:t>，其业务规模与其</w:t>
      </w:r>
      <w:r>
        <w:rPr>
          <w:rFonts w:cs="Times New Roman"/>
          <w:bCs/>
          <w:highlight w:val="none"/>
        </w:rPr>
        <w:t>向</w:t>
      </w:r>
      <w:r>
        <w:rPr>
          <w:rFonts w:hint="eastAsia" w:cs="Times New Roman"/>
          <w:bCs/>
          <w:highlight w:val="none"/>
        </w:rPr>
        <w:t>发行人的采购数量和</w:t>
      </w:r>
      <w:r>
        <w:rPr>
          <w:rFonts w:cs="Times New Roman"/>
          <w:bCs/>
          <w:highlight w:val="none"/>
        </w:rPr>
        <w:t>采购金额</w:t>
      </w:r>
      <w:r>
        <w:rPr>
          <w:rFonts w:hint="eastAsia" w:cs="Times New Roman"/>
          <w:bCs/>
          <w:highlight w:val="none"/>
        </w:rPr>
        <w:t>相匹配。</w:t>
      </w:r>
    </w:p>
    <w:p>
      <w:pPr>
        <w:topLinePunct/>
        <w:adjustRightInd w:val="0"/>
        <w:snapToGrid w:val="0"/>
        <w:spacing w:line="560" w:lineRule="exact"/>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（三）请保荐机构核查并发表意见。</w:t>
      </w:r>
    </w:p>
    <w:p>
      <w:pPr>
        <w:topLinePunct/>
        <w:adjustRightInd w:val="0"/>
        <w:snapToGrid w:val="0"/>
        <w:spacing w:line="560" w:lineRule="exact"/>
        <w:ind w:firstLine="472" w:firstLineChars="200"/>
        <w:rPr>
          <w:rFonts w:eastAsia="宋体"/>
          <w:b/>
          <w:bCs/>
          <w:sz w:val="24"/>
          <w:highlight w:val="none"/>
        </w:rPr>
      </w:pPr>
      <w:r>
        <w:rPr>
          <w:rFonts w:eastAsia="宋体"/>
          <w:b/>
          <w:bCs/>
          <w:sz w:val="24"/>
          <w:highlight w:val="none"/>
        </w:rPr>
        <w:t>1</w:t>
      </w:r>
      <w:r>
        <w:rPr>
          <w:rFonts w:hint="eastAsia" w:eastAsia="宋体"/>
          <w:b/>
          <w:bCs/>
          <w:sz w:val="24"/>
          <w:highlight w:val="none"/>
        </w:rPr>
        <w:t>、核查程序</w:t>
      </w:r>
    </w:p>
    <w:p>
      <w:pPr>
        <w:pStyle w:val="25"/>
        <w:adjustRightInd w:val="0"/>
        <w:snapToGrid w:val="0"/>
        <w:ind w:firstLine="472"/>
        <w:rPr>
          <w:rFonts w:cs="Times New Roman"/>
          <w:bCs/>
          <w:highlight w:val="none"/>
        </w:rPr>
      </w:pPr>
      <w:r>
        <w:rPr>
          <w:rFonts w:hint="eastAsia" w:cs="Times New Roman"/>
          <w:bCs/>
          <w:highlight w:val="none"/>
        </w:rPr>
        <w:t>就上述客户的情况，保荐机构采取以下核查措施：</w:t>
      </w:r>
    </w:p>
    <w:p>
      <w:pPr>
        <w:pStyle w:val="25"/>
        <w:adjustRightInd w:val="0"/>
        <w:snapToGrid w:val="0"/>
        <w:ind w:firstLine="472"/>
        <w:rPr>
          <w:rFonts w:cs="Times New Roman"/>
          <w:bCs/>
          <w:highlight w:val="none"/>
        </w:rPr>
      </w:pPr>
      <w:r>
        <w:rPr>
          <w:rFonts w:hint="eastAsia" w:cs="Times New Roman"/>
          <w:bCs/>
          <w:highlight w:val="none"/>
        </w:rPr>
        <w:t>（1）访谈发行人管理层，了解发行人主要客户业务状况、经营规模等，了解发行人与客户之间是否存在关联关系或其他利益安排；</w:t>
      </w:r>
    </w:p>
    <w:p>
      <w:pPr>
        <w:pStyle w:val="25"/>
        <w:adjustRightInd w:val="0"/>
        <w:snapToGrid w:val="0"/>
        <w:ind w:firstLine="472"/>
        <w:rPr>
          <w:rFonts w:cs="Times New Roman"/>
          <w:bCs/>
          <w:highlight w:val="none"/>
        </w:rPr>
      </w:pPr>
      <w:r>
        <w:rPr>
          <w:rFonts w:hint="eastAsia" w:cs="Times New Roman"/>
          <w:bCs/>
          <w:highlight w:val="none"/>
        </w:rPr>
        <w:t>（2）访谈发行人主要客户，了解客户成立时间、股权状况、主营业务及业务规模等，了解客户与发行人之间是否存在关联关系或其他利益安排等，上述客户中，执行现场访谈情况如下表所示：</w:t>
      </w:r>
    </w:p>
    <w:tbl>
      <w:tblPr>
        <w:tblStyle w:val="12"/>
        <w:tblW w:w="85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784"/>
        <w:gridCol w:w="1539"/>
        <w:gridCol w:w="4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9" w:hRule="atLeast"/>
          <w:tblHeader/>
        </w:trPr>
        <w:tc>
          <w:tcPr>
            <w:tcW w:w="4920" w:type="dxa"/>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b/>
                <w:color w:val="000000"/>
                <w:sz w:val="21"/>
                <w:szCs w:val="21"/>
                <w:highlight w:val="none"/>
              </w:rPr>
            </w:pPr>
            <w:r>
              <w:rPr>
                <w:rFonts w:eastAsia="宋体"/>
                <w:b/>
                <w:color w:val="000000"/>
                <w:kern w:val="0"/>
                <w:sz w:val="21"/>
                <w:szCs w:val="21"/>
                <w:highlight w:val="none"/>
                <w:lang w:bidi="ar"/>
              </w:rPr>
              <w:t>客户名称</w:t>
            </w:r>
          </w:p>
        </w:tc>
        <w:tc>
          <w:tcPr>
            <w:tcW w:w="2712" w:type="dxa"/>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b/>
                <w:color w:val="000000"/>
                <w:sz w:val="21"/>
                <w:szCs w:val="21"/>
                <w:highlight w:val="none"/>
              </w:rPr>
            </w:pPr>
            <w:r>
              <w:rPr>
                <w:rFonts w:eastAsia="宋体"/>
                <w:b/>
                <w:color w:val="000000"/>
                <w:kern w:val="0"/>
                <w:sz w:val="21"/>
                <w:szCs w:val="21"/>
                <w:highlight w:val="none"/>
                <w:lang w:bidi="ar"/>
              </w:rPr>
              <w:t>访谈时间</w:t>
            </w:r>
          </w:p>
        </w:tc>
        <w:tc>
          <w:tcPr>
            <w:tcW w:w="6504" w:type="dxa"/>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b/>
                <w:color w:val="000000"/>
                <w:sz w:val="21"/>
                <w:szCs w:val="21"/>
                <w:highlight w:val="none"/>
              </w:rPr>
            </w:pPr>
            <w:r>
              <w:rPr>
                <w:rFonts w:eastAsia="宋体"/>
                <w:b/>
                <w:color w:val="000000"/>
                <w:kern w:val="0"/>
                <w:sz w:val="21"/>
                <w:szCs w:val="21"/>
                <w:highlight w:val="none"/>
                <w:lang w:bidi="ar"/>
              </w:rPr>
              <w:t>访谈地点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Sagemcom Energy &amp; Telecom SAS</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2019年1月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Sagemcom Energy &amp; Telecom SAS</w:t>
            </w:r>
            <w:r>
              <w:rPr>
                <w:rStyle w:val="31"/>
                <w:rFonts w:hint="default" w:ascii="Times New Roman" w:hAnsi="Times New Roman" w:cs="Times New Roman"/>
                <w:sz w:val="21"/>
                <w:szCs w:val="21"/>
                <w:highlight w:val="none"/>
                <w:lang w:bidi="ar"/>
              </w:rPr>
              <w:t>位于突尼斯的办公地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Diehl AKO Stiftung&amp;Co. KG</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w:t>
            </w:r>
            <w:r>
              <w:rPr>
                <w:rStyle w:val="31"/>
                <w:rFonts w:hint="default" w:ascii="Times New Roman" w:hAnsi="Times New Roman" w:cs="Times New Roman"/>
                <w:sz w:val="21"/>
                <w:szCs w:val="21"/>
                <w:highlight w:val="none"/>
                <w:lang w:bidi="ar"/>
              </w:rPr>
              <w:t>年</w:t>
            </w:r>
            <w:r>
              <w:rPr>
                <w:rStyle w:val="32"/>
                <w:rFonts w:eastAsia="宋体"/>
                <w:sz w:val="21"/>
                <w:szCs w:val="21"/>
                <w:highlight w:val="none"/>
                <w:lang w:bidi="ar"/>
              </w:rPr>
              <w:t>1</w:t>
            </w:r>
            <w:r>
              <w:rPr>
                <w:rStyle w:val="31"/>
                <w:rFonts w:hint="default" w:ascii="Times New Roman" w:hAnsi="Times New Roman" w:cs="Times New Roman"/>
                <w:sz w:val="21"/>
                <w:szCs w:val="21"/>
                <w:highlight w:val="none"/>
                <w:lang w:bidi="ar"/>
              </w:rPr>
              <w:t>月以及</w:t>
            </w:r>
            <w:r>
              <w:rPr>
                <w:rStyle w:val="32"/>
                <w:rFonts w:eastAsia="宋体"/>
                <w:sz w:val="21"/>
                <w:szCs w:val="21"/>
                <w:highlight w:val="none"/>
                <w:lang w:bidi="ar"/>
              </w:rPr>
              <w:t>2019</w:t>
            </w:r>
            <w:r>
              <w:rPr>
                <w:rStyle w:val="31"/>
                <w:rFonts w:hint="default" w:ascii="Times New Roman" w:hAnsi="Times New Roman" w:cs="Times New Roman"/>
                <w:sz w:val="21"/>
                <w:szCs w:val="21"/>
                <w:highlight w:val="none"/>
                <w:lang w:bidi="ar"/>
              </w:rPr>
              <w:t>年</w:t>
            </w:r>
            <w:r>
              <w:rPr>
                <w:rStyle w:val="32"/>
                <w:rFonts w:eastAsia="宋体"/>
                <w:sz w:val="21"/>
                <w:szCs w:val="21"/>
                <w:highlight w:val="none"/>
                <w:lang w:bidi="ar"/>
              </w:rPr>
              <w:t>3</w:t>
            </w:r>
            <w:r>
              <w:rPr>
                <w:rStyle w:val="31"/>
                <w:rFonts w:hint="default" w:ascii="Times New Roman" w:hAnsi="Times New Roman" w:cs="Times New Roman"/>
                <w:sz w:val="21"/>
                <w:szCs w:val="21"/>
                <w:highlight w:val="none"/>
                <w:lang w:bidi="ar"/>
              </w:rPr>
              <w:t>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Diehl</w:t>
            </w:r>
            <w:r>
              <w:rPr>
                <w:rStyle w:val="31"/>
                <w:rFonts w:hint="default" w:ascii="Times New Roman" w:hAnsi="Times New Roman" w:cs="Times New Roman"/>
                <w:sz w:val="21"/>
                <w:szCs w:val="21"/>
                <w:highlight w:val="none"/>
                <w:lang w:bidi="ar"/>
              </w:rPr>
              <w:t>位于德国旺根市的工厂（</w:t>
            </w:r>
            <w:r>
              <w:rPr>
                <w:rStyle w:val="32"/>
                <w:rFonts w:eastAsia="宋体"/>
                <w:sz w:val="21"/>
                <w:szCs w:val="21"/>
                <w:highlight w:val="none"/>
                <w:lang w:bidi="ar"/>
              </w:rPr>
              <w:t>2019</w:t>
            </w:r>
            <w:r>
              <w:rPr>
                <w:rStyle w:val="31"/>
                <w:rFonts w:hint="default" w:ascii="Times New Roman" w:hAnsi="Times New Roman" w:cs="Times New Roman"/>
                <w:sz w:val="21"/>
                <w:szCs w:val="21"/>
                <w:highlight w:val="none"/>
                <w:lang w:bidi="ar"/>
              </w:rPr>
              <w:t>年</w:t>
            </w:r>
            <w:r>
              <w:rPr>
                <w:rStyle w:val="32"/>
                <w:rFonts w:eastAsia="宋体"/>
                <w:sz w:val="21"/>
                <w:szCs w:val="21"/>
                <w:highlight w:val="none"/>
                <w:lang w:bidi="ar"/>
              </w:rPr>
              <w:t>1</w:t>
            </w:r>
            <w:r>
              <w:rPr>
                <w:rStyle w:val="31"/>
                <w:rFonts w:hint="default" w:ascii="Times New Roman" w:hAnsi="Times New Roman" w:cs="Times New Roman"/>
                <w:sz w:val="21"/>
                <w:szCs w:val="21"/>
                <w:highlight w:val="none"/>
                <w:lang w:bidi="ar"/>
              </w:rPr>
              <w:t>月）以及位于中国南京市的工厂（</w:t>
            </w:r>
            <w:r>
              <w:rPr>
                <w:rStyle w:val="32"/>
                <w:rFonts w:eastAsia="宋体"/>
                <w:sz w:val="21"/>
                <w:szCs w:val="21"/>
                <w:highlight w:val="none"/>
                <w:lang w:bidi="ar"/>
              </w:rPr>
              <w:t>2019</w:t>
            </w:r>
            <w:r>
              <w:rPr>
                <w:rStyle w:val="31"/>
                <w:rFonts w:hint="default" w:ascii="Times New Roman" w:hAnsi="Times New Roman" w:cs="Times New Roman"/>
                <w:sz w:val="21"/>
                <w:szCs w:val="21"/>
                <w:highlight w:val="none"/>
                <w:lang w:bidi="ar"/>
              </w:rPr>
              <w:t>年</w:t>
            </w:r>
            <w:r>
              <w:rPr>
                <w:rStyle w:val="32"/>
                <w:rFonts w:eastAsia="宋体"/>
                <w:sz w:val="21"/>
                <w:szCs w:val="21"/>
                <w:highlight w:val="none"/>
                <w:lang w:bidi="ar"/>
              </w:rPr>
              <w:t>3</w:t>
            </w:r>
            <w:r>
              <w:rPr>
                <w:rStyle w:val="31"/>
                <w:rFonts w:hint="default" w:ascii="Times New Roman" w:hAnsi="Times New Roman" w:cs="Times New Roman"/>
                <w:sz w:val="21"/>
                <w:szCs w:val="21"/>
                <w:highlight w:val="none"/>
                <w:lang w:bidi="ar"/>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E.G.O. Elektro-Geräte GmbH &amp; Co. Holding KG</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2019年1月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E.G.O</w:t>
            </w:r>
            <w:r>
              <w:rPr>
                <w:rStyle w:val="31"/>
                <w:rFonts w:hint="default" w:ascii="Times New Roman" w:hAnsi="Times New Roman" w:cs="Times New Roman"/>
                <w:sz w:val="21"/>
                <w:szCs w:val="21"/>
                <w:highlight w:val="none"/>
                <w:lang w:bidi="ar"/>
              </w:rPr>
              <w:t>位于西班牙巴塞罗那市的工厂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Robertshaw Controls Company</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2019年1月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Robertshaw</w:t>
            </w:r>
            <w:r>
              <w:rPr>
                <w:rStyle w:val="31"/>
                <w:rFonts w:hint="default" w:ascii="Times New Roman" w:hAnsi="Times New Roman" w:cs="Times New Roman"/>
                <w:sz w:val="21"/>
                <w:szCs w:val="21"/>
                <w:highlight w:val="none"/>
                <w:lang w:bidi="ar"/>
              </w:rPr>
              <w:t>位于美国芝加哥市的办公地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Panel Components srl</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2019年1月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Panel</w:t>
            </w:r>
            <w:r>
              <w:rPr>
                <w:rStyle w:val="31"/>
                <w:rFonts w:hint="default" w:ascii="Times New Roman" w:hAnsi="Times New Roman" w:cs="Times New Roman"/>
                <w:sz w:val="21"/>
                <w:szCs w:val="21"/>
                <w:highlight w:val="none"/>
                <w:lang w:bidi="ar"/>
              </w:rPr>
              <w:t>位于意大利米兰市的办公地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Genus Power Infrastructure Ltd</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2019年8月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Genus</w:t>
            </w:r>
            <w:r>
              <w:rPr>
                <w:rStyle w:val="31"/>
                <w:rFonts w:hint="default" w:ascii="Times New Roman" w:hAnsi="Times New Roman" w:cs="Times New Roman"/>
                <w:sz w:val="21"/>
                <w:szCs w:val="21"/>
                <w:highlight w:val="none"/>
                <w:lang w:bidi="ar"/>
              </w:rPr>
              <w:t>位于印度斋浦尔市的工厂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AQ Electronic s.r.o.</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2019年1月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AQ</w:t>
            </w:r>
            <w:r>
              <w:rPr>
                <w:rStyle w:val="31"/>
                <w:rFonts w:hint="default" w:ascii="Times New Roman" w:hAnsi="Times New Roman" w:cs="Times New Roman"/>
                <w:sz w:val="21"/>
                <w:szCs w:val="21"/>
                <w:highlight w:val="none"/>
                <w:lang w:bidi="ar"/>
              </w:rPr>
              <w:t>位于捷克共和国布尔诺市的办公地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Toshiba International Trading Shanghai Co., Ltd.</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2020年8月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上海市黄浦区西藏中路</w:t>
            </w:r>
            <w:r>
              <w:rPr>
                <w:rStyle w:val="32"/>
                <w:rFonts w:eastAsia="宋体"/>
                <w:sz w:val="21"/>
                <w:szCs w:val="21"/>
                <w:highlight w:val="none"/>
                <w:lang w:bidi="ar"/>
              </w:rPr>
              <w:t>268</w:t>
            </w:r>
            <w:r>
              <w:rPr>
                <w:rStyle w:val="31"/>
                <w:rFonts w:hint="default" w:ascii="Times New Roman" w:hAnsi="Times New Roman" w:cs="Times New Roman"/>
                <w:sz w:val="21"/>
                <w:szCs w:val="21"/>
                <w:highlight w:val="none"/>
                <w:lang w:bidi="ar"/>
              </w:rPr>
              <w:t>号来福士广场公司办公地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通威科技（香港）有限公司</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2019年5月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东莞市东城区东莞大道</w:t>
            </w:r>
            <w:r>
              <w:rPr>
                <w:rStyle w:val="32"/>
                <w:rFonts w:eastAsia="宋体"/>
                <w:sz w:val="21"/>
                <w:szCs w:val="21"/>
                <w:highlight w:val="none"/>
                <w:lang w:bidi="ar"/>
              </w:rPr>
              <w:t>19</w:t>
            </w:r>
            <w:r>
              <w:rPr>
                <w:rStyle w:val="31"/>
                <w:rFonts w:hint="default" w:ascii="Times New Roman" w:hAnsi="Times New Roman" w:cs="Times New Roman"/>
                <w:sz w:val="21"/>
                <w:szCs w:val="21"/>
                <w:highlight w:val="none"/>
                <w:lang w:bidi="ar"/>
              </w:rPr>
              <w:t>号卡布斯广场公司办公地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EDMI LIMITED</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2019年8月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Fonts w:eastAsia="宋体"/>
                <w:color w:val="000000"/>
                <w:kern w:val="0"/>
                <w:sz w:val="21"/>
                <w:szCs w:val="21"/>
                <w:highlight w:val="none"/>
                <w:lang w:bidi="ar"/>
              </w:rPr>
              <w:t>EDMI</w:t>
            </w:r>
            <w:r>
              <w:rPr>
                <w:rStyle w:val="31"/>
                <w:rFonts w:hint="default" w:ascii="Times New Roman" w:hAnsi="Times New Roman" w:cs="Times New Roman"/>
                <w:sz w:val="21"/>
                <w:szCs w:val="21"/>
                <w:highlight w:val="none"/>
                <w:lang w:bidi="ar"/>
              </w:rPr>
              <w:t>位于新加坡的办公地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（주）진비테크</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2019年1月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（주）진비테크位于韩国庆尚南道昌原市公司经营地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벽삼전자</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2019年1月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벽삼전자位于韩国首尔市公司经营地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广东瑞德智能科技股份有限公司</w:t>
            </w:r>
          </w:p>
        </w:tc>
        <w:tc>
          <w:tcPr>
            <w:tcW w:w="2712" w:type="dxa"/>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w:t>
            </w:r>
            <w:r>
              <w:rPr>
                <w:rStyle w:val="31"/>
                <w:rFonts w:hint="default" w:ascii="Times New Roman" w:hAnsi="Times New Roman" w:cs="Times New Roman"/>
                <w:sz w:val="21"/>
                <w:szCs w:val="21"/>
                <w:highlight w:val="none"/>
                <w:lang w:bidi="ar"/>
              </w:rPr>
              <w:t>年</w:t>
            </w:r>
            <w:r>
              <w:rPr>
                <w:rStyle w:val="32"/>
                <w:rFonts w:eastAsia="宋体"/>
                <w:sz w:val="21"/>
                <w:szCs w:val="21"/>
                <w:highlight w:val="none"/>
                <w:lang w:bidi="ar"/>
              </w:rPr>
              <w:t>1</w:t>
            </w:r>
            <w:r>
              <w:rPr>
                <w:rStyle w:val="31"/>
                <w:rFonts w:hint="default" w:ascii="Times New Roman" w:hAnsi="Times New Roman" w:cs="Times New Roman"/>
                <w:sz w:val="21"/>
                <w:szCs w:val="21"/>
                <w:highlight w:val="none"/>
                <w:lang w:bidi="ar"/>
              </w:rPr>
              <w:t>月、</w:t>
            </w:r>
            <w:r>
              <w:rPr>
                <w:rStyle w:val="32"/>
                <w:rFonts w:eastAsia="宋体"/>
                <w:sz w:val="21"/>
                <w:szCs w:val="21"/>
                <w:highlight w:val="none"/>
                <w:lang w:bidi="ar"/>
              </w:rPr>
              <w:t>2020</w:t>
            </w:r>
            <w:r>
              <w:rPr>
                <w:rStyle w:val="31"/>
                <w:rFonts w:hint="default" w:ascii="Times New Roman" w:hAnsi="Times New Roman" w:cs="Times New Roman"/>
                <w:sz w:val="21"/>
                <w:szCs w:val="21"/>
                <w:highlight w:val="none"/>
                <w:lang w:bidi="ar"/>
              </w:rPr>
              <w:t>年</w:t>
            </w:r>
            <w:r>
              <w:rPr>
                <w:rStyle w:val="32"/>
                <w:rFonts w:eastAsia="宋体"/>
                <w:sz w:val="21"/>
                <w:szCs w:val="21"/>
                <w:highlight w:val="none"/>
                <w:lang w:bidi="ar"/>
              </w:rPr>
              <w:t>2</w:t>
            </w:r>
            <w:r>
              <w:rPr>
                <w:rStyle w:val="31"/>
                <w:rFonts w:hint="default" w:ascii="Times New Roman" w:hAnsi="Times New Roman" w:cs="Times New Roman"/>
                <w:sz w:val="21"/>
                <w:szCs w:val="21"/>
                <w:highlight w:val="none"/>
                <w:lang w:bidi="ar"/>
              </w:rPr>
              <w:t>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佛山市顺德区大良凤翔工业园公司办公地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深圳市锐钜科技有限公司</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2019年1月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深圳市宝安区西乡街道桃源社区</w:t>
            </w:r>
            <w:r>
              <w:rPr>
                <w:rStyle w:val="32"/>
                <w:rFonts w:eastAsia="宋体"/>
                <w:sz w:val="21"/>
                <w:szCs w:val="21"/>
                <w:highlight w:val="none"/>
                <w:lang w:bidi="ar"/>
              </w:rPr>
              <w:t>SOHO</w:t>
            </w:r>
            <w:r>
              <w:rPr>
                <w:rStyle w:val="31"/>
                <w:rFonts w:hint="default" w:ascii="Times New Roman" w:hAnsi="Times New Roman" w:cs="Times New Roman"/>
                <w:sz w:val="21"/>
                <w:szCs w:val="21"/>
                <w:highlight w:val="none"/>
                <w:lang w:bidi="ar"/>
              </w:rPr>
              <w:t>创意世界</w:t>
            </w:r>
            <w:r>
              <w:rPr>
                <w:rStyle w:val="32"/>
                <w:rFonts w:eastAsia="宋体"/>
                <w:sz w:val="21"/>
                <w:szCs w:val="21"/>
                <w:highlight w:val="none"/>
                <w:lang w:bidi="ar"/>
              </w:rPr>
              <w:t>H</w:t>
            </w:r>
            <w:r>
              <w:rPr>
                <w:rStyle w:val="31"/>
                <w:rFonts w:hint="default" w:ascii="Times New Roman" w:hAnsi="Times New Roman" w:cs="Times New Roman"/>
                <w:sz w:val="21"/>
                <w:szCs w:val="21"/>
                <w:highlight w:val="none"/>
                <w:lang w:bidi="ar"/>
              </w:rPr>
              <w:t>座公司办公地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武汉盛帆电子股份有限公司</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center"/>
              <w:textAlignment w:val="center"/>
              <w:rPr>
                <w:rFonts w:eastAsia="宋体"/>
                <w:color w:val="000000"/>
                <w:sz w:val="21"/>
                <w:szCs w:val="21"/>
                <w:highlight w:val="none"/>
              </w:rPr>
            </w:pPr>
            <w:r>
              <w:rPr>
                <w:rFonts w:eastAsia="宋体"/>
                <w:color w:val="000000"/>
                <w:kern w:val="0"/>
                <w:sz w:val="21"/>
                <w:szCs w:val="21"/>
                <w:highlight w:val="none"/>
                <w:lang w:bidi="ar"/>
              </w:rPr>
              <w:t>2019年1月</w:t>
            </w:r>
          </w:p>
        </w:tc>
        <w:tc>
          <w:tcPr>
            <w:tcW w:w="0" w:type="auto"/>
            <w:tcBorders>
              <w:tl2br w:val="nil"/>
              <w:tr2bl w:val="nil"/>
            </w:tcBorders>
            <w:shd w:val="clear" w:color="auto" w:fill="auto"/>
            <w:noWrap/>
            <w:tcMar>
              <w:top w:w="12" w:type="dxa"/>
              <w:left w:w="12" w:type="dxa"/>
              <w:right w:w="12" w:type="dxa"/>
            </w:tcMar>
            <w:vAlign w:val="center"/>
          </w:tcPr>
          <w:p>
            <w:pPr>
              <w:widowControl/>
              <w:spacing w:line="240" w:lineRule="exact"/>
              <w:jc w:val="left"/>
              <w:textAlignment w:val="center"/>
              <w:rPr>
                <w:rFonts w:eastAsia="宋体"/>
                <w:color w:val="000000"/>
                <w:sz w:val="21"/>
                <w:szCs w:val="21"/>
                <w:highlight w:val="none"/>
              </w:rPr>
            </w:pPr>
            <w:r>
              <w:rPr>
                <w:rStyle w:val="31"/>
                <w:rFonts w:hint="default" w:ascii="Times New Roman" w:hAnsi="Times New Roman" w:cs="Times New Roman"/>
                <w:sz w:val="21"/>
                <w:szCs w:val="21"/>
                <w:highlight w:val="none"/>
                <w:lang w:bidi="ar"/>
              </w:rPr>
              <w:t>武汉市江夏区庙山开发区阳光大道公司办公地</w:t>
            </w:r>
          </w:p>
        </w:tc>
      </w:tr>
    </w:tbl>
    <w:p>
      <w:pPr>
        <w:pStyle w:val="25"/>
        <w:adjustRightInd w:val="0"/>
        <w:snapToGrid w:val="0"/>
        <w:spacing w:before="289" w:beforeLines="50"/>
        <w:ind w:firstLine="472"/>
        <w:rPr>
          <w:rFonts w:cs="Times New Roman"/>
          <w:bCs/>
          <w:highlight w:val="none"/>
        </w:rPr>
      </w:pPr>
      <w:r>
        <w:rPr>
          <w:rFonts w:hint="eastAsia" w:cs="Times New Roman"/>
          <w:bCs/>
          <w:highlight w:val="none"/>
        </w:rPr>
        <w:t>对于未能进行的访谈的客户，取得了经客户盖章（签字）确认的关于股权结构、主营业务、经营规模、贸易客户的销售区域等信息的书面材料；</w:t>
      </w:r>
    </w:p>
    <w:p>
      <w:pPr>
        <w:pStyle w:val="25"/>
        <w:adjustRightInd w:val="0"/>
        <w:snapToGrid w:val="0"/>
        <w:ind w:firstLine="472"/>
        <w:rPr>
          <w:rFonts w:cs="Times New Roman"/>
          <w:bCs/>
          <w:highlight w:val="none"/>
        </w:rPr>
      </w:pPr>
      <w:r>
        <w:rPr>
          <w:rFonts w:hint="eastAsia" w:cs="Times New Roman"/>
          <w:bCs/>
          <w:highlight w:val="none"/>
        </w:rPr>
        <w:t>（4）查阅客户官方网站，查阅境外客户为上市公司的披露的年报，了解境外客户业务规模；</w:t>
      </w:r>
    </w:p>
    <w:p>
      <w:pPr>
        <w:pStyle w:val="25"/>
        <w:adjustRightInd w:val="0"/>
        <w:snapToGrid w:val="0"/>
        <w:ind w:firstLine="472"/>
        <w:rPr>
          <w:rFonts w:cs="Times New Roman"/>
          <w:bCs/>
          <w:highlight w:val="none"/>
        </w:rPr>
      </w:pPr>
      <w:r>
        <w:rPr>
          <w:rFonts w:hint="eastAsia" w:cs="Times New Roman"/>
          <w:bCs/>
          <w:highlight w:val="none"/>
        </w:rPr>
        <w:t>（5）查阅国家企业信用信息公式系统（http://www.gsxt.gov.cn/index.html）了解国内客户的股权结构，经营范围等。</w:t>
      </w:r>
    </w:p>
    <w:p>
      <w:pPr>
        <w:topLinePunct/>
        <w:adjustRightInd w:val="0"/>
        <w:snapToGrid w:val="0"/>
        <w:spacing w:line="360" w:lineRule="auto"/>
        <w:ind w:firstLine="472" w:firstLineChars="200"/>
        <w:rPr>
          <w:rFonts w:eastAsia="宋体"/>
          <w:b/>
          <w:bCs/>
          <w:sz w:val="24"/>
          <w:highlight w:val="none"/>
        </w:rPr>
      </w:pPr>
      <w:r>
        <w:rPr>
          <w:rFonts w:hint="eastAsia" w:eastAsia="宋体"/>
          <w:b/>
          <w:bCs/>
          <w:sz w:val="24"/>
          <w:highlight w:val="none"/>
        </w:rPr>
        <w:t>2、核查意见</w:t>
      </w:r>
    </w:p>
    <w:p>
      <w:pPr>
        <w:pStyle w:val="25"/>
        <w:adjustRightInd w:val="0"/>
        <w:snapToGrid w:val="0"/>
        <w:spacing w:before="289" w:beforeLines="50" w:after="289" w:afterLines="50"/>
        <w:ind w:firstLine="472"/>
        <w:rPr>
          <w:rFonts w:cs="Times New Roman"/>
          <w:bCs/>
          <w:highlight w:val="none"/>
        </w:rPr>
      </w:pPr>
      <w:r>
        <w:rPr>
          <w:rFonts w:hint="eastAsia" w:cs="Times New Roman"/>
          <w:bCs/>
          <w:highlight w:val="none"/>
        </w:rPr>
        <w:t>经核查，保荐机构认为：</w:t>
      </w:r>
    </w:p>
    <w:p>
      <w:pPr>
        <w:pStyle w:val="25"/>
        <w:adjustRightInd w:val="0"/>
        <w:snapToGrid w:val="0"/>
        <w:spacing w:before="289" w:beforeLines="50" w:after="289" w:afterLines="50"/>
        <w:ind w:firstLine="472"/>
        <w:rPr>
          <w:rFonts w:cs="Times New Roman"/>
          <w:bCs/>
          <w:highlight w:val="none"/>
        </w:rPr>
      </w:pPr>
      <w:r>
        <w:rPr>
          <w:rFonts w:hint="eastAsia" w:cs="Times New Roman"/>
          <w:bCs/>
          <w:highlight w:val="none"/>
        </w:rPr>
        <w:t>（1）发行人外销直销前五大客户为</w:t>
      </w:r>
      <w:r>
        <w:rPr>
          <w:rFonts w:cs="Times New Roman"/>
          <w:bCs/>
          <w:highlight w:val="none"/>
        </w:rPr>
        <w:t>国际知名企业，</w:t>
      </w:r>
      <w:r>
        <w:rPr>
          <w:rFonts w:hint="eastAsia" w:cs="Times New Roman"/>
          <w:bCs/>
          <w:highlight w:val="none"/>
        </w:rPr>
        <w:t>成立</w:t>
      </w:r>
      <w:r>
        <w:rPr>
          <w:rFonts w:cs="Times New Roman"/>
          <w:bCs/>
          <w:highlight w:val="none"/>
        </w:rPr>
        <w:t>时间</w:t>
      </w:r>
      <w:r>
        <w:rPr>
          <w:rFonts w:hint="eastAsia" w:cs="Times New Roman"/>
          <w:bCs/>
          <w:highlight w:val="none"/>
        </w:rPr>
        <w:t>较早</w:t>
      </w:r>
      <w:r>
        <w:rPr>
          <w:rFonts w:cs="Times New Roman"/>
          <w:bCs/>
          <w:highlight w:val="none"/>
        </w:rPr>
        <w:t>，经营规模</w:t>
      </w:r>
      <w:r>
        <w:rPr>
          <w:rFonts w:hint="eastAsia" w:cs="Times New Roman"/>
          <w:bCs/>
          <w:highlight w:val="none"/>
        </w:rPr>
        <w:t>较大</w:t>
      </w:r>
      <w:r>
        <w:rPr>
          <w:rFonts w:cs="Times New Roman"/>
          <w:bCs/>
          <w:highlight w:val="none"/>
        </w:rPr>
        <w:t>；</w:t>
      </w:r>
      <w:r>
        <w:rPr>
          <w:rFonts w:hint="eastAsia" w:cs="Times New Roman"/>
          <w:bCs/>
          <w:highlight w:val="none"/>
        </w:rPr>
        <w:t>外销非直销前五大客户与发行人不存在关联关系，双方除正常买卖继电器业务外，不存在其他业务往来或利益安排，不存在由发行人或发行人关系密切者设立的情况；</w:t>
      </w:r>
    </w:p>
    <w:p>
      <w:pPr>
        <w:pStyle w:val="25"/>
        <w:adjustRightInd w:val="0"/>
        <w:snapToGrid w:val="0"/>
        <w:spacing w:before="289" w:beforeLines="50" w:after="289" w:afterLines="50"/>
        <w:ind w:firstLine="472"/>
        <w:rPr>
          <w:rFonts w:cs="Times New Roman"/>
          <w:bCs/>
          <w:highlight w:val="none"/>
        </w:rPr>
      </w:pPr>
      <w:r>
        <w:rPr>
          <w:rFonts w:hint="eastAsia" w:cs="Times New Roman"/>
          <w:bCs/>
          <w:highlight w:val="none"/>
        </w:rPr>
        <w:t>（2）发行人客户广东瑞德智能科技股份有限公司、深圳市锐钜科技有限公司、武汉盛帆电子股份有限公司三家的业务规模是与发行人的采购数量相匹配。</w:t>
      </w:r>
    </w:p>
    <w:p>
      <w:pPr>
        <w:topLinePunct/>
        <w:adjustRightInd w:val="0"/>
        <w:snapToGrid w:val="0"/>
        <w:spacing w:before="289" w:beforeLines="50" w:after="289" w:afterLines="50" w:line="360" w:lineRule="auto"/>
        <w:ind w:firstLine="472" w:firstLineChars="200"/>
        <w:outlineLvl w:val="0"/>
        <w:rPr>
          <w:rFonts w:ascii="黑体" w:hAnsi="黑体" w:eastAsia="黑体"/>
          <w:b/>
          <w:bCs/>
          <w:sz w:val="24"/>
          <w:highlight w:val="none"/>
        </w:rPr>
      </w:pPr>
      <w:bookmarkStart w:id="4" w:name="_Toc51983465"/>
      <w:r>
        <w:rPr>
          <w:rFonts w:hint="eastAsia" w:ascii="黑体" w:hAnsi="黑体" w:eastAsia="黑体"/>
          <w:b/>
          <w:bCs/>
          <w:sz w:val="24"/>
          <w:highlight w:val="none"/>
        </w:rPr>
        <w:t>三、关于产品定价</w:t>
      </w:r>
      <w:bookmarkEnd w:id="4"/>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报告期内，美的、麦格米特等主要客户的同型号产品销售价格及毛利率存在持续下降情形。</w:t>
      </w:r>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请发行人补充披露：报告期内发行人与主要客户销售定价是否存在“年降”安排，结合发行人所处市场地位，就主要客户要求持续降价对发行人经营业绩的影响做风险提示。</w:t>
      </w:r>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请保荐机构和申报会计师进行核查，并发表核查意见。</w:t>
      </w:r>
    </w:p>
    <w:p>
      <w:pPr>
        <w:snapToGrid w:val="0"/>
        <w:spacing w:before="289" w:beforeLines="50" w:after="289" w:afterLines="50"/>
        <w:ind w:firstLine="472" w:firstLineChars="200"/>
        <w:rPr>
          <w:rFonts w:ascii="宋体" w:hAnsi="宋体" w:eastAsia="宋体"/>
          <w:b/>
          <w:bCs/>
          <w:sz w:val="24"/>
          <w:highlight w:val="none"/>
        </w:rPr>
      </w:pPr>
      <w:r>
        <w:rPr>
          <w:rFonts w:ascii="宋体" w:hAnsi="宋体" w:eastAsia="宋体"/>
          <w:b/>
          <w:bCs/>
          <w:sz w:val="24"/>
          <w:highlight w:val="none"/>
        </w:rPr>
        <w:t>回复：</w:t>
      </w:r>
    </w:p>
    <w:p>
      <w:pPr>
        <w:topLinePunct/>
        <w:adjustRightInd w:val="0"/>
        <w:snapToGrid w:val="0"/>
        <w:spacing w:line="360" w:lineRule="auto"/>
        <w:ind w:firstLine="472" w:firstLineChars="200"/>
        <w:outlineLvl w:val="1"/>
        <w:rPr>
          <w:rFonts w:ascii="黑体" w:hAnsi="黑体" w:eastAsia="黑体"/>
          <w:b/>
          <w:bCs/>
          <w:sz w:val="24"/>
          <w:highlight w:val="none"/>
        </w:rPr>
      </w:pPr>
      <w:r>
        <w:rPr>
          <w:rFonts w:ascii="黑体" w:hAnsi="黑体" w:eastAsia="黑体"/>
          <w:b/>
          <w:bCs/>
          <w:sz w:val="24"/>
          <w:highlight w:val="none"/>
        </w:rPr>
        <w:t>（一）报告期内发行人与主要客户销售定价是否存在“年降”安排；</w:t>
      </w:r>
    </w:p>
    <w:p>
      <w:pPr>
        <w:topLinePunct/>
        <w:adjustRightInd w:val="0"/>
        <w:snapToGrid w:val="0"/>
        <w:spacing w:line="360" w:lineRule="auto"/>
        <w:ind w:firstLine="472" w:firstLineChars="200"/>
        <w:rPr>
          <w:rFonts w:ascii="楷体" w:hAnsi="楷体" w:eastAsia="楷体"/>
          <w:b/>
          <w:bCs/>
          <w:sz w:val="24"/>
          <w:highlight w:val="none"/>
        </w:rPr>
      </w:pPr>
      <w:r>
        <w:rPr>
          <w:rFonts w:hint="eastAsia" w:ascii="楷体" w:hAnsi="楷体" w:eastAsia="楷体"/>
          <w:b/>
          <w:bCs/>
          <w:sz w:val="24"/>
          <w:highlight w:val="none"/>
        </w:rPr>
        <w:t>报告期内，公司产品销售定价</w:t>
      </w:r>
      <w:r>
        <w:rPr>
          <w:rFonts w:ascii="楷体" w:hAnsi="楷体" w:eastAsia="楷体"/>
          <w:b/>
          <w:bCs/>
          <w:sz w:val="24"/>
          <w:highlight w:val="none"/>
        </w:rPr>
        <w:t>系市场竞争</w:t>
      </w:r>
      <w:r>
        <w:rPr>
          <w:rFonts w:hint="eastAsia" w:ascii="楷体" w:hAnsi="楷体" w:eastAsia="楷体"/>
          <w:b/>
          <w:bCs/>
          <w:sz w:val="24"/>
          <w:highlight w:val="none"/>
        </w:rPr>
        <w:t>、商务谈判</w:t>
      </w:r>
      <w:r>
        <w:rPr>
          <w:rFonts w:ascii="楷体" w:hAnsi="楷体" w:eastAsia="楷体"/>
          <w:b/>
          <w:bCs/>
          <w:sz w:val="24"/>
          <w:highlight w:val="none"/>
        </w:rPr>
        <w:t>的结果</w:t>
      </w:r>
      <w:r>
        <w:rPr>
          <w:rFonts w:hint="eastAsia" w:ascii="楷体" w:hAnsi="楷体" w:eastAsia="楷体"/>
          <w:b/>
          <w:bCs/>
          <w:sz w:val="24"/>
          <w:highlight w:val="none"/>
        </w:rPr>
        <w:t>，与主要客户销售定价不存在“年降”安排。</w:t>
      </w:r>
    </w:p>
    <w:p>
      <w:pPr>
        <w:pStyle w:val="25"/>
        <w:adjustRightInd w:val="0"/>
        <w:snapToGrid w:val="0"/>
        <w:ind w:firstLine="472"/>
        <w:rPr>
          <w:rFonts w:cs="Times New Roman"/>
          <w:bCs/>
          <w:highlight w:val="none"/>
        </w:rPr>
      </w:pPr>
      <w:r>
        <w:rPr>
          <w:rFonts w:hint="eastAsia" w:cs="Times New Roman"/>
          <w:bCs/>
          <w:highlight w:val="none"/>
        </w:rPr>
        <w:t>公司向美的、麦格米特等主要客户销售的继电器为通用功率继电器和磁保持继电器。</w:t>
      </w:r>
    </w:p>
    <w:p>
      <w:pPr>
        <w:pStyle w:val="25"/>
        <w:adjustRightInd w:val="0"/>
        <w:snapToGrid w:val="0"/>
        <w:ind w:firstLine="472"/>
        <w:rPr>
          <w:rFonts w:cs="Times New Roman"/>
          <w:bCs/>
          <w:highlight w:val="none"/>
        </w:rPr>
      </w:pPr>
      <w:r>
        <w:rPr>
          <w:rFonts w:hint="eastAsia" w:cs="Times New Roman"/>
          <w:bCs/>
          <w:highlight w:val="none"/>
        </w:rPr>
        <w:t>通用功率继电器系标准化产品，经过多年的高速发展，产品研发技术、设计制造工艺已成熟。通用功率继电器作为家电产品的控制元器件，市场需求量巨大，供应厂商较多，行业充分竞争。</w:t>
      </w:r>
    </w:p>
    <w:p>
      <w:pPr>
        <w:pStyle w:val="25"/>
        <w:adjustRightInd w:val="0"/>
        <w:snapToGrid w:val="0"/>
        <w:ind w:firstLine="472"/>
        <w:rPr>
          <w:rFonts w:cs="Times New Roman"/>
          <w:bCs/>
          <w:highlight w:val="none"/>
        </w:rPr>
      </w:pPr>
      <w:r>
        <w:rPr>
          <w:rFonts w:hint="eastAsia" w:cs="Times New Roman"/>
          <w:bCs/>
          <w:highlight w:val="none"/>
        </w:rPr>
        <w:t>磁保持继电器为非标准化产品，产品结构由智能电表安装项目以及智能电表制造商共同决定，由于我国智能电表改造较早，故国内的智能电表制造以及磁保持继电器的研发制造在国际上具有较强的竞争力，公司磁保持继电器销售议价话语权较高。</w:t>
      </w:r>
    </w:p>
    <w:p>
      <w:pPr>
        <w:pStyle w:val="25"/>
        <w:adjustRightInd w:val="0"/>
        <w:snapToGrid w:val="0"/>
        <w:ind w:firstLine="472"/>
        <w:rPr>
          <w:rFonts w:cs="Times New Roman"/>
          <w:bCs/>
          <w:highlight w:val="none"/>
        </w:rPr>
      </w:pPr>
      <w:r>
        <w:rPr>
          <w:rFonts w:hint="eastAsia" w:cs="Times New Roman"/>
          <w:bCs/>
          <w:highlight w:val="none"/>
        </w:rPr>
        <w:t>公司与主要客户的产品销售定价是根据市场和竞争对手情况，与客户协商确定，与大部分客户采取议价方式，与美的集团部分期间采取议价</w:t>
      </w:r>
      <w:r>
        <w:rPr>
          <w:rFonts w:cs="Times New Roman"/>
          <w:bCs/>
          <w:highlight w:val="none"/>
        </w:rPr>
        <w:t>+招标</w:t>
      </w:r>
      <w:r>
        <w:rPr>
          <w:rFonts w:hint="eastAsia" w:cs="Times New Roman"/>
          <w:bCs/>
          <w:highlight w:val="none"/>
        </w:rPr>
        <w:t>方式。公司与主要客户的产品销售定价不存在</w:t>
      </w:r>
      <w:r>
        <w:rPr>
          <w:rFonts w:hint="eastAsia" w:ascii="宋体" w:hAnsi="宋体" w:cs="Times New Roman"/>
          <w:bCs/>
          <w:highlight w:val="none"/>
        </w:rPr>
        <w:t>“</w:t>
      </w:r>
      <w:r>
        <w:rPr>
          <w:rFonts w:hint="eastAsia" w:cs="Times New Roman"/>
          <w:bCs/>
          <w:highlight w:val="none"/>
        </w:rPr>
        <w:t>年降</w:t>
      </w:r>
      <w:r>
        <w:rPr>
          <w:rFonts w:hint="eastAsia" w:ascii="宋体" w:hAnsi="宋体" w:cs="Times New Roman"/>
          <w:bCs/>
          <w:highlight w:val="none"/>
        </w:rPr>
        <w:t>”</w:t>
      </w:r>
      <w:r>
        <w:rPr>
          <w:rFonts w:hint="eastAsia" w:cs="Times New Roman"/>
          <w:bCs/>
          <w:highlight w:val="none"/>
        </w:rPr>
        <w:t>的安排。</w:t>
      </w:r>
    </w:p>
    <w:p>
      <w:pPr>
        <w:pStyle w:val="25"/>
        <w:adjustRightInd w:val="0"/>
        <w:snapToGrid w:val="0"/>
        <w:ind w:firstLine="472"/>
        <w:rPr>
          <w:rFonts w:cs="Times New Roman"/>
          <w:bCs/>
          <w:highlight w:val="none"/>
        </w:rPr>
      </w:pPr>
      <w:r>
        <w:rPr>
          <w:rFonts w:hint="eastAsia" w:cs="Times New Roman"/>
          <w:bCs/>
          <w:highlight w:val="none"/>
        </w:rPr>
        <w:t>公司与报告期各期前五大客户以及麦格米特签订的销售合同中，关于销售价格约定以及调整的具体内容如下：</w:t>
      </w:r>
    </w:p>
    <w:tbl>
      <w:tblPr>
        <w:tblStyle w:val="13"/>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7" w:type="dxa"/>
          <w:bottom w:w="0" w:type="dxa"/>
          <w:right w:w="17" w:type="dxa"/>
        </w:tblCellMar>
      </w:tblPr>
      <w:tblGrid>
        <w:gridCol w:w="1831"/>
        <w:gridCol w:w="988"/>
        <w:gridCol w:w="5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1831" w:type="dxa"/>
            <w:vAlign w:val="center"/>
          </w:tcPr>
          <w:p>
            <w:pPr>
              <w:topLinePunct/>
              <w:adjustRightInd w:val="0"/>
              <w:snapToGrid w:val="0"/>
              <w:spacing w:line="240" w:lineRule="atLeast"/>
              <w:jc w:val="center"/>
              <w:rPr>
                <w:rFonts w:eastAsia="宋体"/>
                <w:b/>
                <w:bCs/>
                <w:sz w:val="20"/>
                <w:szCs w:val="20"/>
                <w:highlight w:val="none"/>
              </w:rPr>
            </w:pPr>
            <w:r>
              <w:rPr>
                <w:rFonts w:eastAsia="宋体"/>
                <w:b/>
                <w:bCs/>
                <w:sz w:val="20"/>
                <w:szCs w:val="20"/>
                <w:highlight w:val="none"/>
              </w:rPr>
              <w:t>客户名称</w:t>
            </w:r>
          </w:p>
        </w:tc>
        <w:tc>
          <w:tcPr>
            <w:tcW w:w="988" w:type="dxa"/>
            <w:vAlign w:val="center"/>
          </w:tcPr>
          <w:p>
            <w:pPr>
              <w:topLinePunct/>
              <w:adjustRightInd w:val="0"/>
              <w:snapToGrid w:val="0"/>
              <w:spacing w:line="240" w:lineRule="atLeast"/>
              <w:jc w:val="center"/>
              <w:rPr>
                <w:rFonts w:eastAsia="宋体"/>
                <w:b/>
                <w:bCs/>
                <w:sz w:val="20"/>
                <w:szCs w:val="20"/>
                <w:highlight w:val="none"/>
              </w:rPr>
            </w:pPr>
            <w:r>
              <w:rPr>
                <w:rFonts w:hint="eastAsia" w:eastAsia="宋体"/>
                <w:b/>
                <w:bCs/>
                <w:sz w:val="20"/>
                <w:szCs w:val="20"/>
                <w:highlight w:val="none"/>
              </w:rPr>
              <w:t>定价方式</w:t>
            </w:r>
          </w:p>
        </w:tc>
        <w:tc>
          <w:tcPr>
            <w:tcW w:w="5709" w:type="dxa"/>
            <w:vAlign w:val="center"/>
          </w:tcPr>
          <w:p>
            <w:pPr>
              <w:topLinePunct/>
              <w:adjustRightInd w:val="0"/>
              <w:snapToGrid w:val="0"/>
              <w:spacing w:line="240" w:lineRule="atLeast"/>
              <w:jc w:val="center"/>
              <w:rPr>
                <w:rFonts w:eastAsia="宋体"/>
                <w:b/>
                <w:bCs/>
                <w:sz w:val="20"/>
                <w:szCs w:val="20"/>
                <w:highlight w:val="none"/>
              </w:rPr>
            </w:pPr>
            <w:r>
              <w:rPr>
                <w:rFonts w:hint="eastAsia" w:eastAsia="宋体"/>
                <w:b/>
                <w:bCs/>
                <w:sz w:val="20"/>
                <w:szCs w:val="20"/>
                <w:highlight w:val="none"/>
              </w:rPr>
              <w:t>销售</w:t>
            </w:r>
            <w:r>
              <w:rPr>
                <w:rFonts w:eastAsia="宋体"/>
                <w:b/>
                <w:bCs/>
                <w:sz w:val="20"/>
                <w:szCs w:val="20"/>
                <w:highlight w:val="none"/>
              </w:rPr>
              <w:t>价格约定</w:t>
            </w:r>
            <w:r>
              <w:rPr>
                <w:rFonts w:hint="eastAsia" w:eastAsia="宋体"/>
                <w:b/>
                <w:bCs/>
                <w:sz w:val="20"/>
                <w:szCs w:val="20"/>
                <w:highlight w:val="none"/>
              </w:rPr>
              <w:t>及调整</w:t>
            </w:r>
            <w:r>
              <w:rPr>
                <w:rFonts w:eastAsia="宋体"/>
                <w:b/>
                <w:bCs/>
                <w:sz w:val="20"/>
                <w:szCs w:val="20"/>
                <w:highlight w:val="none"/>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topLinePunct/>
              <w:adjustRightInd w:val="0"/>
              <w:snapToGrid w:val="0"/>
              <w:spacing w:line="240" w:lineRule="atLeast"/>
              <w:rPr>
                <w:rFonts w:eastAsia="宋体"/>
                <w:b/>
                <w:bCs/>
                <w:sz w:val="20"/>
                <w:szCs w:val="20"/>
                <w:highlight w:val="none"/>
              </w:rPr>
            </w:pPr>
            <w:r>
              <w:rPr>
                <w:rFonts w:eastAsia="宋体"/>
                <w:color w:val="000000"/>
                <w:sz w:val="20"/>
                <w:szCs w:val="20"/>
                <w:highlight w:val="none"/>
              </w:rPr>
              <w:t>美的集团股份有限公司</w:t>
            </w:r>
          </w:p>
        </w:tc>
        <w:tc>
          <w:tcPr>
            <w:tcW w:w="988" w:type="dxa"/>
            <w:vAlign w:val="center"/>
          </w:tcPr>
          <w:p>
            <w:pPr>
              <w:topLinePunct/>
              <w:adjustRightInd w:val="0"/>
              <w:snapToGrid w:val="0"/>
              <w:spacing w:line="240" w:lineRule="atLeast"/>
              <w:jc w:val="center"/>
              <w:rPr>
                <w:rFonts w:eastAsia="宋体"/>
                <w:sz w:val="20"/>
                <w:szCs w:val="20"/>
                <w:highlight w:val="none"/>
              </w:rPr>
            </w:pPr>
            <w:r>
              <w:rPr>
                <w:rFonts w:hint="eastAsia" w:eastAsia="宋体"/>
                <w:sz w:val="20"/>
                <w:szCs w:val="20"/>
                <w:highlight w:val="none"/>
              </w:rPr>
              <w:t>招标、议价</w:t>
            </w:r>
          </w:p>
        </w:tc>
        <w:tc>
          <w:tcPr>
            <w:tcW w:w="5709"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①物料价格的基本构成方式为：材料成本+费用+利润+税金。乙方向甲方申报物料价格，甲方根据市场行情和乙方的经营情况对乙方物料报价进行核定；双方协商一致共同确定交易单价及执行时间，以使双方定价做到透明合理。</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②采购价格确定后，乙方不得单方调高采购价格；由于市场行情变动造成主要原材料的平均采购单价增幅超过1</w:t>
            </w:r>
            <w:r>
              <w:rPr>
                <w:rFonts w:eastAsia="宋体"/>
                <w:sz w:val="20"/>
                <w:szCs w:val="20"/>
                <w:highlight w:val="none"/>
              </w:rPr>
              <w:t>0</w:t>
            </w:r>
            <w:r>
              <w:rPr>
                <w:rFonts w:hint="eastAsia" w:eastAsia="宋体"/>
                <w:sz w:val="20"/>
                <w:szCs w:val="20"/>
                <w:highlight w:val="none"/>
              </w:rPr>
              <w:t>%，乙方有权调价，甲方可根据实际需要与乙方协商重新议定价格；</w:t>
            </w:r>
          </w:p>
          <w:p>
            <w:pPr>
              <w:topLinePunct/>
              <w:adjustRightInd w:val="0"/>
              <w:snapToGrid w:val="0"/>
              <w:spacing w:line="240" w:lineRule="atLeast"/>
              <w:jc w:val="center"/>
              <w:rPr>
                <w:rFonts w:eastAsia="宋体"/>
                <w:b/>
                <w:bCs/>
                <w:sz w:val="20"/>
                <w:szCs w:val="20"/>
                <w:highlight w:val="none"/>
              </w:rPr>
            </w:pPr>
            <w:r>
              <w:rPr>
                <w:rFonts w:hint="eastAsia" w:eastAsia="宋体"/>
                <w:sz w:val="20"/>
                <w:szCs w:val="20"/>
                <w:highlight w:val="none"/>
              </w:rPr>
              <w:t>③乙方提供给甲方的价格至少应在行业价格内具有竞争力，乙方提供给甲方的价格不能高于市场同类产品的平均市场价格；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topLinePunct/>
              <w:adjustRightInd w:val="0"/>
              <w:snapToGrid w:val="0"/>
              <w:spacing w:line="240" w:lineRule="atLeast"/>
              <w:rPr>
                <w:rFonts w:eastAsia="宋体"/>
                <w:sz w:val="20"/>
                <w:szCs w:val="20"/>
                <w:highlight w:val="none"/>
              </w:rPr>
            </w:pPr>
            <w:r>
              <w:rPr>
                <w:rFonts w:eastAsia="宋体"/>
                <w:sz w:val="20"/>
                <w:szCs w:val="20"/>
                <w:highlight w:val="none"/>
              </w:rPr>
              <w:t>珠海格力电器股份有限公司</w:t>
            </w:r>
          </w:p>
        </w:tc>
        <w:tc>
          <w:tcPr>
            <w:tcW w:w="988" w:type="dxa"/>
            <w:vAlign w:val="center"/>
          </w:tcPr>
          <w:p>
            <w:pPr>
              <w:topLinePunct/>
              <w:adjustRightInd w:val="0"/>
              <w:snapToGrid w:val="0"/>
              <w:spacing w:line="240" w:lineRule="atLeast"/>
              <w:jc w:val="center"/>
              <w:rPr>
                <w:rFonts w:eastAsia="宋体"/>
                <w:sz w:val="20"/>
                <w:szCs w:val="20"/>
                <w:highlight w:val="none"/>
              </w:rPr>
            </w:pPr>
            <w:r>
              <w:rPr>
                <w:rFonts w:hint="eastAsia" w:eastAsia="宋体"/>
                <w:sz w:val="20"/>
                <w:szCs w:val="20"/>
                <w:highlight w:val="none"/>
              </w:rPr>
              <w:t>议价</w:t>
            </w:r>
          </w:p>
        </w:tc>
        <w:tc>
          <w:tcPr>
            <w:tcW w:w="5709" w:type="dxa"/>
            <w:vAlign w:val="center"/>
          </w:tcPr>
          <w:p>
            <w:pPr>
              <w:topLinePunct/>
              <w:adjustRightInd w:val="0"/>
              <w:snapToGrid w:val="0"/>
              <w:spacing w:line="240" w:lineRule="atLeast"/>
              <w:rPr>
                <w:rFonts w:eastAsia="宋体"/>
                <w:b/>
                <w:bCs/>
                <w:sz w:val="20"/>
                <w:szCs w:val="20"/>
                <w:highlight w:val="none"/>
              </w:rPr>
            </w:pPr>
            <w:r>
              <w:rPr>
                <w:rFonts w:hint="eastAsia" w:eastAsia="宋体"/>
                <w:sz w:val="20"/>
                <w:szCs w:val="20"/>
                <w:highlight w:val="none"/>
              </w:rPr>
              <w:t>①乙方在新物料批量供货后一周内向甲方提供书面报价，乙方给甲方的报价应公道诚信，不存在谋取暴利行为；</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②乙方在接到甲方提出的降价需求后，需统计所有的供货物料，并于接到一周内完成报价，否则甲方有权根据对市场行情的判断对乙方所供物料进行定价。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snapToGrid w:val="0"/>
              <w:spacing w:line="240" w:lineRule="exact"/>
              <w:textAlignment w:val="center"/>
              <w:rPr>
                <w:rFonts w:eastAsia="宋体"/>
                <w:sz w:val="20"/>
                <w:szCs w:val="20"/>
                <w:highlight w:val="none"/>
              </w:rPr>
            </w:pPr>
            <w:r>
              <w:rPr>
                <w:rFonts w:eastAsia="宋体"/>
                <w:color w:val="000000"/>
                <w:sz w:val="20"/>
                <w:szCs w:val="20"/>
                <w:highlight w:val="none"/>
              </w:rPr>
              <w:t>奥克斯集团有限公司</w:t>
            </w:r>
          </w:p>
        </w:tc>
        <w:tc>
          <w:tcPr>
            <w:tcW w:w="988" w:type="dxa"/>
            <w:vAlign w:val="center"/>
          </w:tcPr>
          <w:p>
            <w:pPr>
              <w:topLinePunct/>
              <w:adjustRightInd w:val="0"/>
              <w:snapToGrid w:val="0"/>
              <w:spacing w:line="240" w:lineRule="atLeast"/>
              <w:jc w:val="center"/>
              <w:rPr>
                <w:rFonts w:eastAsia="宋体"/>
                <w:b/>
                <w:bCs/>
                <w:sz w:val="20"/>
                <w:szCs w:val="20"/>
                <w:highlight w:val="none"/>
              </w:rPr>
            </w:pPr>
            <w:r>
              <w:rPr>
                <w:rFonts w:hint="eastAsia" w:eastAsia="宋体"/>
                <w:sz w:val="20"/>
                <w:szCs w:val="20"/>
                <w:highlight w:val="none"/>
              </w:rPr>
              <w:t>议价</w:t>
            </w:r>
          </w:p>
        </w:tc>
        <w:tc>
          <w:tcPr>
            <w:tcW w:w="5709"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①物料价格的基本构成方式：材料成本+费用+利润+税金；</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报价及核价：原则上按协议价执行，新产品及市场行业大幅波动时，供方提供物料价格表，需方根据市场行情及和供方的经营情况对供方物料报价进行核定，确定实际结算单价及执行时间；当市场行情和供方经营状况发生重大变化时，双方都可向对方提出调价请求，对方应给予积极回应；</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③价格调整：供需双方协商确定价格后，在协议有效期内调整价格须满足约定：A、供方承诺以最优惠价格向需方提供物料；B供需双方在年度价格谈判时已确认与主要原材料构成联动关系的物料，如主要原材料价格波动超过约定的联动幅度，供方可向需方提供物料价格调整申请单，需方可根据实际情况与供方协商调整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topLinePunct/>
              <w:adjustRightInd w:val="0"/>
              <w:snapToGrid w:val="0"/>
              <w:spacing w:line="240" w:lineRule="atLeast"/>
              <w:rPr>
                <w:rFonts w:eastAsia="宋体"/>
                <w:sz w:val="20"/>
                <w:szCs w:val="20"/>
                <w:highlight w:val="none"/>
              </w:rPr>
            </w:pPr>
            <w:r>
              <w:rPr>
                <w:rFonts w:eastAsia="宋体"/>
                <w:sz w:val="20"/>
                <w:szCs w:val="20"/>
                <w:highlight w:val="none"/>
              </w:rPr>
              <w:t>Diehl AKO Stiftung &amp; Co. KG</w:t>
            </w:r>
          </w:p>
        </w:tc>
        <w:tc>
          <w:tcPr>
            <w:tcW w:w="988" w:type="dxa"/>
            <w:vAlign w:val="center"/>
          </w:tcPr>
          <w:p>
            <w:pPr>
              <w:topLinePunct/>
              <w:adjustRightInd w:val="0"/>
              <w:snapToGrid w:val="0"/>
              <w:spacing w:line="240" w:lineRule="atLeast"/>
              <w:jc w:val="center"/>
              <w:rPr>
                <w:rFonts w:eastAsia="宋体"/>
                <w:sz w:val="20"/>
                <w:szCs w:val="20"/>
                <w:highlight w:val="none"/>
              </w:rPr>
            </w:pPr>
            <w:r>
              <w:rPr>
                <w:rFonts w:hint="eastAsia" w:eastAsia="宋体"/>
                <w:sz w:val="20"/>
                <w:szCs w:val="20"/>
                <w:highlight w:val="none"/>
              </w:rPr>
              <w:t>议价</w:t>
            </w:r>
          </w:p>
        </w:tc>
        <w:tc>
          <w:tcPr>
            <w:tcW w:w="5709"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①供应商向Diehl交付的产品价格应包含产品当期价格及增值税；</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②本年度由Diehl订购的产品价格均为固定价格，下一年度的价格变动将由双方商定。如果双方无法就下一年度价格达成一致，则以前价格继续适用，直至次年3月底。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topLinePunct/>
              <w:adjustRightInd w:val="0"/>
              <w:snapToGrid w:val="0"/>
              <w:spacing w:line="240" w:lineRule="atLeast"/>
              <w:rPr>
                <w:rFonts w:eastAsia="宋体"/>
                <w:sz w:val="20"/>
                <w:szCs w:val="20"/>
                <w:highlight w:val="none"/>
              </w:rPr>
            </w:pPr>
            <w:r>
              <w:rPr>
                <w:rFonts w:eastAsia="宋体"/>
                <w:bCs/>
                <w:color w:val="000000"/>
                <w:sz w:val="20"/>
                <w:szCs w:val="20"/>
                <w:highlight w:val="none"/>
              </w:rPr>
              <w:t>广东瑞德智能科技股份有限公司</w:t>
            </w:r>
          </w:p>
        </w:tc>
        <w:tc>
          <w:tcPr>
            <w:tcW w:w="988" w:type="dxa"/>
            <w:vAlign w:val="center"/>
          </w:tcPr>
          <w:p>
            <w:pPr>
              <w:topLinePunct/>
              <w:adjustRightInd w:val="0"/>
              <w:snapToGrid w:val="0"/>
              <w:spacing w:line="240" w:lineRule="atLeast"/>
              <w:jc w:val="center"/>
              <w:rPr>
                <w:rFonts w:eastAsia="宋体"/>
                <w:sz w:val="20"/>
                <w:szCs w:val="20"/>
                <w:highlight w:val="none"/>
              </w:rPr>
            </w:pPr>
            <w:r>
              <w:rPr>
                <w:rFonts w:hint="eastAsia" w:eastAsia="宋体"/>
                <w:sz w:val="20"/>
                <w:szCs w:val="20"/>
                <w:highlight w:val="none"/>
              </w:rPr>
              <w:t>议价</w:t>
            </w:r>
          </w:p>
        </w:tc>
        <w:tc>
          <w:tcPr>
            <w:tcW w:w="5709"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①产品价格构成方式：产品价格=材料成本+费用+利润+税金；</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②报价及核价：乙方报价需提供价格构成的明细，甲方根据市场行情和乙方的经营情况对乙方物料报价进行核定，确定实际结算单价及其执行时间；价格调整周期及执行期间按照双方签订的价格协议执行。</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③乙方保证其提供甲方的价格不能明显高于市场同类产品的平均价格，或在同等条件下，乙方提供价格相比较于其他客户更优惠的价格；</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④在保证产品质量前提下因任意一方建议而改变材料、制造方法程序或采用原材料导致成本减低时，乙方须相应降低产品价格；</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⑤原材料价格变动达到或超过5%时，甲方有权要求重新议定价格；</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⑥乙方要调涨单价时，需提前90日书面通知甲方，并提供相关涨价的依据资料供甲方审核，调涨单价在双方书面确认并签署次日起30日后生效。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topLinePunct/>
              <w:adjustRightInd w:val="0"/>
              <w:snapToGrid w:val="0"/>
              <w:spacing w:line="240" w:lineRule="atLeast"/>
              <w:rPr>
                <w:rFonts w:eastAsia="宋体"/>
                <w:bCs/>
                <w:color w:val="000000"/>
                <w:sz w:val="20"/>
                <w:szCs w:val="20"/>
                <w:highlight w:val="none"/>
              </w:rPr>
            </w:pPr>
            <w:r>
              <w:rPr>
                <w:rFonts w:hint="eastAsia" w:eastAsia="宋体"/>
                <w:bCs/>
                <w:color w:val="000000"/>
                <w:sz w:val="20"/>
                <w:szCs w:val="20"/>
                <w:highlight w:val="none"/>
              </w:rPr>
              <w:t>武汉盛帆电子股份有限公司</w:t>
            </w:r>
          </w:p>
        </w:tc>
        <w:tc>
          <w:tcPr>
            <w:tcW w:w="988" w:type="dxa"/>
            <w:vAlign w:val="center"/>
          </w:tcPr>
          <w:p>
            <w:pPr>
              <w:topLinePunct/>
              <w:adjustRightInd w:val="0"/>
              <w:snapToGrid w:val="0"/>
              <w:spacing w:line="240" w:lineRule="atLeast"/>
              <w:jc w:val="center"/>
              <w:rPr>
                <w:rFonts w:eastAsia="宋体"/>
                <w:sz w:val="20"/>
                <w:szCs w:val="20"/>
                <w:highlight w:val="none"/>
              </w:rPr>
            </w:pPr>
            <w:r>
              <w:rPr>
                <w:rFonts w:hint="eastAsia" w:eastAsia="宋体"/>
                <w:sz w:val="20"/>
                <w:szCs w:val="20"/>
                <w:highlight w:val="none"/>
              </w:rPr>
              <w:t>议价</w:t>
            </w:r>
          </w:p>
        </w:tc>
        <w:tc>
          <w:tcPr>
            <w:tcW w:w="5709"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①产品单价经买卖双方协商确认后以产品订单为准；如订单与卖方销售价格不符，或者卖方销售价格有所调整，卖方应在24小时内向买方提出，经买卖双方书面协商确定价格后，修正订单价格，否则按照原订单价格执行；</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②买方下单卖方未出货前因a原材料成本降低、b市场变动或c其他因素导致订单标的价格下降，卖方应在24小时内主动告知买方，并与买方协商确定价格后，修正订单价格；</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③卖方保证将就其商品提供给买方最优惠的价格和合作条件，且同时为所有生产商或代理商中所能提供的最低价。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topLinePunct/>
              <w:adjustRightInd w:val="0"/>
              <w:snapToGrid w:val="0"/>
              <w:spacing w:line="240" w:lineRule="atLeast"/>
              <w:rPr>
                <w:rFonts w:eastAsia="宋体"/>
                <w:sz w:val="20"/>
                <w:szCs w:val="20"/>
                <w:highlight w:val="none"/>
              </w:rPr>
            </w:pPr>
            <w:r>
              <w:rPr>
                <w:rFonts w:eastAsia="宋体"/>
                <w:sz w:val="20"/>
                <w:szCs w:val="20"/>
                <w:highlight w:val="none"/>
              </w:rPr>
              <w:t>Sagemcom Energy&amp;Telecom SAS</w:t>
            </w:r>
          </w:p>
        </w:tc>
        <w:tc>
          <w:tcPr>
            <w:tcW w:w="988" w:type="dxa"/>
            <w:vAlign w:val="center"/>
          </w:tcPr>
          <w:p>
            <w:pPr>
              <w:topLinePunct/>
              <w:adjustRightInd w:val="0"/>
              <w:snapToGrid w:val="0"/>
              <w:spacing w:line="240" w:lineRule="atLeast"/>
              <w:jc w:val="center"/>
              <w:rPr>
                <w:rFonts w:eastAsia="宋体"/>
                <w:sz w:val="20"/>
                <w:szCs w:val="20"/>
                <w:highlight w:val="none"/>
              </w:rPr>
            </w:pPr>
            <w:r>
              <w:rPr>
                <w:rFonts w:hint="eastAsia" w:eastAsia="宋体"/>
                <w:sz w:val="20"/>
                <w:szCs w:val="20"/>
                <w:highlight w:val="none"/>
              </w:rPr>
              <w:t>议价</w:t>
            </w:r>
          </w:p>
        </w:tc>
        <w:tc>
          <w:tcPr>
            <w:tcW w:w="5709"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①价格由双方协商确定。</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②价格应按照订单中的约定执行，未经Sagemcom书面同意不得更改。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杭州正冠电器有限公司</w:t>
            </w:r>
          </w:p>
        </w:tc>
        <w:tc>
          <w:tcPr>
            <w:tcW w:w="988" w:type="dxa"/>
            <w:vAlign w:val="center"/>
          </w:tcPr>
          <w:p>
            <w:pPr>
              <w:topLinePunct/>
              <w:adjustRightInd w:val="0"/>
              <w:snapToGrid w:val="0"/>
              <w:spacing w:line="240" w:lineRule="atLeast"/>
              <w:jc w:val="center"/>
              <w:rPr>
                <w:rFonts w:eastAsia="宋体"/>
                <w:sz w:val="20"/>
                <w:szCs w:val="20"/>
                <w:highlight w:val="none"/>
              </w:rPr>
            </w:pPr>
            <w:r>
              <w:rPr>
                <w:rFonts w:hint="eastAsia" w:eastAsia="宋体"/>
                <w:sz w:val="20"/>
                <w:szCs w:val="20"/>
                <w:highlight w:val="none"/>
              </w:rPr>
              <w:t>议价</w:t>
            </w:r>
          </w:p>
        </w:tc>
        <w:tc>
          <w:tcPr>
            <w:tcW w:w="5709"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①产品的价格以双方协商后签订的报价单为准；</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②如产品或产品原材料的市场价格浮动达到正负10%或以上，甲方或乙方应及时通知对方，双方客户重新协商价格，协商一致后，新订单按此价格执行。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常州润浠电子科技有限公司</w:t>
            </w:r>
          </w:p>
        </w:tc>
        <w:tc>
          <w:tcPr>
            <w:tcW w:w="988" w:type="dxa"/>
            <w:vAlign w:val="center"/>
          </w:tcPr>
          <w:p>
            <w:pPr>
              <w:topLinePunct/>
              <w:adjustRightInd w:val="0"/>
              <w:snapToGrid w:val="0"/>
              <w:spacing w:line="240" w:lineRule="atLeast"/>
              <w:jc w:val="center"/>
              <w:rPr>
                <w:rFonts w:eastAsia="宋体"/>
                <w:sz w:val="20"/>
                <w:szCs w:val="20"/>
                <w:highlight w:val="none"/>
              </w:rPr>
            </w:pPr>
            <w:r>
              <w:rPr>
                <w:rFonts w:hint="eastAsia" w:eastAsia="宋体"/>
                <w:sz w:val="20"/>
                <w:szCs w:val="20"/>
                <w:highlight w:val="none"/>
              </w:rPr>
              <w:t>议价</w:t>
            </w:r>
          </w:p>
        </w:tc>
        <w:tc>
          <w:tcPr>
            <w:tcW w:w="5709"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①产品的价格以双方协商后签订的报价单为准；</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②如产品或产品原材料的市场价格浮动达到正负10%或以上，甲方或乙方应及时通知对方，双方客户重新协商价格，协商一致后，新订单按此价格执行。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831" w:type="dxa"/>
            <w:vAlign w:val="center"/>
          </w:tcPr>
          <w:p>
            <w:pPr>
              <w:topLinePunct/>
              <w:adjustRightInd w:val="0"/>
              <w:snapToGrid w:val="0"/>
              <w:spacing w:line="240" w:lineRule="atLeast"/>
              <w:rPr>
                <w:rFonts w:eastAsia="宋体"/>
                <w:sz w:val="20"/>
                <w:szCs w:val="20"/>
                <w:highlight w:val="none"/>
              </w:rPr>
            </w:pPr>
            <w:r>
              <w:rPr>
                <w:rFonts w:eastAsia="宋体"/>
                <w:sz w:val="20"/>
                <w:szCs w:val="20"/>
                <w:highlight w:val="none"/>
              </w:rPr>
              <w:t>深圳麦格米特电气股份有限公司</w:t>
            </w:r>
          </w:p>
        </w:tc>
        <w:tc>
          <w:tcPr>
            <w:tcW w:w="988" w:type="dxa"/>
            <w:vAlign w:val="center"/>
          </w:tcPr>
          <w:p>
            <w:pPr>
              <w:topLinePunct/>
              <w:adjustRightInd w:val="0"/>
              <w:snapToGrid w:val="0"/>
              <w:spacing w:line="240" w:lineRule="atLeast"/>
              <w:jc w:val="center"/>
              <w:rPr>
                <w:rFonts w:eastAsia="宋体"/>
                <w:sz w:val="20"/>
                <w:szCs w:val="20"/>
                <w:highlight w:val="none"/>
              </w:rPr>
            </w:pPr>
            <w:r>
              <w:rPr>
                <w:rFonts w:hint="eastAsia" w:eastAsia="宋体"/>
                <w:sz w:val="20"/>
                <w:szCs w:val="20"/>
                <w:highlight w:val="none"/>
              </w:rPr>
              <w:t>议价</w:t>
            </w:r>
          </w:p>
        </w:tc>
        <w:tc>
          <w:tcPr>
            <w:tcW w:w="5709" w:type="dxa"/>
            <w:vAlign w:val="center"/>
          </w:tcPr>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①定价：需方按照招标定价或比价或双方协商进行定价，同时供方应本着诚信与长期合作的原则合理报价；</w:t>
            </w:r>
          </w:p>
          <w:p>
            <w:pPr>
              <w:topLinePunct/>
              <w:adjustRightInd w:val="0"/>
              <w:snapToGrid w:val="0"/>
              <w:spacing w:line="240" w:lineRule="atLeast"/>
              <w:rPr>
                <w:rFonts w:eastAsia="宋体"/>
                <w:sz w:val="20"/>
                <w:szCs w:val="20"/>
                <w:highlight w:val="none"/>
              </w:rPr>
            </w:pPr>
            <w:r>
              <w:rPr>
                <w:rFonts w:hint="eastAsia" w:eastAsia="宋体"/>
                <w:sz w:val="20"/>
                <w:szCs w:val="20"/>
                <w:highlight w:val="none"/>
              </w:rPr>
              <w:t>②价格竞争优势保证：供方保证提供给需方的产品价格具有市场竞争优势；需方向供方提出的降低供方成本的措施，供方应采纳并实施，获得的成本节约应通过降价等方式受益于需方。</w:t>
            </w:r>
          </w:p>
        </w:tc>
      </w:tr>
    </w:tbl>
    <w:p>
      <w:pPr>
        <w:pStyle w:val="25"/>
        <w:adjustRightInd w:val="0"/>
        <w:snapToGrid w:val="0"/>
        <w:spacing w:before="289" w:beforeLines="50"/>
        <w:ind w:firstLine="472"/>
        <w:rPr>
          <w:highlight w:val="none"/>
        </w:rPr>
      </w:pPr>
      <w:r>
        <w:rPr>
          <w:rFonts w:hint="eastAsia"/>
          <w:highlight w:val="none"/>
        </w:rPr>
        <w:t>报告期内，公司对主要客户的部分成熟产品销售价格存在逐年下降的情况，是市场竞争的结果。为了在激烈的市场竞争中维持稳定的利润空间，公司采取了有效的应对措施，具体包括①加大投资建设数据化工厂、增加设备开发</w:t>
      </w:r>
      <w:r>
        <w:rPr>
          <w:rFonts w:hint="eastAsia" w:cs="Times New Roman"/>
          <w:bCs/>
          <w:highlight w:val="none"/>
        </w:rPr>
        <w:t>投入</w:t>
      </w:r>
      <w:r>
        <w:rPr>
          <w:rFonts w:hint="eastAsia"/>
          <w:highlight w:val="none"/>
        </w:rPr>
        <w:t>，从而提高自动化程度，降低人工成本；②持续增加研发投入，通过改进工艺、改变材料等方式降低产品的制造成本及原材料成本；③推进纵向一体化战略，加大核心零部件供应能力、提高产品质量、降低生产成本；④积极开拓下游市场，提高总体市场占有率、提高品牌知名度、提升公司议价话语权；⑤提前布局，提升高毛利产品的市场销售规模，充分发挥规模效益</w:t>
      </w:r>
      <w:r>
        <w:rPr>
          <w:rFonts w:hint="eastAsia" w:ascii="宋体" w:hAnsi="宋体"/>
          <w:highlight w:val="none"/>
        </w:rPr>
        <w:t>，降低成本，从而提高单位产品毛利</w:t>
      </w:r>
      <w:r>
        <w:rPr>
          <w:rFonts w:hint="eastAsia"/>
          <w:highlight w:val="none"/>
        </w:rPr>
        <w:t>。通过一系列应对措施，公司在激烈的市场竞争中可以保持相对稳定的产品毛利率。报告期内，公司主营业务综合毛利率分别为2</w:t>
      </w:r>
      <w:r>
        <w:rPr>
          <w:highlight w:val="none"/>
        </w:rPr>
        <w:t>5.61</w:t>
      </w:r>
      <w:r>
        <w:rPr>
          <w:rFonts w:hint="eastAsia"/>
          <w:highlight w:val="none"/>
        </w:rPr>
        <w:t>%、2</w:t>
      </w:r>
      <w:r>
        <w:rPr>
          <w:highlight w:val="none"/>
        </w:rPr>
        <w:t>6.87</w:t>
      </w:r>
      <w:r>
        <w:rPr>
          <w:rFonts w:hint="eastAsia"/>
          <w:highlight w:val="none"/>
        </w:rPr>
        <w:t>%、2</w:t>
      </w:r>
      <w:r>
        <w:rPr>
          <w:highlight w:val="none"/>
        </w:rPr>
        <w:t>7.52</w:t>
      </w:r>
      <w:r>
        <w:rPr>
          <w:rFonts w:hint="eastAsia"/>
          <w:highlight w:val="none"/>
        </w:rPr>
        <w:t>%和2</w:t>
      </w:r>
      <w:r>
        <w:rPr>
          <w:highlight w:val="none"/>
        </w:rPr>
        <w:t>6.72</w:t>
      </w:r>
      <w:r>
        <w:rPr>
          <w:rFonts w:hint="eastAsia"/>
          <w:highlight w:val="none"/>
        </w:rPr>
        <w:t>%。</w:t>
      </w:r>
    </w:p>
    <w:p>
      <w:pPr>
        <w:pStyle w:val="25"/>
        <w:adjustRightInd w:val="0"/>
        <w:snapToGrid w:val="0"/>
        <w:ind w:firstLine="472"/>
        <w:rPr>
          <w:highlight w:val="none"/>
        </w:rPr>
      </w:pPr>
      <w:r>
        <w:rPr>
          <w:rFonts w:hint="eastAsia"/>
          <w:highlight w:val="none"/>
        </w:rPr>
        <w:t>以上楷体加粗部分已在招股说明书</w:t>
      </w:r>
      <w:r>
        <w:rPr>
          <w:rFonts w:hint="eastAsia" w:ascii="宋体" w:hAnsi="宋体"/>
          <w:highlight w:val="none"/>
        </w:rPr>
        <w:t>“</w:t>
      </w:r>
      <w:r>
        <w:rPr>
          <w:rFonts w:hint="eastAsia"/>
          <w:highlight w:val="none"/>
        </w:rPr>
        <w:t>第六节 业务与技术</w:t>
      </w:r>
      <w:r>
        <w:rPr>
          <w:rFonts w:hint="eastAsia" w:ascii="宋体" w:hAnsi="宋体"/>
          <w:highlight w:val="none"/>
        </w:rPr>
        <w:t>”</w:t>
      </w:r>
      <w:r>
        <w:rPr>
          <w:rFonts w:hint="eastAsia"/>
          <w:highlight w:val="none"/>
        </w:rPr>
        <w:t>之</w:t>
      </w:r>
      <w:r>
        <w:rPr>
          <w:rFonts w:hint="eastAsia" w:ascii="宋体" w:hAnsi="宋体"/>
          <w:highlight w:val="none"/>
        </w:rPr>
        <w:t>“</w:t>
      </w:r>
      <w:r>
        <w:rPr>
          <w:rFonts w:hint="eastAsia"/>
          <w:highlight w:val="none"/>
        </w:rPr>
        <w:t>一、公司主营业务及主要产品</w:t>
      </w:r>
      <w:r>
        <w:rPr>
          <w:rFonts w:hint="eastAsia" w:ascii="宋体" w:hAnsi="宋体"/>
          <w:highlight w:val="none"/>
        </w:rPr>
        <w:t>”</w:t>
      </w:r>
      <w:r>
        <w:rPr>
          <w:rFonts w:hint="eastAsia"/>
          <w:highlight w:val="none"/>
        </w:rPr>
        <w:t>之</w:t>
      </w:r>
      <w:r>
        <w:rPr>
          <w:rFonts w:hint="eastAsia" w:ascii="宋体" w:hAnsi="宋体"/>
          <w:highlight w:val="none"/>
        </w:rPr>
        <w:t>“</w:t>
      </w:r>
      <w:r>
        <w:rPr>
          <w:rFonts w:hint="eastAsia"/>
          <w:highlight w:val="none"/>
        </w:rPr>
        <w:t>（二）主要经营模式</w:t>
      </w:r>
      <w:r>
        <w:rPr>
          <w:rFonts w:hint="eastAsia" w:ascii="宋体" w:hAnsi="宋体"/>
          <w:highlight w:val="none"/>
        </w:rPr>
        <w:t>”</w:t>
      </w:r>
      <w:r>
        <w:rPr>
          <w:rFonts w:hint="eastAsia"/>
          <w:highlight w:val="none"/>
        </w:rPr>
        <w:t>之</w:t>
      </w:r>
      <w:r>
        <w:rPr>
          <w:rFonts w:hint="eastAsia" w:ascii="宋体" w:hAnsi="宋体"/>
          <w:highlight w:val="none"/>
        </w:rPr>
        <w:t>“</w:t>
      </w:r>
      <w:r>
        <w:rPr>
          <w:rFonts w:hint="eastAsia"/>
          <w:highlight w:val="none"/>
        </w:rPr>
        <w:t>3、销售模式</w:t>
      </w:r>
      <w:r>
        <w:rPr>
          <w:rFonts w:hint="eastAsia" w:ascii="宋体" w:hAnsi="宋体"/>
          <w:highlight w:val="none"/>
        </w:rPr>
        <w:t>”</w:t>
      </w:r>
      <w:r>
        <w:rPr>
          <w:rFonts w:hint="eastAsia"/>
          <w:highlight w:val="none"/>
        </w:rPr>
        <w:t>之</w:t>
      </w:r>
      <w:r>
        <w:rPr>
          <w:rFonts w:hint="eastAsia" w:ascii="宋体" w:hAnsi="宋体"/>
          <w:highlight w:val="none"/>
        </w:rPr>
        <w:t>“</w:t>
      </w:r>
      <w:r>
        <w:rPr>
          <w:rFonts w:hint="eastAsia"/>
          <w:highlight w:val="none"/>
        </w:rPr>
        <w:t>（3）产品定价</w:t>
      </w:r>
      <w:r>
        <w:rPr>
          <w:rFonts w:hint="eastAsia" w:ascii="宋体" w:hAnsi="宋体"/>
          <w:highlight w:val="none"/>
        </w:rPr>
        <w:t>”</w:t>
      </w:r>
      <w:r>
        <w:rPr>
          <w:rFonts w:hint="eastAsia"/>
          <w:highlight w:val="none"/>
        </w:rPr>
        <w:t>中补充披露。</w:t>
      </w:r>
    </w:p>
    <w:p>
      <w:pPr>
        <w:topLinePunct/>
        <w:adjustRightInd w:val="0"/>
        <w:snapToGrid w:val="0"/>
        <w:spacing w:after="289" w:afterLines="50" w:line="360" w:lineRule="auto"/>
        <w:ind w:firstLine="472" w:firstLineChars="200"/>
        <w:outlineLvl w:val="1"/>
        <w:rPr>
          <w:rFonts w:ascii="黑体" w:hAnsi="黑体" w:eastAsia="黑体"/>
          <w:b/>
          <w:bCs/>
          <w:sz w:val="24"/>
          <w:highlight w:val="none"/>
        </w:rPr>
      </w:pPr>
      <w:r>
        <w:rPr>
          <w:rFonts w:ascii="黑体" w:hAnsi="黑体" w:eastAsia="黑体"/>
          <w:b/>
          <w:bCs/>
          <w:sz w:val="24"/>
          <w:highlight w:val="none"/>
        </w:rPr>
        <w:t>（二）结合发行人所处市场地位，就主要客户要求持续降价对发行人经营业绩的影响做风险提示。</w:t>
      </w:r>
    </w:p>
    <w:p>
      <w:pPr>
        <w:pStyle w:val="25"/>
        <w:adjustRightInd w:val="0"/>
        <w:snapToGrid w:val="0"/>
        <w:ind w:firstLine="474"/>
        <w:rPr>
          <w:rFonts w:ascii="楷体" w:hAnsi="楷体" w:eastAsia="楷体"/>
          <w:b/>
          <w:bCs/>
          <w:highlight w:val="none"/>
        </w:rPr>
      </w:pPr>
      <w:r>
        <w:rPr>
          <w:rFonts w:hint="eastAsia" w:ascii="楷体" w:hAnsi="楷体" w:eastAsia="楷体"/>
          <w:b/>
          <w:bCs/>
          <w:highlight w:val="none"/>
        </w:rPr>
        <w:t>“（九）产品价格下降风险</w:t>
      </w:r>
    </w:p>
    <w:p>
      <w:pPr>
        <w:pStyle w:val="25"/>
        <w:adjustRightInd w:val="0"/>
        <w:snapToGrid w:val="0"/>
        <w:ind w:firstLine="474"/>
        <w:rPr>
          <w:rFonts w:ascii="楷体" w:hAnsi="楷体" w:eastAsia="楷体"/>
          <w:b/>
          <w:bCs/>
          <w:highlight w:val="none"/>
        </w:rPr>
      </w:pPr>
      <w:r>
        <w:rPr>
          <w:rFonts w:hint="eastAsia" w:ascii="楷体" w:hAnsi="楷体" w:eastAsia="楷体"/>
          <w:b/>
          <w:bCs/>
          <w:highlight w:val="none"/>
        </w:rPr>
        <w:t>继电器行业是充分竞争的行业，产品销售价格主要受市场供求关系决定，公司与主要客户销售定价均系市场竞争、商务谈判的结果。报告期内，公司主要客户均系家电行业或者智能电表行业知名企业，公司面临主要客户较大的行业竞争压力及客户降价压力，因此部分产品价格逐年下降。尽管公司通过采取提高自动化程度、增加研发投入、改进工艺、提高规模化效应等应对措施，降低了公司产品成本，使公司一定程度上保持了相对稳定的毛利率，但市场竞争加剧及客户降价压力仍有可能导致产品价格进一步下降，将可能对公司的盈利能力造成不利影响”</w:t>
      </w:r>
    </w:p>
    <w:p>
      <w:pPr>
        <w:pStyle w:val="25"/>
        <w:adjustRightInd w:val="0"/>
        <w:snapToGrid w:val="0"/>
        <w:ind w:firstLine="472"/>
        <w:rPr>
          <w:highlight w:val="none"/>
        </w:rPr>
      </w:pPr>
      <w:r>
        <w:rPr>
          <w:rFonts w:hint="eastAsia"/>
          <w:highlight w:val="none"/>
        </w:rPr>
        <w:t>以上楷体加粗部分已在招股说明书</w:t>
      </w:r>
      <w:r>
        <w:rPr>
          <w:rFonts w:hint="eastAsia" w:ascii="宋体" w:hAnsi="宋体"/>
          <w:highlight w:val="none"/>
        </w:rPr>
        <w:t>“</w:t>
      </w:r>
      <w:r>
        <w:rPr>
          <w:rFonts w:hint="eastAsia"/>
          <w:highlight w:val="none"/>
        </w:rPr>
        <w:t>第四节 风险因素</w:t>
      </w:r>
      <w:r>
        <w:rPr>
          <w:rFonts w:hint="eastAsia" w:ascii="宋体" w:hAnsi="宋体"/>
          <w:highlight w:val="none"/>
        </w:rPr>
        <w:t>”</w:t>
      </w:r>
      <w:r>
        <w:rPr>
          <w:rFonts w:hint="eastAsia"/>
          <w:highlight w:val="none"/>
        </w:rPr>
        <w:t>之</w:t>
      </w:r>
      <w:r>
        <w:rPr>
          <w:rFonts w:hint="eastAsia" w:ascii="宋体" w:hAnsi="宋体"/>
          <w:highlight w:val="none"/>
        </w:rPr>
        <w:t>“</w:t>
      </w:r>
      <w:r>
        <w:rPr>
          <w:rFonts w:hint="eastAsia"/>
          <w:highlight w:val="none"/>
        </w:rPr>
        <w:t>三、经营风险</w:t>
      </w:r>
      <w:r>
        <w:rPr>
          <w:rFonts w:hint="eastAsia" w:ascii="宋体" w:hAnsi="宋体"/>
          <w:highlight w:val="none"/>
        </w:rPr>
        <w:t>”</w:t>
      </w:r>
      <w:r>
        <w:rPr>
          <w:rFonts w:hint="eastAsia"/>
          <w:highlight w:val="none"/>
        </w:rPr>
        <w:t>之</w:t>
      </w:r>
      <w:r>
        <w:rPr>
          <w:rFonts w:hint="eastAsia" w:ascii="宋体" w:hAnsi="宋体"/>
          <w:highlight w:val="none"/>
        </w:rPr>
        <w:t>“</w:t>
      </w:r>
      <w:r>
        <w:rPr>
          <w:rFonts w:hint="eastAsia"/>
          <w:highlight w:val="none"/>
        </w:rPr>
        <w:t>（九）产品价格下降风险</w:t>
      </w:r>
      <w:r>
        <w:rPr>
          <w:rFonts w:hint="eastAsia" w:ascii="宋体" w:hAnsi="宋体"/>
          <w:highlight w:val="none"/>
        </w:rPr>
        <w:t>”</w:t>
      </w:r>
      <w:r>
        <w:rPr>
          <w:rFonts w:hint="eastAsia"/>
          <w:highlight w:val="none"/>
        </w:rPr>
        <w:t>中补充披露。</w:t>
      </w:r>
    </w:p>
    <w:p>
      <w:pPr>
        <w:topLinePunct/>
        <w:adjustRightInd w:val="0"/>
        <w:snapToGrid w:val="0"/>
        <w:spacing w:after="289" w:afterLines="50" w:line="360" w:lineRule="auto"/>
        <w:ind w:firstLine="472" w:firstLineChars="200"/>
        <w:outlineLvl w:val="1"/>
        <w:rPr>
          <w:rFonts w:ascii="黑体" w:hAnsi="黑体" w:eastAsia="黑体"/>
          <w:b/>
          <w:bCs/>
          <w:sz w:val="24"/>
          <w:highlight w:val="none"/>
        </w:rPr>
      </w:pPr>
      <w:r>
        <w:rPr>
          <w:rFonts w:ascii="黑体" w:hAnsi="黑体" w:eastAsia="黑体"/>
          <w:b/>
          <w:bCs/>
          <w:sz w:val="24"/>
          <w:highlight w:val="none"/>
        </w:rPr>
        <w:t>（三）请保荐机构和申报会计师进行核查，并发表核查意见。</w:t>
      </w:r>
    </w:p>
    <w:p>
      <w:pPr>
        <w:adjustRightInd w:val="0"/>
        <w:snapToGrid w:val="0"/>
        <w:spacing w:line="360" w:lineRule="auto"/>
        <w:ind w:firstLine="472" w:firstLineChars="200"/>
        <w:rPr>
          <w:rFonts w:eastAsia="宋体"/>
          <w:b/>
          <w:sz w:val="24"/>
          <w:highlight w:val="none"/>
        </w:rPr>
      </w:pPr>
      <w:r>
        <w:rPr>
          <w:rFonts w:hint="eastAsia" w:eastAsia="宋体"/>
          <w:b/>
          <w:bCs/>
          <w:sz w:val="24"/>
          <w:highlight w:val="none"/>
        </w:rPr>
        <w:t>1、</w:t>
      </w:r>
      <w:r>
        <w:rPr>
          <w:rFonts w:eastAsia="宋体"/>
          <w:b/>
          <w:sz w:val="24"/>
          <w:highlight w:val="none"/>
        </w:rPr>
        <w:t>核查程序</w:t>
      </w:r>
    </w:p>
    <w:p>
      <w:pPr>
        <w:pStyle w:val="25"/>
        <w:adjustRightInd w:val="0"/>
        <w:snapToGrid w:val="0"/>
        <w:ind w:firstLine="472"/>
        <w:rPr>
          <w:rFonts w:cs="Times New Roman"/>
          <w:bCs/>
          <w:highlight w:val="none"/>
        </w:rPr>
      </w:pPr>
      <w:r>
        <w:rPr>
          <w:rFonts w:hint="eastAsia" w:cs="Times New Roman"/>
          <w:bCs/>
          <w:highlight w:val="none"/>
        </w:rPr>
        <w:t>就上述事项，保荐机构采取以下核查措施：</w:t>
      </w:r>
    </w:p>
    <w:p>
      <w:pPr>
        <w:pStyle w:val="25"/>
        <w:adjustRightInd w:val="0"/>
        <w:snapToGrid w:val="0"/>
        <w:ind w:firstLine="472"/>
        <w:rPr>
          <w:rFonts w:cs="Times New Roman"/>
          <w:bCs/>
          <w:highlight w:val="none"/>
        </w:rPr>
      </w:pPr>
      <w:r>
        <w:rPr>
          <w:rFonts w:hint="eastAsia" w:cs="Times New Roman"/>
          <w:bCs/>
          <w:highlight w:val="none"/>
        </w:rPr>
        <w:t>（1）访谈发行人管理层，了解发行人与主要客户的产品销售价格确定及调整的具体情况、销售价格降低的原因及合理性以及发行人与客户之间是否存在</w:t>
      </w:r>
      <w:r>
        <w:rPr>
          <w:rFonts w:hint="eastAsia" w:ascii="宋体" w:hAnsi="宋体" w:cs="Times New Roman"/>
          <w:bCs/>
          <w:highlight w:val="none"/>
        </w:rPr>
        <w:t>“</w:t>
      </w:r>
      <w:r>
        <w:rPr>
          <w:rFonts w:hint="eastAsia" w:cs="Times New Roman"/>
          <w:bCs/>
          <w:highlight w:val="none"/>
        </w:rPr>
        <w:t>年降</w:t>
      </w:r>
      <w:r>
        <w:rPr>
          <w:rFonts w:hint="eastAsia" w:ascii="宋体" w:hAnsi="宋体" w:cs="Times New Roman"/>
          <w:bCs/>
          <w:highlight w:val="none"/>
        </w:rPr>
        <w:t>”</w:t>
      </w:r>
      <w:r>
        <w:rPr>
          <w:rFonts w:hint="eastAsia" w:cs="Times New Roman"/>
          <w:bCs/>
          <w:highlight w:val="none"/>
        </w:rPr>
        <w:t>的安排；</w:t>
      </w:r>
    </w:p>
    <w:p>
      <w:pPr>
        <w:pStyle w:val="25"/>
        <w:adjustRightInd w:val="0"/>
        <w:snapToGrid w:val="0"/>
        <w:ind w:firstLine="472"/>
        <w:rPr>
          <w:rFonts w:cs="Times New Roman"/>
          <w:bCs/>
          <w:highlight w:val="none"/>
        </w:rPr>
      </w:pPr>
      <w:r>
        <w:rPr>
          <w:rFonts w:hint="eastAsia" w:cs="Times New Roman"/>
          <w:bCs/>
          <w:highlight w:val="none"/>
        </w:rPr>
        <w:t>（2）查阅发行人与主要客户签订的销售合同或订单，查阅价格约定的相关合同条款，查看是否存在</w:t>
      </w:r>
      <w:r>
        <w:rPr>
          <w:rFonts w:hint="eastAsia" w:ascii="宋体" w:hAnsi="宋体" w:cs="Times New Roman"/>
          <w:bCs/>
          <w:highlight w:val="none"/>
        </w:rPr>
        <w:t>“</w:t>
      </w:r>
      <w:r>
        <w:rPr>
          <w:rFonts w:hint="eastAsia" w:cs="Times New Roman"/>
          <w:bCs/>
          <w:highlight w:val="none"/>
        </w:rPr>
        <w:t>年降</w:t>
      </w:r>
      <w:r>
        <w:rPr>
          <w:rFonts w:hint="eastAsia" w:ascii="宋体" w:hAnsi="宋体" w:cs="Times New Roman"/>
          <w:bCs/>
          <w:highlight w:val="none"/>
        </w:rPr>
        <w:t>”</w:t>
      </w:r>
      <w:r>
        <w:rPr>
          <w:rFonts w:hint="eastAsia" w:cs="Times New Roman"/>
          <w:bCs/>
          <w:highlight w:val="none"/>
        </w:rPr>
        <w:t>的安排；</w:t>
      </w:r>
    </w:p>
    <w:p>
      <w:pPr>
        <w:pStyle w:val="25"/>
        <w:adjustRightInd w:val="0"/>
        <w:snapToGrid w:val="0"/>
        <w:ind w:firstLine="472"/>
        <w:rPr>
          <w:rFonts w:cs="Times New Roman"/>
          <w:bCs/>
          <w:highlight w:val="none"/>
        </w:rPr>
      </w:pPr>
      <w:r>
        <w:rPr>
          <w:rFonts w:hint="eastAsia" w:cs="Times New Roman"/>
          <w:bCs/>
          <w:highlight w:val="none"/>
        </w:rPr>
        <w:t>（3）访谈发行人主要客户，了解发行人与客户交易价格约定与调整方式，了解发行人是否向客户承诺过以后年度进行降价的安排等；</w:t>
      </w:r>
    </w:p>
    <w:p>
      <w:pPr>
        <w:pStyle w:val="25"/>
        <w:adjustRightInd w:val="0"/>
        <w:snapToGrid w:val="0"/>
        <w:ind w:firstLine="472"/>
        <w:rPr>
          <w:rFonts w:cs="Times New Roman"/>
          <w:bCs/>
          <w:highlight w:val="none"/>
        </w:rPr>
      </w:pPr>
      <w:r>
        <w:rPr>
          <w:rFonts w:hint="eastAsia" w:cs="Times New Roman"/>
          <w:bCs/>
          <w:highlight w:val="none"/>
        </w:rPr>
        <w:t>（4）分析发行人与主要客户销售价格波动情况，分析价格波动的原因及合理性；</w:t>
      </w:r>
    </w:p>
    <w:p>
      <w:pPr>
        <w:topLinePunct/>
        <w:adjustRightInd w:val="0"/>
        <w:snapToGrid w:val="0"/>
        <w:spacing w:line="360" w:lineRule="auto"/>
        <w:ind w:firstLine="472" w:firstLineChars="200"/>
        <w:rPr>
          <w:rFonts w:eastAsia="宋体"/>
          <w:b/>
          <w:bCs/>
          <w:sz w:val="24"/>
          <w:highlight w:val="none"/>
        </w:rPr>
      </w:pPr>
      <w:r>
        <w:rPr>
          <w:rFonts w:hint="eastAsia" w:eastAsia="宋体"/>
          <w:b/>
          <w:bCs/>
          <w:sz w:val="24"/>
          <w:highlight w:val="none"/>
        </w:rPr>
        <w:t>2、核查意见</w:t>
      </w:r>
    </w:p>
    <w:p>
      <w:pPr>
        <w:pStyle w:val="25"/>
        <w:adjustRightInd w:val="0"/>
        <w:snapToGrid w:val="0"/>
        <w:ind w:firstLine="472"/>
        <w:rPr>
          <w:rFonts w:cs="Times New Roman"/>
          <w:bCs/>
          <w:highlight w:val="none"/>
        </w:rPr>
      </w:pPr>
      <w:r>
        <w:rPr>
          <w:rFonts w:hint="eastAsia" w:cs="Times New Roman"/>
          <w:bCs/>
          <w:highlight w:val="none"/>
        </w:rPr>
        <w:t>经核查，保荐机构及申报会计师认为：</w:t>
      </w:r>
    </w:p>
    <w:p>
      <w:pPr>
        <w:pStyle w:val="25"/>
        <w:adjustRightInd w:val="0"/>
        <w:snapToGrid w:val="0"/>
        <w:ind w:firstLine="472"/>
        <w:rPr>
          <w:rFonts w:cs="Times New Roman"/>
          <w:bCs/>
          <w:highlight w:val="none"/>
        </w:rPr>
      </w:pPr>
      <w:r>
        <w:rPr>
          <w:rFonts w:hint="eastAsia" w:cs="Times New Roman"/>
          <w:bCs/>
          <w:highlight w:val="none"/>
        </w:rPr>
        <w:t>发行人所处行业属于充分竞争的行业，发行人与主要客户销售价格通过议价或招标方式确定，销售价格的变动是市场竞争、商务谈判的结果，发行人与主要客户之间的销售定价不存在</w:t>
      </w:r>
      <w:r>
        <w:rPr>
          <w:rFonts w:hint="eastAsia" w:ascii="宋体" w:hAnsi="宋体" w:cs="Times New Roman"/>
          <w:bCs/>
          <w:highlight w:val="none"/>
        </w:rPr>
        <w:t>“</w:t>
      </w:r>
      <w:r>
        <w:rPr>
          <w:rFonts w:hint="eastAsia" w:cs="Times New Roman"/>
          <w:bCs/>
          <w:highlight w:val="none"/>
        </w:rPr>
        <w:t>年降</w:t>
      </w:r>
      <w:r>
        <w:rPr>
          <w:rFonts w:hint="eastAsia" w:ascii="宋体" w:hAnsi="宋体" w:cs="Times New Roman"/>
          <w:bCs/>
          <w:highlight w:val="none"/>
        </w:rPr>
        <w:t>”</w:t>
      </w:r>
      <w:r>
        <w:rPr>
          <w:rFonts w:hint="eastAsia" w:cs="Times New Roman"/>
          <w:bCs/>
          <w:highlight w:val="none"/>
        </w:rPr>
        <w:t>安排。关于主要客户要求持续降价对发行人经营业绩的影响已在招股说明书中补充披露风险提示。</w:t>
      </w:r>
    </w:p>
    <w:p>
      <w:pPr>
        <w:topLinePunct/>
        <w:adjustRightInd w:val="0"/>
        <w:snapToGrid w:val="0"/>
        <w:spacing w:before="289" w:beforeLines="50" w:after="289" w:afterLines="50" w:line="360" w:lineRule="auto"/>
        <w:ind w:firstLine="472" w:firstLineChars="200"/>
        <w:outlineLvl w:val="0"/>
        <w:rPr>
          <w:rFonts w:ascii="黑体" w:hAnsi="黑体" w:eastAsia="黑体"/>
          <w:b/>
          <w:bCs/>
          <w:sz w:val="24"/>
          <w:highlight w:val="none"/>
        </w:rPr>
      </w:pPr>
      <w:bookmarkStart w:id="5" w:name="_Toc51983466"/>
      <w:r>
        <w:rPr>
          <w:rFonts w:hint="eastAsia" w:ascii="黑体" w:hAnsi="黑体" w:eastAsia="黑体"/>
          <w:b/>
          <w:bCs/>
          <w:sz w:val="24"/>
          <w:highlight w:val="none"/>
        </w:rPr>
        <w:t>四、关于其他业务收入</w:t>
      </w:r>
      <w:bookmarkEnd w:id="5"/>
    </w:p>
    <w:p>
      <w:pPr>
        <w:topLinePunct/>
        <w:adjustRightInd w:val="0"/>
        <w:snapToGrid w:val="0"/>
        <w:spacing w:line="360" w:lineRule="auto"/>
        <w:ind w:firstLine="472" w:firstLineChars="200"/>
        <w:rPr>
          <w:rFonts w:ascii="黑体" w:hAnsi="黑体" w:eastAsia="黑体"/>
          <w:b/>
          <w:bCs/>
          <w:sz w:val="24"/>
          <w:highlight w:val="none"/>
        </w:rPr>
      </w:pPr>
      <w:r>
        <w:rPr>
          <w:rFonts w:hint="eastAsia" w:ascii="黑体" w:hAnsi="黑体" w:eastAsia="黑体"/>
          <w:b/>
          <w:bCs/>
          <w:sz w:val="24"/>
          <w:highlight w:val="none"/>
        </w:rPr>
        <w:t>其他业务收入中废料的销售包括加工废料及成品废品，随着报告期内公司产销量的增加，废料销售的收入呈现增长的趋势。报告期内废料的销售收入金额分别为2,618.85万元、3,491.76万元和4,294.72万元。</w:t>
      </w:r>
    </w:p>
    <w:p>
      <w:pPr>
        <w:topLinePunct/>
        <w:adjustRightInd w:val="0"/>
        <w:snapToGrid w:val="0"/>
        <w:spacing w:line="360" w:lineRule="auto"/>
        <w:ind w:firstLine="472" w:firstLineChars="200"/>
        <w:rPr>
          <w:rFonts w:ascii="黑体" w:hAnsi="黑体" w:eastAsia="黑体"/>
          <w:b/>
          <w:bCs/>
          <w:sz w:val="24"/>
          <w:highlight w:val="none"/>
        </w:rPr>
      </w:pPr>
      <w:r>
        <w:rPr>
          <w:rFonts w:hint="eastAsia" w:ascii="黑体" w:hAnsi="黑体" w:eastAsia="黑体"/>
          <w:b/>
          <w:bCs/>
          <w:sz w:val="24"/>
          <w:highlight w:val="none"/>
        </w:rPr>
        <w:t>请发行人补充说明：废料（加工废料及成品废品）销售的内部控制流程，收入和成本的会计核算方法和依据，量化分析报告期内废料数量与原材料投料数量和产品产销量的匹配关系。</w:t>
      </w:r>
    </w:p>
    <w:p>
      <w:pPr>
        <w:topLinePunct/>
        <w:adjustRightInd w:val="0"/>
        <w:snapToGrid w:val="0"/>
        <w:spacing w:line="360" w:lineRule="auto"/>
        <w:ind w:firstLine="472" w:firstLineChars="200"/>
        <w:rPr>
          <w:rFonts w:ascii="黑体" w:hAnsi="黑体" w:eastAsia="黑体"/>
          <w:b/>
          <w:bCs/>
          <w:sz w:val="24"/>
          <w:highlight w:val="none"/>
        </w:rPr>
      </w:pPr>
      <w:r>
        <w:rPr>
          <w:rFonts w:hint="eastAsia" w:ascii="黑体" w:hAnsi="黑体" w:eastAsia="黑体"/>
          <w:b/>
          <w:bCs/>
          <w:sz w:val="24"/>
          <w:highlight w:val="none"/>
        </w:rPr>
        <w:t>请保荐机构和申报会计师进行核查，并发表核查意见。</w:t>
      </w:r>
    </w:p>
    <w:p>
      <w:pPr>
        <w:snapToGrid w:val="0"/>
        <w:spacing w:line="360" w:lineRule="auto"/>
        <w:ind w:firstLine="472" w:firstLineChars="200"/>
        <w:rPr>
          <w:rFonts w:ascii="宋体" w:hAnsi="宋体" w:eastAsia="宋体"/>
          <w:b/>
          <w:bCs/>
          <w:sz w:val="24"/>
          <w:highlight w:val="none"/>
        </w:rPr>
      </w:pPr>
      <w:r>
        <w:rPr>
          <w:rFonts w:ascii="宋体" w:hAnsi="宋体" w:eastAsia="宋体"/>
          <w:b/>
          <w:bCs/>
          <w:sz w:val="24"/>
          <w:highlight w:val="none"/>
        </w:rPr>
        <w:t>回复：</w:t>
      </w:r>
    </w:p>
    <w:p>
      <w:pPr>
        <w:topLinePunct/>
        <w:adjustRightInd w:val="0"/>
        <w:snapToGrid w:val="0"/>
        <w:spacing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（一）请发行人补充说明：废料（加工废料及成品废品）销售的内部控制流程，收入和成本的会计核算方法和依据，量化分析报告期内废料数量与原材料投料数量和产品产销量的匹配关系。</w:t>
      </w:r>
    </w:p>
    <w:p>
      <w:pPr>
        <w:pStyle w:val="25"/>
        <w:adjustRightInd w:val="0"/>
        <w:snapToGrid w:val="0"/>
        <w:ind w:firstLine="472"/>
        <w:rPr>
          <w:rFonts w:cs="Times New Roman"/>
          <w:bCs/>
          <w:highlight w:val="none"/>
        </w:rPr>
      </w:pPr>
      <w:r>
        <w:rPr>
          <w:rFonts w:cs="Times New Roman"/>
          <w:bCs/>
          <w:highlight w:val="none"/>
        </w:rPr>
        <w:t>公司其他业务收入中的废料分为加工废料和成品废品，其中加工废料主要是指在五金零件生产过程中投入的铜、铁在冲压工序产生的铜、铁边角料和头尾料</w:t>
      </w:r>
      <w:r>
        <w:rPr>
          <w:rFonts w:hint="eastAsia" w:cs="Times New Roman"/>
          <w:bCs/>
          <w:highlight w:val="none"/>
        </w:rPr>
        <w:t>、</w:t>
      </w:r>
      <w:r>
        <w:rPr>
          <w:rFonts w:cs="Times New Roman"/>
          <w:bCs/>
          <w:highlight w:val="none"/>
        </w:rPr>
        <w:t>零部件生产过程中产生的报废品以及锡渣等废料；成品废品是指在继电器组装工序中产生的报废品。报告期内五金零件冲压工序产生的铜、铁边角料和头尾料的销售金额占其他业务</w:t>
      </w:r>
      <w:r>
        <w:rPr>
          <w:rFonts w:hint="eastAsia" w:cs="Times New Roman"/>
          <w:bCs/>
          <w:highlight w:val="none"/>
        </w:rPr>
        <w:t>中</w:t>
      </w:r>
      <w:r>
        <w:rPr>
          <w:rFonts w:cs="Times New Roman"/>
          <w:bCs/>
          <w:highlight w:val="none"/>
        </w:rPr>
        <w:t>废料收入</w:t>
      </w:r>
      <w:r>
        <w:rPr>
          <w:rFonts w:hint="eastAsia" w:cs="Times New Roman"/>
          <w:bCs/>
          <w:highlight w:val="none"/>
        </w:rPr>
        <w:t>的</w:t>
      </w:r>
      <w:r>
        <w:rPr>
          <w:rFonts w:cs="Times New Roman"/>
          <w:bCs/>
          <w:highlight w:val="none"/>
        </w:rPr>
        <w:t>比例分别为89.99%、88.83%、92.65%及92.05%，为废料收入的主要构成，具体如下：</w:t>
      </w:r>
    </w:p>
    <w:p>
      <w:pPr>
        <w:pStyle w:val="25"/>
        <w:adjustRightInd w:val="0"/>
        <w:snapToGrid w:val="0"/>
        <w:ind w:firstLine="472"/>
        <w:jc w:val="right"/>
        <w:rPr>
          <w:rFonts w:cs="Times New Roman"/>
          <w:bCs/>
          <w:sz w:val="21"/>
          <w:szCs w:val="21"/>
          <w:highlight w:val="none"/>
        </w:rPr>
      </w:pPr>
      <w:r>
        <w:rPr>
          <w:rFonts w:hint="eastAsia" w:cs="Times New Roman"/>
          <w:bCs/>
          <w:highlight w:val="none"/>
        </w:rPr>
        <w:t xml:space="preserve"> </w:t>
      </w:r>
      <w:r>
        <w:rPr>
          <w:rFonts w:cs="Times New Roman"/>
          <w:bCs/>
          <w:highlight w:val="none"/>
        </w:rPr>
        <w:t xml:space="preserve">                                       </w:t>
      </w:r>
      <w:r>
        <w:rPr>
          <w:rFonts w:cs="Times New Roman"/>
          <w:bCs/>
          <w:sz w:val="21"/>
          <w:szCs w:val="21"/>
          <w:highlight w:val="none"/>
        </w:rPr>
        <w:t xml:space="preserve">      单位：万元、%</w:t>
      </w:r>
    </w:p>
    <w:tbl>
      <w:tblPr>
        <w:tblStyle w:val="13"/>
        <w:tblW w:w="47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1740"/>
        <w:gridCol w:w="1252"/>
        <w:gridCol w:w="1252"/>
        <w:gridCol w:w="1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770" w:type="pct"/>
            <w:tcBorders>
              <w:tl2br w:val="nil"/>
              <w:tr2bl w:val="nil"/>
            </w:tcBorders>
            <w:vAlign w:val="center"/>
          </w:tcPr>
          <w:p>
            <w:pPr>
              <w:spacing w:line="240" w:lineRule="exact"/>
              <w:jc w:val="center"/>
              <w:rPr>
                <w:rFonts w:eastAsia="宋体"/>
                <w:b/>
                <w:sz w:val="21"/>
                <w:szCs w:val="21"/>
                <w:highlight w:val="none"/>
              </w:rPr>
            </w:pPr>
            <w:r>
              <w:rPr>
                <w:rFonts w:eastAsia="宋体"/>
                <w:b/>
                <w:sz w:val="21"/>
                <w:szCs w:val="21"/>
                <w:highlight w:val="none"/>
              </w:rPr>
              <w:t>项 目</w:t>
            </w:r>
          </w:p>
        </w:tc>
        <w:tc>
          <w:tcPr>
            <w:tcW w:w="1020" w:type="pct"/>
            <w:tcBorders>
              <w:tl2br w:val="nil"/>
              <w:tr2bl w:val="nil"/>
            </w:tcBorders>
            <w:vAlign w:val="center"/>
          </w:tcPr>
          <w:p>
            <w:pPr>
              <w:spacing w:line="240" w:lineRule="exact"/>
              <w:jc w:val="center"/>
              <w:rPr>
                <w:rFonts w:eastAsia="宋体"/>
                <w:b/>
                <w:sz w:val="21"/>
                <w:szCs w:val="21"/>
                <w:highlight w:val="none"/>
              </w:rPr>
            </w:pPr>
            <w:r>
              <w:rPr>
                <w:rFonts w:eastAsia="宋体"/>
                <w:b/>
                <w:sz w:val="21"/>
                <w:szCs w:val="21"/>
                <w:highlight w:val="none"/>
              </w:rPr>
              <w:t>2020年1-6月</w:t>
            </w:r>
          </w:p>
        </w:tc>
        <w:tc>
          <w:tcPr>
            <w:tcW w:w="734" w:type="pct"/>
            <w:tcBorders>
              <w:tl2br w:val="nil"/>
              <w:tr2bl w:val="nil"/>
            </w:tcBorders>
            <w:vAlign w:val="center"/>
          </w:tcPr>
          <w:p>
            <w:pPr>
              <w:spacing w:line="240" w:lineRule="exact"/>
              <w:jc w:val="center"/>
              <w:rPr>
                <w:rFonts w:eastAsia="宋体"/>
                <w:b/>
                <w:sz w:val="21"/>
                <w:szCs w:val="21"/>
                <w:highlight w:val="none"/>
              </w:rPr>
            </w:pPr>
            <w:r>
              <w:rPr>
                <w:rFonts w:eastAsia="宋体"/>
                <w:b/>
                <w:sz w:val="21"/>
                <w:szCs w:val="21"/>
                <w:highlight w:val="none"/>
              </w:rPr>
              <w:t>2019年度</w:t>
            </w:r>
          </w:p>
        </w:tc>
        <w:tc>
          <w:tcPr>
            <w:tcW w:w="734" w:type="pct"/>
            <w:tcBorders>
              <w:tl2br w:val="nil"/>
              <w:tr2bl w:val="nil"/>
            </w:tcBorders>
            <w:vAlign w:val="center"/>
          </w:tcPr>
          <w:p>
            <w:pPr>
              <w:spacing w:line="240" w:lineRule="exact"/>
              <w:jc w:val="center"/>
              <w:rPr>
                <w:rFonts w:eastAsia="宋体"/>
                <w:b/>
                <w:sz w:val="21"/>
                <w:szCs w:val="21"/>
                <w:highlight w:val="none"/>
              </w:rPr>
            </w:pPr>
            <w:r>
              <w:rPr>
                <w:rFonts w:eastAsia="宋体"/>
                <w:b/>
                <w:sz w:val="21"/>
                <w:szCs w:val="21"/>
                <w:highlight w:val="none"/>
              </w:rPr>
              <w:t>2018年度</w:t>
            </w:r>
          </w:p>
        </w:tc>
        <w:tc>
          <w:tcPr>
            <w:tcW w:w="739" w:type="pct"/>
            <w:tcBorders>
              <w:tl2br w:val="nil"/>
              <w:tr2bl w:val="nil"/>
            </w:tcBorders>
            <w:vAlign w:val="center"/>
          </w:tcPr>
          <w:p>
            <w:pPr>
              <w:spacing w:line="240" w:lineRule="exact"/>
              <w:jc w:val="center"/>
              <w:rPr>
                <w:rFonts w:eastAsia="宋体"/>
                <w:b/>
                <w:sz w:val="21"/>
                <w:szCs w:val="21"/>
                <w:highlight w:val="none"/>
              </w:rPr>
            </w:pPr>
            <w:r>
              <w:rPr>
                <w:rFonts w:eastAsia="宋体"/>
                <w:b/>
                <w:sz w:val="21"/>
                <w:szCs w:val="21"/>
                <w:highlight w:val="none"/>
              </w:rPr>
              <w:t>2017年度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0" w:type="pct"/>
            <w:tcBorders>
              <w:tl2br w:val="nil"/>
              <w:tr2bl w:val="nil"/>
            </w:tcBorders>
            <w:vAlign w:val="center"/>
          </w:tcPr>
          <w:p>
            <w:pPr>
              <w:spacing w:line="240" w:lineRule="exact"/>
              <w:rPr>
                <w:rFonts w:eastAsia="宋体"/>
                <w:bCs/>
                <w:sz w:val="21"/>
                <w:szCs w:val="21"/>
                <w:highlight w:val="none"/>
              </w:rPr>
            </w:pPr>
            <w:r>
              <w:rPr>
                <w:rFonts w:eastAsia="宋体"/>
                <w:bCs/>
                <w:sz w:val="21"/>
                <w:szCs w:val="21"/>
                <w:highlight w:val="none"/>
              </w:rPr>
              <w:t>铜、铁边角料和头尾料(A)</w:t>
            </w:r>
          </w:p>
        </w:tc>
        <w:tc>
          <w:tcPr>
            <w:tcW w:w="102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2,159.65</w:t>
            </w:r>
          </w:p>
        </w:tc>
        <w:tc>
          <w:tcPr>
            <w:tcW w:w="734"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3,979.26</w:t>
            </w:r>
          </w:p>
        </w:tc>
        <w:tc>
          <w:tcPr>
            <w:tcW w:w="734"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3,101.59</w:t>
            </w:r>
          </w:p>
        </w:tc>
        <w:tc>
          <w:tcPr>
            <w:tcW w:w="739"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2,356.80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0" w:type="pct"/>
            <w:tcBorders>
              <w:tl2br w:val="nil"/>
              <w:tr2bl w:val="nil"/>
            </w:tcBorders>
            <w:vAlign w:val="center"/>
          </w:tcPr>
          <w:p>
            <w:pPr>
              <w:spacing w:line="240" w:lineRule="exact"/>
              <w:rPr>
                <w:rFonts w:eastAsia="宋体"/>
                <w:bCs/>
                <w:sz w:val="21"/>
                <w:szCs w:val="21"/>
                <w:highlight w:val="none"/>
              </w:rPr>
            </w:pPr>
            <w:r>
              <w:rPr>
                <w:rFonts w:eastAsia="宋体"/>
                <w:bCs/>
                <w:sz w:val="21"/>
                <w:szCs w:val="21"/>
                <w:highlight w:val="none"/>
              </w:rPr>
              <w:t>其他业务收入-废料(B)</w:t>
            </w:r>
          </w:p>
        </w:tc>
        <w:tc>
          <w:tcPr>
            <w:tcW w:w="102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2,358.82</w:t>
            </w:r>
          </w:p>
        </w:tc>
        <w:tc>
          <w:tcPr>
            <w:tcW w:w="734"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4,294.72</w:t>
            </w:r>
          </w:p>
        </w:tc>
        <w:tc>
          <w:tcPr>
            <w:tcW w:w="734"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3,491.76</w:t>
            </w:r>
          </w:p>
        </w:tc>
        <w:tc>
          <w:tcPr>
            <w:tcW w:w="739"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2,618.85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0" w:type="pct"/>
            <w:tcBorders>
              <w:tl2br w:val="nil"/>
              <w:tr2bl w:val="nil"/>
            </w:tcBorders>
            <w:vAlign w:val="center"/>
          </w:tcPr>
          <w:p>
            <w:pPr>
              <w:spacing w:line="240" w:lineRule="exact"/>
              <w:rPr>
                <w:rFonts w:eastAsia="宋体"/>
                <w:bCs/>
                <w:sz w:val="21"/>
                <w:szCs w:val="21"/>
                <w:highlight w:val="none"/>
              </w:rPr>
            </w:pPr>
            <w:r>
              <w:rPr>
                <w:rFonts w:eastAsia="宋体"/>
                <w:bCs/>
                <w:sz w:val="21"/>
                <w:szCs w:val="21"/>
                <w:highlight w:val="none"/>
              </w:rPr>
              <w:t>占比(A/B)</w:t>
            </w:r>
          </w:p>
        </w:tc>
        <w:tc>
          <w:tcPr>
            <w:tcW w:w="102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91.56</w:t>
            </w:r>
          </w:p>
        </w:tc>
        <w:tc>
          <w:tcPr>
            <w:tcW w:w="734"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92.65</w:t>
            </w:r>
          </w:p>
        </w:tc>
        <w:tc>
          <w:tcPr>
            <w:tcW w:w="734"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88.83</w:t>
            </w:r>
          </w:p>
        </w:tc>
        <w:tc>
          <w:tcPr>
            <w:tcW w:w="739"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89.99</w:t>
            </w:r>
          </w:p>
        </w:tc>
      </w:tr>
    </w:tbl>
    <w:p>
      <w:pPr>
        <w:pStyle w:val="25"/>
        <w:adjustRightInd w:val="0"/>
        <w:snapToGrid w:val="0"/>
        <w:spacing w:before="289" w:beforeLines="50"/>
        <w:ind w:firstLine="474"/>
        <w:rPr>
          <w:rFonts w:cs="Times New Roman"/>
          <w:b/>
          <w:highlight w:val="none"/>
        </w:rPr>
      </w:pPr>
      <w:r>
        <w:rPr>
          <w:rFonts w:hint="eastAsia" w:cs="Times New Roman"/>
          <w:b/>
          <w:highlight w:val="none"/>
        </w:rPr>
        <w:t>1、</w:t>
      </w:r>
      <w:r>
        <w:rPr>
          <w:rFonts w:cs="Times New Roman"/>
          <w:b/>
          <w:highlight w:val="none"/>
        </w:rPr>
        <w:t>废料销售的内部控制流程</w:t>
      </w:r>
    </w:p>
    <w:p>
      <w:pPr>
        <w:pStyle w:val="25"/>
        <w:adjustRightInd w:val="0"/>
        <w:snapToGrid w:val="0"/>
        <w:ind w:firstLine="472"/>
        <w:rPr>
          <w:rFonts w:cs="Times New Roman"/>
          <w:bCs/>
          <w:highlight w:val="none"/>
        </w:rPr>
      </w:pPr>
      <w:bookmarkStart w:id="6" w:name="_Hlk52355666"/>
      <w:r>
        <w:rPr>
          <w:rFonts w:hint="eastAsia" w:cs="Times New Roman"/>
          <w:bCs/>
          <w:highlight w:val="none"/>
        </w:rPr>
        <w:t>（1）</w:t>
      </w:r>
      <w:r>
        <w:rPr>
          <w:rFonts w:cs="Times New Roman"/>
          <w:bCs/>
          <w:highlight w:val="none"/>
        </w:rPr>
        <w:t>废料的归集</w:t>
      </w:r>
    </w:p>
    <w:p>
      <w:pPr>
        <w:pStyle w:val="25"/>
        <w:adjustRightInd w:val="0"/>
        <w:snapToGrid w:val="0"/>
        <w:ind w:firstLine="472"/>
        <w:rPr>
          <w:rFonts w:cs="Times New Roman"/>
          <w:bCs/>
          <w:highlight w:val="none"/>
        </w:rPr>
      </w:pPr>
      <w:r>
        <w:rPr>
          <w:rFonts w:cs="Times New Roman"/>
          <w:bCs/>
          <w:highlight w:val="none"/>
        </w:rPr>
        <w:t>公司的废料归集分为两种情况，一种针对五金零件冲压过程中产生的铜、铁边角料，一种针对其他的废料。具体情况如下：</w:t>
      </w:r>
    </w:p>
    <w:p>
      <w:pPr>
        <w:pStyle w:val="25"/>
        <w:adjustRightInd w:val="0"/>
        <w:snapToGrid w:val="0"/>
        <w:ind w:firstLine="472"/>
        <w:rPr>
          <w:rFonts w:cs="Times New Roman"/>
          <w:bCs/>
          <w:highlight w:val="none"/>
        </w:rPr>
      </w:pPr>
      <w:r>
        <w:rPr>
          <w:rFonts w:hint="eastAsia" w:cs="Times New Roman"/>
          <w:bCs/>
          <w:highlight w:val="none"/>
        </w:rPr>
        <w:t>1）</w:t>
      </w:r>
      <w:r>
        <w:rPr>
          <w:rFonts w:cs="Times New Roman"/>
          <w:bCs/>
          <w:highlight w:val="none"/>
        </w:rPr>
        <w:t>铜、铁边角料</w:t>
      </w:r>
    </w:p>
    <w:p>
      <w:pPr>
        <w:pStyle w:val="25"/>
        <w:adjustRightInd w:val="0"/>
        <w:snapToGrid w:val="0"/>
        <w:ind w:firstLine="472"/>
        <w:rPr>
          <w:rFonts w:cs="Times New Roman"/>
          <w:bCs/>
          <w:highlight w:val="none"/>
        </w:rPr>
      </w:pPr>
      <w:r>
        <w:rPr>
          <w:rFonts w:cs="Times New Roman"/>
          <w:bCs/>
          <w:highlight w:val="none"/>
        </w:rPr>
        <w:t>因五金零件的形状不规则，既定宽度的铜带、铁带在冲压过程中会产生数量较大的边角料，边角料的成本对五金零件产成品的成本核算影响较大，同时由于每一个工单产生的边角料数量不同，为了使五金零件的成本核算较为准确，基于管理成本和效益相匹配的原则，公司在ERP系统中设置各五金零件产品的边角料比率以实现由系统自动归集每一个工单</w:t>
      </w:r>
      <w:r>
        <w:rPr>
          <w:rFonts w:hint="eastAsia" w:cs="Times New Roman"/>
          <w:bCs/>
          <w:highlight w:val="none"/>
        </w:rPr>
        <w:t>产生</w:t>
      </w:r>
      <w:r>
        <w:rPr>
          <w:rFonts w:cs="Times New Roman"/>
          <w:bCs/>
          <w:highlight w:val="none"/>
        </w:rPr>
        <w:t>的边角料数量。同时，五金车间各生产线统计当天实际的铜、铁边角料情况表，包括边角料的料号、名称和重量。每天产生的铜、铁边角料均在当天进行处理，铜、铁边角料在系统中通过《工单一般退货单》退回废料仓库，《工单一般退货单》的数量系根据ERP系统预设的边角料比率计算所得，铜、铁边角料实物每天由车间物料员和仓库管理员进行交接，双方交接时现场称重，交接单由双方签字，仓库管理员将实际重量记录在废料台账中。每月进行成本核算时，结合当月末废料的盘点情况及废料台账记录，财务人员</w:t>
      </w:r>
      <w:r>
        <w:rPr>
          <w:rFonts w:hint="eastAsia" w:ascii="宋体" w:hAnsi="宋体"/>
          <w:highlight w:val="none"/>
        </w:rPr>
        <w:t>以成本调整单的形式处理</w:t>
      </w:r>
      <w:r>
        <w:rPr>
          <w:rFonts w:cs="Times New Roman"/>
          <w:bCs/>
          <w:highlight w:val="none"/>
        </w:rPr>
        <w:t>系统中的铜、铁边角料入库量和废料实际入库量的差额</w:t>
      </w:r>
      <w:r>
        <w:rPr>
          <w:rFonts w:hint="eastAsia" w:ascii="宋体" w:hAnsi="宋体"/>
          <w:highlight w:val="none"/>
        </w:rPr>
        <w:t>对成本核算的影响</w:t>
      </w:r>
      <w:r>
        <w:rPr>
          <w:rFonts w:cs="Times New Roman"/>
          <w:bCs/>
          <w:highlight w:val="none"/>
        </w:rPr>
        <w:t>。</w:t>
      </w:r>
    </w:p>
    <w:p>
      <w:pPr>
        <w:pStyle w:val="25"/>
        <w:adjustRightInd w:val="0"/>
        <w:snapToGrid w:val="0"/>
        <w:ind w:firstLine="472"/>
        <w:rPr>
          <w:rFonts w:cs="Times New Roman"/>
          <w:bCs/>
          <w:highlight w:val="none"/>
        </w:rPr>
      </w:pPr>
      <w:r>
        <w:rPr>
          <w:rFonts w:hint="eastAsia" w:cs="Times New Roman"/>
          <w:bCs/>
          <w:highlight w:val="none"/>
        </w:rPr>
        <w:t>2）</w:t>
      </w:r>
      <w:r>
        <w:rPr>
          <w:rFonts w:cs="Times New Roman"/>
          <w:bCs/>
          <w:highlight w:val="none"/>
        </w:rPr>
        <w:t xml:space="preserve"> 其他废料</w:t>
      </w:r>
    </w:p>
    <w:p>
      <w:pPr>
        <w:pStyle w:val="25"/>
        <w:adjustRightInd w:val="0"/>
        <w:snapToGrid w:val="0"/>
        <w:ind w:firstLine="472"/>
        <w:rPr>
          <w:rFonts w:cs="Times New Roman"/>
          <w:bCs/>
          <w:highlight w:val="none"/>
        </w:rPr>
      </w:pPr>
      <w:r>
        <w:rPr>
          <w:rFonts w:cs="Times New Roman"/>
          <w:bCs/>
          <w:highlight w:val="none"/>
        </w:rPr>
        <w:t>对于五金冲压工序的铜、铁头尾料，五金车间生产线每天统计产出的各类废料数量，通过《下阶料报废单》完成系统入库，同时车间物料员每天和仓库管理员交接废料实物。对于生产过程中的零部件报废品和继电器报废品等废料，由各相关部门和人员根据公司制定的《不良品处理规定》《报废控制指导书》等文件按要求进行审批，并完成系统入库及实物入库。</w:t>
      </w:r>
    </w:p>
    <w:p>
      <w:pPr>
        <w:pStyle w:val="25"/>
        <w:adjustRightInd w:val="0"/>
        <w:snapToGrid w:val="0"/>
        <w:ind w:firstLine="472"/>
        <w:rPr>
          <w:rFonts w:cs="Times New Roman"/>
          <w:bCs/>
          <w:highlight w:val="none"/>
        </w:rPr>
      </w:pPr>
      <w:r>
        <w:rPr>
          <w:rFonts w:hint="eastAsia" w:cs="Times New Roman"/>
          <w:bCs/>
          <w:highlight w:val="none"/>
        </w:rPr>
        <w:t>（2）</w:t>
      </w:r>
      <w:r>
        <w:rPr>
          <w:rFonts w:cs="Times New Roman"/>
          <w:bCs/>
          <w:highlight w:val="none"/>
        </w:rPr>
        <w:t>废料的仓储管理</w:t>
      </w:r>
    </w:p>
    <w:p>
      <w:pPr>
        <w:pStyle w:val="25"/>
        <w:adjustRightInd w:val="0"/>
        <w:snapToGrid w:val="0"/>
        <w:ind w:firstLine="472"/>
        <w:rPr>
          <w:rFonts w:cs="Times New Roman"/>
          <w:bCs/>
          <w:highlight w:val="none"/>
        </w:rPr>
      </w:pPr>
      <w:r>
        <w:rPr>
          <w:rFonts w:cs="Times New Roman"/>
          <w:bCs/>
          <w:highlight w:val="none"/>
        </w:rPr>
        <w:t>公司每月末对废料仓库进行盘点，核对仓库各类废料的实物数量和仓库管理员的台账记录是否相符，核对废料台账记录和ERP系统中废料仓库的入库及结存数量，核实废料实物和ERP系统的废料结存数量的具体差异原因，并按照差异原因确定具体处理方案。</w:t>
      </w:r>
    </w:p>
    <w:p>
      <w:pPr>
        <w:pStyle w:val="25"/>
        <w:adjustRightInd w:val="0"/>
        <w:snapToGrid w:val="0"/>
        <w:ind w:firstLine="472"/>
        <w:rPr>
          <w:rFonts w:cs="Times New Roman"/>
          <w:bCs/>
          <w:highlight w:val="none"/>
        </w:rPr>
      </w:pPr>
      <w:r>
        <w:rPr>
          <w:rFonts w:hint="eastAsia" w:cs="Times New Roman"/>
          <w:bCs/>
          <w:highlight w:val="none"/>
        </w:rPr>
        <w:t>（3）</w:t>
      </w:r>
      <w:r>
        <w:rPr>
          <w:rFonts w:cs="Times New Roman"/>
          <w:bCs/>
          <w:highlight w:val="none"/>
        </w:rPr>
        <w:t>废料的销售与收款</w:t>
      </w:r>
    </w:p>
    <w:p>
      <w:pPr>
        <w:pStyle w:val="25"/>
        <w:adjustRightInd w:val="0"/>
        <w:snapToGrid w:val="0"/>
        <w:ind w:firstLine="472"/>
        <w:rPr>
          <w:rFonts w:cs="Times New Roman"/>
          <w:bCs/>
          <w:highlight w:val="none"/>
        </w:rPr>
      </w:pPr>
      <w:r>
        <w:rPr>
          <w:rFonts w:cs="Times New Roman"/>
          <w:bCs/>
          <w:highlight w:val="none"/>
        </w:rPr>
        <w:t>公司生产过程中产生的废料每天送至指定仓库存放，由于仓库空间有限，通常情况下，公司每月均对废料进行销售。废料销售的内部控制流程为：月底由公司的供应链管理部与废料回收客户确认交易时间</w:t>
      </w:r>
      <w:r>
        <w:rPr>
          <w:rFonts w:hint="eastAsia" w:ascii="宋体" w:hAnsi="宋体"/>
          <w:highlight w:val="none"/>
        </w:rPr>
        <w:t>和交易价格，废料的交易价格系双方参考交易当天相关网站公布的废金属市场价格结合公司所售废料的具体情况协商确定。</w:t>
      </w:r>
      <w:r>
        <w:rPr>
          <w:rFonts w:cs="Times New Roman"/>
          <w:bCs/>
          <w:highlight w:val="none"/>
        </w:rPr>
        <w:t>销售废料时，由公司保安员、仓库管理员以及出纳三人参与，现场对废料分类别过磅称重，交易双方确认废料重量后，各方在交易单上签字确认。废料的运输安排及相关费用由客户负责</w:t>
      </w:r>
      <w:r>
        <w:rPr>
          <w:rFonts w:hint="eastAsia" w:cs="Times New Roman"/>
          <w:bCs/>
          <w:highlight w:val="none"/>
        </w:rPr>
        <w:t>。</w:t>
      </w:r>
      <w:r>
        <w:rPr>
          <w:rFonts w:hint="eastAsia" w:ascii="宋体" w:hAnsi="宋体"/>
          <w:highlight w:val="none"/>
        </w:rPr>
        <w:t>由于每次交易废料称重耗时较长，因此公司通常在废料运离公司的第二天</w:t>
      </w:r>
      <w:r>
        <w:rPr>
          <w:rFonts w:cs="Times New Roman"/>
          <w:bCs/>
          <w:highlight w:val="none"/>
        </w:rPr>
        <w:t>向客户开具发票，</w:t>
      </w:r>
      <w:r>
        <w:rPr>
          <w:rFonts w:hint="eastAsia" w:ascii="宋体" w:hAnsi="宋体"/>
          <w:highlight w:val="none"/>
        </w:rPr>
        <w:t>并于开票当月收到客户</w:t>
      </w:r>
      <w:r>
        <w:rPr>
          <w:rFonts w:cs="Times New Roman"/>
          <w:bCs/>
          <w:highlight w:val="none"/>
        </w:rPr>
        <w:t>以银行转账方式支付</w:t>
      </w:r>
      <w:r>
        <w:rPr>
          <w:rFonts w:hint="eastAsia" w:cs="Times New Roman"/>
          <w:bCs/>
          <w:highlight w:val="none"/>
        </w:rPr>
        <w:t>的</w:t>
      </w:r>
      <w:r>
        <w:rPr>
          <w:rFonts w:cs="Times New Roman"/>
          <w:bCs/>
          <w:highlight w:val="none"/>
        </w:rPr>
        <w:t>货款，对于单次交易金额较大的废料，公司要求客户预先支付货款，待收到款项后，客户方能将废料运离公司。</w:t>
      </w:r>
    </w:p>
    <w:p>
      <w:pPr>
        <w:pStyle w:val="25"/>
        <w:adjustRightInd w:val="0"/>
        <w:snapToGrid w:val="0"/>
        <w:ind w:firstLine="474"/>
        <w:rPr>
          <w:rFonts w:cs="Times New Roman"/>
          <w:b/>
          <w:highlight w:val="none"/>
        </w:rPr>
      </w:pPr>
      <w:r>
        <w:rPr>
          <w:rFonts w:hint="eastAsia" w:cs="Times New Roman"/>
          <w:b/>
          <w:highlight w:val="none"/>
        </w:rPr>
        <w:t>2、</w:t>
      </w:r>
      <w:r>
        <w:rPr>
          <w:rFonts w:cs="Times New Roman"/>
          <w:b/>
          <w:highlight w:val="none"/>
        </w:rPr>
        <w:t>收入和成本的会计核算方法和依据</w:t>
      </w:r>
    </w:p>
    <w:p>
      <w:pPr>
        <w:pStyle w:val="25"/>
        <w:adjustRightInd w:val="0"/>
        <w:snapToGrid w:val="0"/>
        <w:ind w:firstLine="472"/>
        <w:rPr>
          <w:rFonts w:cs="Times New Roman"/>
          <w:bCs/>
          <w:highlight w:val="none"/>
        </w:rPr>
      </w:pPr>
      <w:r>
        <w:rPr>
          <w:rFonts w:hint="eastAsia" w:cs="Times New Roman"/>
          <w:bCs/>
          <w:highlight w:val="none"/>
        </w:rPr>
        <w:t>（1）</w:t>
      </w:r>
      <w:r>
        <w:rPr>
          <w:rFonts w:cs="Times New Roman"/>
          <w:bCs/>
          <w:highlight w:val="none"/>
        </w:rPr>
        <w:t>收入的会计核算方法和依据</w:t>
      </w:r>
    </w:p>
    <w:p>
      <w:pPr>
        <w:pStyle w:val="25"/>
        <w:adjustRightInd w:val="0"/>
        <w:snapToGrid w:val="0"/>
        <w:ind w:firstLine="472"/>
        <w:rPr>
          <w:rFonts w:cs="Times New Roman"/>
          <w:bCs/>
          <w:highlight w:val="none"/>
        </w:rPr>
      </w:pPr>
      <w:r>
        <w:rPr>
          <w:rFonts w:cs="Times New Roman"/>
          <w:bCs/>
          <w:highlight w:val="none"/>
        </w:rPr>
        <w:t>公司的废料销售系由客户负责废料的运输，废料交付客户后，与废料所有权相关的风险和报酬即转移至客户，因此公司以废料交付作为收入确认时点，在销售当月按照销售金额开具发票并确认其他业务收入。</w:t>
      </w:r>
      <w:r>
        <w:rPr>
          <w:rFonts w:hint="eastAsia" w:cs="Times New Roman"/>
          <w:bCs/>
          <w:highlight w:val="none"/>
        </w:rPr>
        <w:t>报告期内</w:t>
      </w:r>
      <w:r>
        <w:rPr>
          <w:rFonts w:cs="Times New Roman"/>
          <w:bCs/>
          <w:highlight w:val="none"/>
        </w:rPr>
        <w:t>公司废料销售的收入确认依据为各方签字的交易单。</w:t>
      </w:r>
    </w:p>
    <w:p>
      <w:pPr>
        <w:pStyle w:val="25"/>
        <w:adjustRightInd w:val="0"/>
        <w:snapToGrid w:val="0"/>
        <w:ind w:firstLine="472"/>
        <w:rPr>
          <w:rFonts w:cs="Times New Roman"/>
          <w:bCs/>
          <w:highlight w:val="none"/>
        </w:rPr>
      </w:pPr>
      <w:r>
        <w:rPr>
          <w:rFonts w:cs="Times New Roman"/>
          <w:bCs/>
          <w:highlight w:val="none"/>
        </w:rPr>
        <w:t>上述废料销售收入的会计核算方法符合企业会计准则的规定。</w:t>
      </w:r>
    </w:p>
    <w:p>
      <w:pPr>
        <w:pStyle w:val="25"/>
        <w:adjustRightInd w:val="0"/>
        <w:snapToGrid w:val="0"/>
        <w:ind w:firstLine="472"/>
        <w:rPr>
          <w:rFonts w:cs="Times New Roman"/>
          <w:bCs/>
          <w:highlight w:val="none"/>
        </w:rPr>
      </w:pPr>
      <w:r>
        <w:rPr>
          <w:rFonts w:hint="eastAsia" w:cs="Times New Roman"/>
          <w:bCs/>
          <w:highlight w:val="none"/>
        </w:rPr>
        <w:t>（2）</w:t>
      </w:r>
      <w:r>
        <w:rPr>
          <w:rFonts w:cs="Times New Roman"/>
          <w:bCs/>
          <w:highlight w:val="none"/>
        </w:rPr>
        <w:t>废料成本的会计核算方法和依据</w:t>
      </w:r>
    </w:p>
    <w:p>
      <w:pPr>
        <w:pStyle w:val="25"/>
        <w:adjustRightInd w:val="0"/>
        <w:snapToGrid w:val="0"/>
        <w:ind w:firstLine="472"/>
        <w:rPr>
          <w:rFonts w:cs="Times New Roman"/>
          <w:bCs/>
          <w:highlight w:val="none"/>
        </w:rPr>
      </w:pPr>
      <w:r>
        <w:rPr>
          <w:rFonts w:hint="eastAsia" w:cs="Times New Roman"/>
          <w:bCs/>
          <w:highlight w:val="none"/>
        </w:rPr>
        <w:t>1）</w:t>
      </w:r>
      <w:r>
        <w:rPr>
          <w:rFonts w:cs="Times New Roman"/>
          <w:bCs/>
          <w:highlight w:val="none"/>
        </w:rPr>
        <w:t>废料成本的会计核算方法和依据</w:t>
      </w:r>
    </w:p>
    <w:p>
      <w:pPr>
        <w:pStyle w:val="25"/>
        <w:adjustRightInd w:val="0"/>
        <w:snapToGrid w:val="0"/>
        <w:ind w:firstLine="472"/>
        <w:rPr>
          <w:rFonts w:cs="Times New Roman"/>
          <w:bCs/>
          <w:highlight w:val="none"/>
        </w:rPr>
      </w:pPr>
      <w:r>
        <w:rPr>
          <w:rFonts w:cs="Times New Roman"/>
          <w:bCs/>
          <w:highlight w:val="none"/>
        </w:rPr>
        <w:t>废料中的加工废料主要为五金零件冲压工序产生的铜、铁头尾料和边角料以及零部件加工过程中产生的报废品。铜、铁边角料是铜带或者铁带按照五金零件形状冲压后剩余的不规则废料，其数量较大，对五金零件生产成本的核算影响较大，头尾料是整卷铜带或者</w:t>
      </w:r>
      <w:r>
        <w:rPr>
          <w:rFonts w:hint="eastAsia" w:cs="Times New Roman"/>
          <w:bCs/>
          <w:highlight w:val="none"/>
        </w:rPr>
        <w:t>铁</w:t>
      </w:r>
      <w:r>
        <w:rPr>
          <w:rFonts w:cs="Times New Roman"/>
          <w:bCs/>
          <w:highlight w:val="none"/>
        </w:rPr>
        <w:t>带头部和尾部无法使用的部分，其数量相对较少。废料的成本核算情况具体如下：</w:t>
      </w:r>
    </w:p>
    <w:p>
      <w:pPr>
        <w:pStyle w:val="25"/>
        <w:adjustRightInd w:val="0"/>
        <w:snapToGrid w:val="0"/>
        <w:ind w:firstLine="472"/>
        <w:rPr>
          <w:rFonts w:cs="Times New Roman"/>
          <w:bCs/>
          <w:highlight w:val="none"/>
        </w:rPr>
      </w:pPr>
      <w:r>
        <w:rPr>
          <w:rFonts w:hint="eastAsia" w:cs="Times New Roman"/>
          <w:bCs/>
          <w:highlight w:val="none"/>
        </w:rPr>
        <w:t>①</w:t>
      </w:r>
      <w:r>
        <w:rPr>
          <w:rFonts w:cs="Times New Roman"/>
          <w:bCs/>
          <w:highlight w:val="none"/>
        </w:rPr>
        <w:t xml:space="preserve"> 铜、铁边角料</w:t>
      </w:r>
    </w:p>
    <w:p>
      <w:pPr>
        <w:pStyle w:val="25"/>
        <w:adjustRightInd w:val="0"/>
        <w:snapToGrid w:val="0"/>
        <w:ind w:firstLine="472"/>
        <w:rPr>
          <w:rFonts w:cs="Times New Roman"/>
          <w:bCs/>
          <w:highlight w:val="none"/>
        </w:rPr>
      </w:pPr>
      <w:r>
        <w:rPr>
          <w:rFonts w:cs="Times New Roman"/>
          <w:bCs/>
          <w:highlight w:val="none"/>
        </w:rPr>
        <w:t>铜、铁边角料的归集情况详见本</w:t>
      </w:r>
      <w:r>
        <w:rPr>
          <w:rFonts w:hint="eastAsia" w:cs="Times New Roman"/>
          <w:bCs/>
          <w:highlight w:val="none"/>
        </w:rPr>
        <w:t>问题回复“1、（1）、1）</w:t>
      </w:r>
      <w:r>
        <w:rPr>
          <w:rFonts w:cs="Times New Roman"/>
          <w:bCs/>
          <w:highlight w:val="none"/>
        </w:rPr>
        <w:t>铜、铁边角料</w:t>
      </w:r>
      <w:r>
        <w:rPr>
          <w:rFonts w:hint="eastAsia" w:ascii="宋体" w:hAnsi="宋体" w:cs="Times New Roman"/>
          <w:bCs/>
          <w:highlight w:val="none"/>
        </w:rPr>
        <w:t>”</w:t>
      </w:r>
      <w:r>
        <w:rPr>
          <w:rFonts w:cs="Times New Roman"/>
          <w:bCs/>
          <w:highlight w:val="none"/>
        </w:rPr>
        <w:t>。铜、铁边角料的入库单价为当月废料的销售单价，在当月五金零件的成本核算过程中，边角料成本金额从当月的直接材料金额中扣除。</w:t>
      </w:r>
    </w:p>
    <w:p>
      <w:pPr>
        <w:pStyle w:val="25"/>
        <w:adjustRightInd w:val="0"/>
        <w:snapToGrid w:val="0"/>
        <w:ind w:firstLine="472"/>
        <w:rPr>
          <w:rFonts w:cs="Times New Roman"/>
          <w:bCs/>
          <w:highlight w:val="none"/>
        </w:rPr>
      </w:pPr>
      <w:r>
        <w:rPr>
          <w:rFonts w:hint="eastAsia" w:cs="Times New Roman"/>
          <w:bCs/>
          <w:highlight w:val="none"/>
        </w:rPr>
        <w:t xml:space="preserve">② </w:t>
      </w:r>
      <w:r>
        <w:rPr>
          <w:rFonts w:cs="Times New Roman"/>
          <w:bCs/>
          <w:highlight w:val="none"/>
        </w:rPr>
        <w:t>除铜、铁边角料外的其他废料</w:t>
      </w:r>
    </w:p>
    <w:p>
      <w:pPr>
        <w:pStyle w:val="25"/>
        <w:adjustRightInd w:val="0"/>
        <w:snapToGrid w:val="0"/>
        <w:ind w:firstLine="472"/>
        <w:rPr>
          <w:rFonts w:cs="Times New Roman"/>
          <w:bCs/>
          <w:highlight w:val="none"/>
        </w:rPr>
      </w:pPr>
      <w:r>
        <w:rPr>
          <w:rFonts w:cs="Times New Roman"/>
          <w:bCs/>
          <w:highlight w:val="none"/>
        </w:rPr>
        <w:t>其他废料由于数量相对较少，金额相对较小，对产品成本核算的影响较小，因此公司通过杂项收料单入库废料仓，入库时成本为零。在废料出售时，按照实际销售收入金额调减主营业务成本，调增其他业务成本，使得废料出售的毛利为零。</w:t>
      </w:r>
    </w:p>
    <w:bookmarkEnd w:id="6"/>
    <w:p>
      <w:pPr>
        <w:pStyle w:val="25"/>
        <w:adjustRightInd w:val="0"/>
        <w:snapToGrid w:val="0"/>
        <w:ind w:firstLine="472"/>
        <w:rPr>
          <w:rFonts w:cs="Times New Roman"/>
          <w:bCs/>
          <w:highlight w:val="none"/>
        </w:rPr>
      </w:pPr>
      <w:r>
        <w:rPr>
          <w:rFonts w:hint="eastAsia" w:cs="Times New Roman"/>
          <w:bCs/>
          <w:highlight w:val="none"/>
        </w:rPr>
        <w:t>2）</w:t>
      </w:r>
      <w:r>
        <w:rPr>
          <w:rFonts w:cs="Times New Roman"/>
          <w:bCs/>
          <w:highlight w:val="none"/>
        </w:rPr>
        <w:t>成本的会计核算方法的合理性</w:t>
      </w:r>
    </w:p>
    <w:p>
      <w:pPr>
        <w:pStyle w:val="25"/>
        <w:adjustRightInd w:val="0"/>
        <w:snapToGrid w:val="0"/>
        <w:ind w:firstLine="472"/>
        <w:rPr>
          <w:rFonts w:cs="Times New Roman"/>
          <w:bCs/>
          <w:highlight w:val="none"/>
        </w:rPr>
      </w:pPr>
      <w:r>
        <w:rPr>
          <w:rFonts w:cs="Times New Roman"/>
          <w:bCs/>
          <w:highlight w:val="none"/>
        </w:rPr>
        <w:t>公司废料销售收入与销售成本相同，系参照《企业会计准则第1号——存货》第三章第七条</w:t>
      </w:r>
      <w:r>
        <w:rPr>
          <w:rFonts w:hint="eastAsia" w:ascii="宋体" w:hAnsi="宋体" w:cs="Times New Roman"/>
          <w:bCs/>
          <w:highlight w:val="none"/>
        </w:rPr>
        <w:t>“</w:t>
      </w:r>
      <w:r>
        <w:rPr>
          <w:rFonts w:cs="Times New Roman"/>
          <w:bCs/>
          <w:highlight w:val="none"/>
        </w:rPr>
        <w:t>在同一生产过程中，同时生产两种或两种以上的产品，并且每种产品的加工成本不能直接区分的，其加工成本应当按照合理的方法在各种产品之间进行分配</w:t>
      </w:r>
      <w:r>
        <w:rPr>
          <w:rFonts w:hint="eastAsia" w:ascii="宋体" w:hAnsi="宋体" w:cs="Times New Roman"/>
          <w:bCs/>
          <w:highlight w:val="none"/>
        </w:rPr>
        <w:t>”</w:t>
      </w:r>
      <w:r>
        <w:rPr>
          <w:rFonts w:cs="Times New Roman"/>
          <w:bCs/>
          <w:highlight w:val="none"/>
        </w:rPr>
        <w:t>规定，将废料作为生产过程中的副产品进行考虑，加工成本在废料和正常产出品之间分配时，公司选择了将副产品成本按公允价值进行扣除，剩余成本计入主产品成本的核算方法。公司的废料基本当月产生当月出售，公司以其销售金额作为公允价值具有合理性。由于废料收入占公司营业收入比例仅为3%左右，并非公司经营目标的主要实现方式，公司选择此种会计核算方法，废料销售不产生利润，生产经营的利润均在公司主要产品上体现，可以更真实地反映公司的实际业务情况。</w:t>
      </w:r>
    </w:p>
    <w:p>
      <w:pPr>
        <w:pStyle w:val="25"/>
        <w:adjustRightInd w:val="0"/>
        <w:snapToGrid w:val="0"/>
        <w:ind w:firstLine="472"/>
        <w:rPr>
          <w:rFonts w:cs="Times New Roman"/>
          <w:bCs/>
          <w:highlight w:val="none"/>
        </w:rPr>
      </w:pPr>
      <w:r>
        <w:rPr>
          <w:rFonts w:cs="Times New Roman"/>
          <w:bCs/>
          <w:highlight w:val="none"/>
        </w:rPr>
        <w:t>综上所述，公司废料销售业务中成本的会计核算方法符合《企业会计准则》的规定，符合公司的实际情况，具有合理性。</w:t>
      </w:r>
    </w:p>
    <w:p>
      <w:pPr>
        <w:pStyle w:val="25"/>
        <w:adjustRightInd w:val="0"/>
        <w:snapToGrid w:val="0"/>
        <w:ind w:firstLine="474"/>
        <w:rPr>
          <w:rFonts w:cs="Times New Roman"/>
          <w:b/>
          <w:highlight w:val="none"/>
        </w:rPr>
      </w:pPr>
      <w:r>
        <w:rPr>
          <w:rFonts w:hint="eastAsia" w:cs="Times New Roman"/>
          <w:b/>
          <w:highlight w:val="none"/>
        </w:rPr>
        <w:t>3、</w:t>
      </w:r>
      <w:r>
        <w:rPr>
          <w:rFonts w:cs="Times New Roman"/>
          <w:b/>
          <w:highlight w:val="none"/>
        </w:rPr>
        <w:t>量化分析报告期内废料数量与原材料投料数量和产品产销量的匹配关系</w:t>
      </w:r>
    </w:p>
    <w:p>
      <w:pPr>
        <w:pStyle w:val="25"/>
        <w:adjustRightInd w:val="0"/>
        <w:snapToGrid w:val="0"/>
        <w:ind w:firstLine="472"/>
        <w:rPr>
          <w:rFonts w:cs="Times New Roman"/>
          <w:bCs/>
          <w:highlight w:val="none"/>
        </w:rPr>
      </w:pPr>
      <w:r>
        <w:rPr>
          <w:rFonts w:cs="Times New Roman"/>
          <w:bCs/>
          <w:highlight w:val="none"/>
        </w:rPr>
        <w:t>报告期内废料的主要构成是铜、铁废料，这两项废料系</w:t>
      </w:r>
      <w:r>
        <w:rPr>
          <w:rFonts w:hint="eastAsia" w:cs="Times New Roman"/>
          <w:bCs/>
          <w:highlight w:val="none"/>
        </w:rPr>
        <w:t>在</w:t>
      </w:r>
      <w:r>
        <w:rPr>
          <w:rFonts w:cs="Times New Roman"/>
          <w:bCs/>
          <w:highlight w:val="none"/>
        </w:rPr>
        <w:t>五金零件的加工过程中产生，以下主要对铜、铁废料和原材料投料数量以及产品产销量的匹配进行分析。</w:t>
      </w:r>
    </w:p>
    <w:p>
      <w:pPr>
        <w:pStyle w:val="25"/>
        <w:adjustRightInd w:val="0"/>
        <w:snapToGrid w:val="0"/>
        <w:ind w:firstLine="472"/>
        <w:rPr>
          <w:rFonts w:cs="Times New Roman"/>
          <w:bCs/>
          <w:highlight w:val="none"/>
        </w:rPr>
      </w:pPr>
      <w:r>
        <w:rPr>
          <w:rFonts w:hint="eastAsia" w:cs="Times New Roman"/>
          <w:bCs/>
          <w:highlight w:val="none"/>
        </w:rPr>
        <w:t>（1）</w:t>
      </w:r>
      <w:r>
        <w:rPr>
          <w:rFonts w:cs="Times New Roman"/>
          <w:bCs/>
          <w:highlight w:val="none"/>
        </w:rPr>
        <w:t>废料数量与原材料投料数量的匹配关系</w:t>
      </w:r>
    </w:p>
    <w:p>
      <w:pPr>
        <w:pStyle w:val="25"/>
        <w:adjustRightInd w:val="0"/>
        <w:snapToGrid w:val="0"/>
        <w:ind w:firstLine="472"/>
        <w:rPr>
          <w:rFonts w:cs="Times New Roman"/>
          <w:bCs/>
          <w:highlight w:val="none"/>
        </w:rPr>
      </w:pPr>
      <w:r>
        <w:rPr>
          <w:rFonts w:cs="Times New Roman"/>
          <w:bCs/>
          <w:highlight w:val="none"/>
        </w:rPr>
        <w:t>五金零件的主要原材料是铜材和铁材，铜材和铁材的废料数量和原材料投料数量的具体情况如下：</w:t>
      </w:r>
    </w:p>
    <w:p>
      <w:pPr>
        <w:pStyle w:val="25"/>
        <w:adjustRightInd w:val="0"/>
        <w:snapToGrid w:val="0"/>
        <w:ind w:firstLine="412"/>
        <w:jc w:val="right"/>
        <w:rPr>
          <w:rFonts w:cs="Times New Roman"/>
          <w:bCs/>
          <w:sz w:val="21"/>
          <w:szCs w:val="21"/>
          <w:highlight w:val="none"/>
        </w:rPr>
      </w:pPr>
      <w:r>
        <w:rPr>
          <w:rFonts w:cs="Times New Roman"/>
          <w:bCs/>
          <w:sz w:val="21"/>
          <w:szCs w:val="21"/>
          <w:highlight w:val="none"/>
        </w:rPr>
        <w:t>单位：万公斤</w:t>
      </w:r>
      <w:r>
        <w:rPr>
          <w:rFonts w:hint="eastAsia" w:cs="Times New Roman"/>
          <w:bCs/>
          <w:sz w:val="21"/>
          <w:szCs w:val="21"/>
          <w:highlight w:val="none"/>
        </w:rPr>
        <w:t>、%</w:t>
      </w:r>
    </w:p>
    <w:tbl>
      <w:tblPr>
        <w:tblStyle w:val="12"/>
        <w:tblW w:w="852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227"/>
        <w:gridCol w:w="1283"/>
        <w:gridCol w:w="1149"/>
        <w:gridCol w:w="1217"/>
        <w:gridCol w:w="1282"/>
        <w:gridCol w:w="1150"/>
        <w:gridCol w:w="12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1227" w:type="dxa"/>
            <w:vMerge w:val="restart"/>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ascii="宋体" w:hAnsi="宋体" w:eastAsia="宋体" w:cs="宋体"/>
                <w:b/>
                <w:color w:val="000000"/>
                <w:kern w:val="0"/>
                <w:sz w:val="21"/>
                <w:szCs w:val="21"/>
                <w:highlight w:val="none"/>
                <w:lang w:bidi="ar"/>
              </w:rPr>
              <w:t>项</w:t>
            </w:r>
            <w:r>
              <w:rPr>
                <w:rFonts w:hint="eastAsia" w:ascii="宋体" w:hAnsi="宋体" w:eastAsia="宋体" w:cs="宋体"/>
                <w:b/>
                <w:color w:val="000000"/>
                <w:kern w:val="0"/>
                <w:sz w:val="21"/>
                <w:szCs w:val="21"/>
                <w:highlight w:val="none"/>
                <w:lang w:bidi="ar"/>
              </w:rPr>
              <w:t xml:space="preserve"> </w:t>
            </w:r>
            <w:r>
              <w:rPr>
                <w:rFonts w:ascii="宋体" w:hAnsi="宋体" w:eastAsia="宋体" w:cs="宋体"/>
                <w:b/>
                <w:color w:val="000000"/>
                <w:kern w:val="0"/>
                <w:sz w:val="21"/>
                <w:szCs w:val="21"/>
                <w:highlight w:val="none"/>
                <w:lang w:bidi="ar"/>
              </w:rPr>
              <w:t>目</w:t>
            </w:r>
          </w:p>
        </w:tc>
        <w:tc>
          <w:tcPr>
            <w:tcW w:w="3649" w:type="dxa"/>
            <w:gridSpan w:val="3"/>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ascii="宋体" w:hAnsi="宋体" w:eastAsia="宋体" w:cs="宋体"/>
                <w:b/>
                <w:color w:val="000000"/>
                <w:kern w:val="0"/>
                <w:sz w:val="21"/>
                <w:szCs w:val="21"/>
                <w:highlight w:val="none"/>
                <w:lang w:bidi="ar"/>
              </w:rPr>
              <w:t>铜材</w:t>
            </w:r>
          </w:p>
        </w:tc>
        <w:tc>
          <w:tcPr>
            <w:tcW w:w="3651" w:type="dxa"/>
            <w:gridSpan w:val="3"/>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hint="eastAsia" w:ascii="宋体" w:hAnsi="宋体" w:eastAsia="宋体" w:cs="宋体"/>
                <w:b/>
                <w:color w:val="000000"/>
                <w:kern w:val="0"/>
                <w:sz w:val="21"/>
                <w:szCs w:val="21"/>
                <w:highlight w:val="none"/>
                <w:lang w:bidi="ar"/>
              </w:rPr>
              <w:t>铁材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1227" w:type="dxa"/>
            <w:vMerge w:val="continue"/>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p>
        </w:tc>
        <w:tc>
          <w:tcPr>
            <w:tcW w:w="1283" w:type="dxa"/>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hint="eastAsia" w:ascii="宋体" w:hAnsi="宋体" w:eastAsia="宋体" w:cs="宋体"/>
                <w:b/>
                <w:color w:val="000000"/>
                <w:kern w:val="0"/>
                <w:sz w:val="21"/>
                <w:szCs w:val="21"/>
                <w:highlight w:val="none"/>
                <w:lang w:bidi="ar"/>
              </w:rPr>
              <w:t>原材料投入量</w:t>
            </w:r>
          </w:p>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ascii="宋体" w:hAnsi="宋体" w:eastAsia="宋体" w:cs="宋体"/>
                <w:b/>
                <w:color w:val="000000"/>
                <w:kern w:val="0"/>
                <w:sz w:val="21"/>
                <w:szCs w:val="21"/>
                <w:highlight w:val="none"/>
                <w:lang w:bidi="ar"/>
              </w:rPr>
              <w:t>(A)</w:t>
            </w:r>
          </w:p>
        </w:tc>
        <w:tc>
          <w:tcPr>
            <w:tcW w:w="1149" w:type="dxa"/>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hint="eastAsia" w:ascii="宋体" w:hAnsi="宋体" w:eastAsia="宋体" w:cs="宋体"/>
                <w:b/>
                <w:color w:val="000000"/>
                <w:kern w:val="0"/>
                <w:sz w:val="21"/>
                <w:szCs w:val="21"/>
                <w:highlight w:val="none"/>
                <w:lang w:bidi="ar"/>
              </w:rPr>
              <w:t>废料数量</w:t>
            </w:r>
          </w:p>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ascii="宋体" w:hAnsi="宋体" w:eastAsia="宋体" w:cs="宋体"/>
                <w:b/>
                <w:color w:val="000000"/>
                <w:kern w:val="0"/>
                <w:sz w:val="21"/>
                <w:szCs w:val="21"/>
                <w:highlight w:val="none"/>
                <w:lang w:bidi="ar"/>
              </w:rPr>
              <w:t>(B)</w:t>
            </w:r>
          </w:p>
        </w:tc>
        <w:tc>
          <w:tcPr>
            <w:tcW w:w="1217" w:type="dxa"/>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hint="eastAsia" w:ascii="宋体" w:hAnsi="宋体" w:eastAsia="宋体" w:cs="宋体"/>
                <w:b/>
                <w:color w:val="000000"/>
                <w:kern w:val="0"/>
                <w:sz w:val="21"/>
                <w:szCs w:val="21"/>
                <w:highlight w:val="none"/>
                <w:lang w:bidi="ar"/>
              </w:rPr>
              <w:t>废料率</w:t>
            </w:r>
          </w:p>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ascii="宋体" w:hAnsi="宋体" w:eastAsia="宋体" w:cs="宋体"/>
                <w:b/>
                <w:color w:val="000000"/>
                <w:kern w:val="0"/>
                <w:sz w:val="21"/>
                <w:szCs w:val="21"/>
                <w:highlight w:val="none"/>
                <w:lang w:bidi="ar"/>
              </w:rPr>
              <w:t>(B/A)</w:t>
            </w:r>
          </w:p>
        </w:tc>
        <w:tc>
          <w:tcPr>
            <w:tcW w:w="1282" w:type="dxa"/>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hint="eastAsia" w:ascii="宋体" w:hAnsi="宋体" w:eastAsia="宋体" w:cs="宋体"/>
                <w:b/>
                <w:color w:val="000000"/>
                <w:kern w:val="0"/>
                <w:sz w:val="21"/>
                <w:szCs w:val="21"/>
                <w:highlight w:val="none"/>
                <w:lang w:bidi="ar"/>
              </w:rPr>
              <w:t>原材料投入量</w:t>
            </w:r>
          </w:p>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ascii="宋体" w:hAnsi="宋体" w:eastAsia="宋体" w:cs="宋体"/>
                <w:b/>
                <w:color w:val="000000"/>
                <w:kern w:val="0"/>
                <w:sz w:val="21"/>
                <w:szCs w:val="21"/>
                <w:highlight w:val="none"/>
                <w:lang w:bidi="ar"/>
              </w:rPr>
              <w:t>(A)</w:t>
            </w:r>
          </w:p>
        </w:tc>
        <w:tc>
          <w:tcPr>
            <w:tcW w:w="1150" w:type="dxa"/>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hint="eastAsia" w:ascii="宋体" w:hAnsi="宋体" w:eastAsia="宋体" w:cs="宋体"/>
                <w:b/>
                <w:color w:val="000000"/>
                <w:kern w:val="0"/>
                <w:sz w:val="21"/>
                <w:szCs w:val="21"/>
                <w:highlight w:val="none"/>
                <w:lang w:bidi="ar"/>
              </w:rPr>
              <w:t>废料数量</w:t>
            </w:r>
          </w:p>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ascii="宋体" w:hAnsi="宋体" w:eastAsia="宋体" w:cs="宋体"/>
                <w:b/>
                <w:color w:val="000000"/>
                <w:kern w:val="0"/>
                <w:sz w:val="21"/>
                <w:szCs w:val="21"/>
                <w:highlight w:val="none"/>
                <w:lang w:bidi="ar"/>
              </w:rPr>
              <w:t>(B)</w:t>
            </w:r>
          </w:p>
        </w:tc>
        <w:tc>
          <w:tcPr>
            <w:tcW w:w="1219" w:type="dxa"/>
            <w:tcBorders>
              <w:tl2br w:val="nil"/>
              <w:tr2bl w:val="nil"/>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b/>
                <w:color w:val="000000"/>
                <w:kern w:val="0"/>
                <w:sz w:val="21"/>
                <w:szCs w:val="21"/>
                <w:highlight w:val="none"/>
                <w:lang w:bidi="ar"/>
              </w:rPr>
            </w:pPr>
            <w:r>
              <w:rPr>
                <w:rFonts w:hint="eastAsia" w:ascii="宋体" w:hAnsi="宋体" w:eastAsia="宋体" w:cs="宋体"/>
                <w:b/>
                <w:color w:val="000000"/>
                <w:kern w:val="0"/>
                <w:sz w:val="21"/>
                <w:szCs w:val="21"/>
                <w:highlight w:val="none"/>
                <w:lang w:bidi="ar"/>
              </w:rPr>
              <w:t>废料率</w:t>
            </w:r>
            <w:r>
              <w:rPr>
                <w:rFonts w:ascii="宋体" w:hAnsi="宋体" w:eastAsia="宋体" w:cs="宋体"/>
                <w:b/>
                <w:color w:val="000000"/>
                <w:kern w:val="0"/>
                <w:sz w:val="21"/>
                <w:szCs w:val="21"/>
                <w:highlight w:val="none"/>
                <w:lang w:bidi="ar"/>
              </w:rPr>
              <w:t>(B/A)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27" w:type="dxa"/>
            <w:tcBorders>
              <w:tl2br w:val="nil"/>
              <w:tr2bl w:val="nil"/>
            </w:tcBorders>
            <w:shd w:val="clear" w:color="auto" w:fill="auto"/>
            <w:tcMar>
              <w:top w:w="12" w:type="dxa"/>
              <w:left w:w="12" w:type="dxa"/>
              <w:right w:w="12" w:type="dxa"/>
            </w:tcMar>
            <w:vAlign w:val="center"/>
          </w:tcPr>
          <w:p>
            <w:pPr>
              <w:widowControl/>
              <w:spacing w:line="240" w:lineRule="exact"/>
              <w:textAlignment w:val="center"/>
              <w:rPr>
                <w:rFonts w:eastAsia="宋体"/>
                <w:color w:val="000000"/>
                <w:sz w:val="21"/>
                <w:szCs w:val="21"/>
                <w:highlight w:val="none"/>
              </w:rPr>
            </w:pPr>
            <w:r>
              <w:rPr>
                <w:rFonts w:eastAsia="宋体"/>
                <w:color w:val="000000"/>
                <w:kern w:val="0"/>
                <w:sz w:val="21"/>
                <w:szCs w:val="21"/>
                <w:highlight w:val="none"/>
                <w:lang w:bidi="ar"/>
              </w:rPr>
              <w:t>2020</w:t>
            </w:r>
            <w:r>
              <w:rPr>
                <w:rFonts w:hint="eastAsia" w:ascii="宋体" w:hAnsi="宋体" w:eastAsia="宋体" w:cs="宋体"/>
                <w:color w:val="000000"/>
                <w:kern w:val="0"/>
                <w:sz w:val="21"/>
                <w:szCs w:val="21"/>
                <w:highlight w:val="none"/>
                <w:lang w:bidi="ar"/>
              </w:rPr>
              <w:t>年</w:t>
            </w:r>
            <w:r>
              <w:rPr>
                <w:rFonts w:eastAsia="宋体"/>
                <w:color w:val="000000"/>
                <w:kern w:val="0"/>
                <w:sz w:val="21"/>
                <w:szCs w:val="21"/>
                <w:highlight w:val="none"/>
                <w:lang w:bidi="ar"/>
              </w:rPr>
              <w:t>1-6</w:t>
            </w:r>
            <w:r>
              <w:rPr>
                <w:rFonts w:hint="eastAsia" w:ascii="宋体" w:hAnsi="宋体" w:eastAsia="宋体" w:cs="宋体"/>
                <w:color w:val="000000"/>
                <w:kern w:val="0"/>
                <w:sz w:val="21"/>
                <w:szCs w:val="21"/>
                <w:highlight w:val="none"/>
                <w:lang w:bidi="ar"/>
              </w:rPr>
              <w:t>月</w:t>
            </w:r>
          </w:p>
        </w:tc>
        <w:tc>
          <w:tcPr>
            <w:tcW w:w="1283"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123.11</w:t>
            </w:r>
          </w:p>
        </w:tc>
        <w:tc>
          <w:tcPr>
            <w:tcW w:w="1149"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58.</w:t>
            </w:r>
            <w:r>
              <w:rPr>
                <w:rFonts w:hint="eastAsia" w:eastAsia="宋体"/>
                <w:color w:val="000000"/>
                <w:kern w:val="0"/>
                <w:sz w:val="21"/>
                <w:szCs w:val="21"/>
                <w:highlight w:val="none"/>
                <w:lang w:bidi="ar"/>
              </w:rPr>
              <w:t>77</w:t>
            </w:r>
          </w:p>
        </w:tc>
        <w:tc>
          <w:tcPr>
            <w:tcW w:w="1217"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47.</w:t>
            </w:r>
            <w:r>
              <w:rPr>
                <w:rFonts w:hint="eastAsia" w:eastAsia="宋体"/>
                <w:color w:val="000000"/>
                <w:kern w:val="0"/>
                <w:sz w:val="21"/>
                <w:szCs w:val="21"/>
                <w:highlight w:val="none"/>
                <w:lang w:bidi="ar"/>
              </w:rPr>
              <w:t>74</w:t>
            </w:r>
          </w:p>
        </w:tc>
        <w:tc>
          <w:tcPr>
            <w:tcW w:w="1282"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68.59</w:t>
            </w:r>
          </w:p>
        </w:tc>
        <w:tc>
          <w:tcPr>
            <w:tcW w:w="1150"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hint="eastAsia" w:eastAsia="宋体"/>
                <w:color w:val="000000"/>
                <w:kern w:val="0"/>
                <w:sz w:val="21"/>
                <w:szCs w:val="21"/>
                <w:highlight w:val="none"/>
                <w:lang w:bidi="ar"/>
              </w:rPr>
              <w:t>35.89</w:t>
            </w:r>
          </w:p>
        </w:tc>
        <w:tc>
          <w:tcPr>
            <w:tcW w:w="1219"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hint="eastAsia" w:eastAsia="宋体"/>
                <w:color w:val="000000"/>
                <w:kern w:val="0"/>
                <w:sz w:val="21"/>
                <w:szCs w:val="21"/>
                <w:highlight w:val="none"/>
                <w:lang w:bidi="ar"/>
              </w:rPr>
              <w:t>52.33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27" w:type="dxa"/>
            <w:tcBorders>
              <w:tl2br w:val="nil"/>
              <w:tr2bl w:val="nil"/>
            </w:tcBorders>
            <w:shd w:val="clear" w:color="auto" w:fill="auto"/>
            <w:tcMar>
              <w:top w:w="12" w:type="dxa"/>
              <w:left w:w="12" w:type="dxa"/>
              <w:right w:w="12" w:type="dxa"/>
            </w:tcMar>
            <w:vAlign w:val="center"/>
          </w:tcPr>
          <w:p>
            <w:pPr>
              <w:widowControl/>
              <w:spacing w:line="240" w:lineRule="exact"/>
              <w:textAlignment w:val="center"/>
              <w:rPr>
                <w:rFonts w:eastAsia="宋体"/>
                <w:color w:val="000000"/>
                <w:sz w:val="21"/>
                <w:szCs w:val="21"/>
                <w:highlight w:val="none"/>
              </w:rPr>
            </w:pPr>
            <w:r>
              <w:rPr>
                <w:rFonts w:eastAsia="宋体"/>
                <w:color w:val="000000"/>
                <w:kern w:val="0"/>
                <w:sz w:val="21"/>
                <w:szCs w:val="21"/>
                <w:highlight w:val="none"/>
                <w:lang w:bidi="ar"/>
              </w:rPr>
              <w:t>2019</w:t>
            </w:r>
            <w:r>
              <w:rPr>
                <w:rFonts w:hint="eastAsia" w:ascii="宋体" w:hAnsi="宋体" w:eastAsia="宋体" w:cs="宋体"/>
                <w:color w:val="000000"/>
                <w:kern w:val="0"/>
                <w:sz w:val="21"/>
                <w:szCs w:val="21"/>
                <w:highlight w:val="none"/>
                <w:lang w:bidi="ar"/>
              </w:rPr>
              <w:t>年度</w:t>
            </w:r>
          </w:p>
        </w:tc>
        <w:tc>
          <w:tcPr>
            <w:tcW w:w="1283"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214.50</w:t>
            </w:r>
          </w:p>
        </w:tc>
        <w:tc>
          <w:tcPr>
            <w:tcW w:w="1149"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101.41</w:t>
            </w:r>
          </w:p>
        </w:tc>
        <w:tc>
          <w:tcPr>
            <w:tcW w:w="1217"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47.28</w:t>
            </w:r>
          </w:p>
        </w:tc>
        <w:tc>
          <w:tcPr>
            <w:tcW w:w="1282"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192.24</w:t>
            </w:r>
          </w:p>
        </w:tc>
        <w:tc>
          <w:tcPr>
            <w:tcW w:w="1150"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97.28</w:t>
            </w:r>
          </w:p>
        </w:tc>
        <w:tc>
          <w:tcPr>
            <w:tcW w:w="1219"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50.60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27" w:type="dxa"/>
            <w:tcBorders>
              <w:tl2br w:val="nil"/>
              <w:tr2bl w:val="nil"/>
            </w:tcBorders>
            <w:shd w:val="clear" w:color="auto" w:fill="auto"/>
            <w:tcMar>
              <w:top w:w="12" w:type="dxa"/>
              <w:left w:w="12" w:type="dxa"/>
              <w:right w:w="12" w:type="dxa"/>
            </w:tcMar>
            <w:vAlign w:val="center"/>
          </w:tcPr>
          <w:p>
            <w:pPr>
              <w:widowControl/>
              <w:spacing w:line="240" w:lineRule="exact"/>
              <w:textAlignment w:val="center"/>
              <w:rPr>
                <w:rFonts w:eastAsia="宋体"/>
                <w:color w:val="000000"/>
                <w:sz w:val="21"/>
                <w:szCs w:val="21"/>
                <w:highlight w:val="none"/>
              </w:rPr>
            </w:pPr>
            <w:r>
              <w:rPr>
                <w:rFonts w:eastAsia="宋体"/>
                <w:color w:val="000000"/>
                <w:kern w:val="0"/>
                <w:sz w:val="21"/>
                <w:szCs w:val="21"/>
                <w:highlight w:val="none"/>
                <w:lang w:bidi="ar"/>
              </w:rPr>
              <w:t>2018</w:t>
            </w:r>
            <w:r>
              <w:rPr>
                <w:rFonts w:hint="eastAsia" w:ascii="宋体" w:hAnsi="宋体" w:eastAsia="宋体" w:cs="宋体"/>
                <w:color w:val="000000"/>
                <w:kern w:val="0"/>
                <w:sz w:val="21"/>
                <w:szCs w:val="21"/>
                <w:highlight w:val="none"/>
                <w:lang w:bidi="ar"/>
              </w:rPr>
              <w:t>年度</w:t>
            </w:r>
          </w:p>
        </w:tc>
        <w:tc>
          <w:tcPr>
            <w:tcW w:w="1283"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160.31</w:t>
            </w:r>
          </w:p>
        </w:tc>
        <w:tc>
          <w:tcPr>
            <w:tcW w:w="1149"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7</w:t>
            </w:r>
            <w:r>
              <w:rPr>
                <w:rFonts w:hint="eastAsia" w:eastAsia="宋体"/>
                <w:color w:val="000000"/>
                <w:kern w:val="0"/>
                <w:sz w:val="21"/>
                <w:szCs w:val="21"/>
                <w:highlight w:val="none"/>
                <w:lang w:bidi="ar"/>
              </w:rPr>
              <w:t>6</w:t>
            </w:r>
            <w:r>
              <w:rPr>
                <w:rFonts w:eastAsia="宋体"/>
                <w:color w:val="000000"/>
                <w:kern w:val="0"/>
                <w:sz w:val="21"/>
                <w:szCs w:val="21"/>
                <w:highlight w:val="none"/>
                <w:lang w:bidi="ar"/>
              </w:rPr>
              <w:t>.</w:t>
            </w:r>
            <w:r>
              <w:rPr>
                <w:rFonts w:hint="eastAsia" w:eastAsia="宋体"/>
                <w:color w:val="000000"/>
                <w:kern w:val="0"/>
                <w:sz w:val="21"/>
                <w:szCs w:val="21"/>
                <w:highlight w:val="none"/>
                <w:lang w:bidi="ar"/>
              </w:rPr>
              <w:t>62</w:t>
            </w:r>
          </w:p>
        </w:tc>
        <w:tc>
          <w:tcPr>
            <w:tcW w:w="1217"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4</w:t>
            </w:r>
            <w:r>
              <w:rPr>
                <w:rFonts w:hint="eastAsia" w:eastAsia="宋体"/>
                <w:color w:val="000000"/>
                <w:kern w:val="0"/>
                <w:sz w:val="21"/>
                <w:szCs w:val="21"/>
                <w:highlight w:val="none"/>
                <w:lang w:bidi="ar"/>
              </w:rPr>
              <w:t>7</w:t>
            </w:r>
            <w:r>
              <w:rPr>
                <w:rFonts w:eastAsia="宋体"/>
                <w:color w:val="000000"/>
                <w:kern w:val="0"/>
                <w:sz w:val="21"/>
                <w:szCs w:val="21"/>
                <w:highlight w:val="none"/>
                <w:lang w:bidi="ar"/>
              </w:rPr>
              <w:t>.</w:t>
            </w:r>
            <w:r>
              <w:rPr>
                <w:rFonts w:hint="eastAsia" w:eastAsia="宋体"/>
                <w:color w:val="000000"/>
                <w:kern w:val="0"/>
                <w:sz w:val="21"/>
                <w:szCs w:val="21"/>
                <w:highlight w:val="none"/>
                <w:lang w:bidi="ar"/>
              </w:rPr>
              <w:t>79</w:t>
            </w:r>
          </w:p>
        </w:tc>
        <w:tc>
          <w:tcPr>
            <w:tcW w:w="1282"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162.77</w:t>
            </w:r>
          </w:p>
        </w:tc>
        <w:tc>
          <w:tcPr>
            <w:tcW w:w="1150"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8</w:t>
            </w:r>
            <w:r>
              <w:rPr>
                <w:rFonts w:hint="eastAsia" w:eastAsia="宋体"/>
                <w:color w:val="000000"/>
                <w:kern w:val="0"/>
                <w:sz w:val="21"/>
                <w:szCs w:val="21"/>
                <w:highlight w:val="none"/>
                <w:lang w:bidi="ar"/>
              </w:rPr>
              <w:t>8</w:t>
            </w:r>
            <w:r>
              <w:rPr>
                <w:rFonts w:eastAsia="宋体"/>
                <w:color w:val="000000"/>
                <w:kern w:val="0"/>
                <w:sz w:val="21"/>
                <w:szCs w:val="21"/>
                <w:highlight w:val="none"/>
                <w:lang w:bidi="ar"/>
              </w:rPr>
              <w:t>.</w:t>
            </w:r>
            <w:r>
              <w:rPr>
                <w:rFonts w:hint="eastAsia" w:eastAsia="宋体"/>
                <w:color w:val="000000"/>
                <w:kern w:val="0"/>
                <w:sz w:val="21"/>
                <w:szCs w:val="21"/>
                <w:highlight w:val="none"/>
                <w:lang w:bidi="ar"/>
              </w:rPr>
              <w:t>12</w:t>
            </w:r>
          </w:p>
        </w:tc>
        <w:tc>
          <w:tcPr>
            <w:tcW w:w="1219"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5</w:t>
            </w:r>
            <w:r>
              <w:rPr>
                <w:rFonts w:hint="eastAsia" w:eastAsia="宋体"/>
                <w:color w:val="000000"/>
                <w:kern w:val="0"/>
                <w:sz w:val="21"/>
                <w:szCs w:val="21"/>
                <w:highlight w:val="none"/>
                <w:lang w:bidi="ar"/>
              </w:rPr>
              <w:t>4</w:t>
            </w:r>
            <w:r>
              <w:rPr>
                <w:rFonts w:eastAsia="宋体"/>
                <w:color w:val="000000"/>
                <w:kern w:val="0"/>
                <w:sz w:val="21"/>
                <w:szCs w:val="21"/>
                <w:highlight w:val="none"/>
                <w:lang w:bidi="ar"/>
              </w:rPr>
              <w:t>.1</w:t>
            </w:r>
            <w:r>
              <w:rPr>
                <w:rFonts w:hint="eastAsia" w:eastAsia="宋体"/>
                <w:color w:val="000000"/>
                <w:kern w:val="0"/>
                <w:sz w:val="21"/>
                <w:szCs w:val="21"/>
                <w:highlight w:val="none"/>
                <w:lang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27" w:type="dxa"/>
            <w:tcBorders>
              <w:tl2br w:val="nil"/>
              <w:tr2bl w:val="nil"/>
            </w:tcBorders>
            <w:shd w:val="clear" w:color="auto" w:fill="auto"/>
            <w:tcMar>
              <w:top w:w="12" w:type="dxa"/>
              <w:left w:w="12" w:type="dxa"/>
              <w:right w:w="12" w:type="dxa"/>
            </w:tcMar>
            <w:vAlign w:val="center"/>
          </w:tcPr>
          <w:p>
            <w:pPr>
              <w:widowControl/>
              <w:spacing w:line="240" w:lineRule="exact"/>
              <w:textAlignment w:val="center"/>
              <w:rPr>
                <w:rFonts w:eastAsia="宋体"/>
                <w:color w:val="000000"/>
                <w:sz w:val="21"/>
                <w:szCs w:val="21"/>
                <w:highlight w:val="none"/>
              </w:rPr>
            </w:pPr>
            <w:r>
              <w:rPr>
                <w:rFonts w:eastAsia="宋体"/>
                <w:color w:val="000000"/>
                <w:kern w:val="0"/>
                <w:sz w:val="21"/>
                <w:szCs w:val="21"/>
                <w:highlight w:val="none"/>
                <w:lang w:bidi="ar"/>
              </w:rPr>
              <w:t>2017</w:t>
            </w:r>
            <w:r>
              <w:rPr>
                <w:rFonts w:hint="eastAsia" w:ascii="宋体" w:hAnsi="宋体" w:eastAsia="宋体" w:cs="宋体"/>
                <w:color w:val="000000"/>
                <w:kern w:val="0"/>
                <w:sz w:val="21"/>
                <w:szCs w:val="21"/>
                <w:highlight w:val="none"/>
                <w:lang w:bidi="ar"/>
              </w:rPr>
              <w:t>年度</w:t>
            </w:r>
          </w:p>
        </w:tc>
        <w:tc>
          <w:tcPr>
            <w:tcW w:w="1283"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137.44</w:t>
            </w:r>
          </w:p>
        </w:tc>
        <w:tc>
          <w:tcPr>
            <w:tcW w:w="1149"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65.81</w:t>
            </w:r>
          </w:p>
        </w:tc>
        <w:tc>
          <w:tcPr>
            <w:tcW w:w="1217"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47.88</w:t>
            </w:r>
          </w:p>
        </w:tc>
        <w:tc>
          <w:tcPr>
            <w:tcW w:w="1282"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154.98</w:t>
            </w:r>
          </w:p>
        </w:tc>
        <w:tc>
          <w:tcPr>
            <w:tcW w:w="1150"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81.77</w:t>
            </w:r>
          </w:p>
        </w:tc>
        <w:tc>
          <w:tcPr>
            <w:tcW w:w="1219" w:type="dxa"/>
            <w:tcBorders>
              <w:tl2br w:val="nil"/>
              <w:tr2bl w:val="nil"/>
            </w:tcBorders>
            <w:shd w:val="clear" w:color="auto" w:fill="auto"/>
            <w:tcMar>
              <w:top w:w="12" w:type="dxa"/>
              <w:left w:w="12" w:type="dxa"/>
              <w:right w:w="12" w:type="dxa"/>
            </w:tcMar>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52.7</w:t>
            </w:r>
            <w:r>
              <w:rPr>
                <w:rFonts w:hint="eastAsia" w:eastAsia="宋体"/>
                <w:color w:val="000000"/>
                <w:kern w:val="0"/>
                <w:sz w:val="21"/>
                <w:szCs w:val="21"/>
                <w:highlight w:val="none"/>
                <w:lang w:bidi="ar"/>
              </w:rPr>
              <w:t>7</w:t>
            </w:r>
          </w:p>
        </w:tc>
      </w:tr>
    </w:tbl>
    <w:p>
      <w:pPr>
        <w:topLinePunct/>
        <w:adjustRightInd w:val="0"/>
        <w:snapToGrid w:val="0"/>
        <w:spacing w:before="289" w:beforeLines="50" w:line="360" w:lineRule="auto"/>
        <w:ind w:firstLine="472" w:firstLineChars="200"/>
        <w:rPr>
          <w:rFonts w:eastAsia="宋体"/>
          <w:sz w:val="24"/>
          <w:highlight w:val="none"/>
        </w:rPr>
      </w:pPr>
      <w:r>
        <w:rPr>
          <w:rFonts w:eastAsia="宋体"/>
          <w:sz w:val="24"/>
          <w:highlight w:val="none"/>
        </w:rPr>
        <w:t>如上表所示，报告期内公司的铜材和铁材的废料率不存在大幅波动。公司不同型号的五金零件规格、形状不同，产生的边角料亦不同，报告期内的废料率有所波动主要系各期自制五金零件的结构不同所致。</w:t>
      </w:r>
    </w:p>
    <w:p>
      <w:pPr>
        <w:pStyle w:val="25"/>
        <w:adjustRightInd w:val="0"/>
        <w:snapToGrid w:val="0"/>
        <w:ind w:firstLine="472"/>
        <w:rPr>
          <w:rFonts w:cs="Times New Roman"/>
          <w:bCs/>
          <w:highlight w:val="none"/>
        </w:rPr>
      </w:pPr>
      <w:r>
        <w:rPr>
          <w:rFonts w:hint="eastAsia" w:cs="Times New Roman"/>
          <w:bCs/>
          <w:highlight w:val="none"/>
        </w:rPr>
        <w:t>（2）</w:t>
      </w:r>
      <w:r>
        <w:rPr>
          <w:rFonts w:cs="Times New Roman"/>
          <w:bCs/>
          <w:highlight w:val="none"/>
        </w:rPr>
        <w:t>原材料投料数量和产品产销量的匹配关系</w:t>
      </w:r>
    </w:p>
    <w:p>
      <w:pPr>
        <w:pStyle w:val="25"/>
        <w:adjustRightInd w:val="0"/>
        <w:snapToGrid w:val="0"/>
        <w:ind w:firstLine="472"/>
        <w:rPr>
          <w:rFonts w:cs="Times New Roman"/>
          <w:bCs/>
          <w:highlight w:val="none"/>
        </w:rPr>
      </w:pPr>
      <w:r>
        <w:rPr>
          <w:rFonts w:cs="Times New Roman"/>
          <w:bCs/>
          <w:highlight w:val="none"/>
        </w:rPr>
        <w:t>公司投入的原材料是铜材和铁材，铜材和铁材经冲压后产出品为五金零件，五金零件进一步用于生产最终产品继电器，同时公司用于生产继电器的五金零件通过自产和外购两种方式供应，因此铜材和铁材的原材料投入与继电器产品的产销量并无直接匹配关系，以下分两个层面说明两者的匹配情况，一是铜材和铁材投入与五金零件产出的匹配情况，二是整体五金零件投入和继电器产销量的匹配情况。</w:t>
      </w:r>
    </w:p>
    <w:p>
      <w:pPr>
        <w:pStyle w:val="25"/>
        <w:adjustRightInd w:val="0"/>
        <w:snapToGrid w:val="0"/>
        <w:ind w:firstLine="472"/>
        <w:rPr>
          <w:rFonts w:cs="Times New Roman"/>
          <w:bCs/>
          <w:highlight w:val="none"/>
        </w:rPr>
      </w:pPr>
      <w:r>
        <w:rPr>
          <w:rFonts w:hint="eastAsia" w:cs="Times New Roman"/>
          <w:bCs/>
          <w:highlight w:val="none"/>
        </w:rPr>
        <w:t>1）</w:t>
      </w:r>
      <w:r>
        <w:rPr>
          <w:rFonts w:cs="Times New Roman"/>
          <w:bCs/>
          <w:highlight w:val="none"/>
        </w:rPr>
        <w:t>原材料投料数量和五金零件产出的匹配关系</w:t>
      </w:r>
    </w:p>
    <w:p>
      <w:pPr>
        <w:pStyle w:val="25"/>
        <w:adjustRightInd w:val="0"/>
        <w:snapToGrid w:val="0"/>
        <w:ind w:firstLine="472"/>
        <w:rPr>
          <w:rFonts w:cs="Times New Roman"/>
          <w:bCs/>
          <w:highlight w:val="none"/>
        </w:rPr>
      </w:pPr>
      <w:r>
        <w:rPr>
          <w:rFonts w:cs="Times New Roman"/>
          <w:bCs/>
          <w:highlight w:val="none"/>
        </w:rPr>
        <w:t>由于公司自制五金零件的型号较多，不同型号的五金零件原材料投入产出比不同，原材料耗用量亦不同，因此通过分析各期完工入库的五金零件所耗用原材料总数量的合理性间接地对原材料投料数量和五金零件产出的匹配性进行说明。</w:t>
      </w:r>
    </w:p>
    <w:p>
      <w:pPr>
        <w:pStyle w:val="25"/>
        <w:adjustRightInd w:val="0"/>
        <w:snapToGrid w:val="0"/>
        <w:ind w:firstLine="472"/>
        <w:rPr>
          <w:rFonts w:cs="Times New Roman"/>
          <w:bCs/>
          <w:highlight w:val="none"/>
        </w:rPr>
      </w:pPr>
      <w:r>
        <w:rPr>
          <w:rFonts w:cs="Times New Roman"/>
          <w:bCs/>
          <w:highlight w:val="none"/>
        </w:rPr>
        <w:t>根据各年度五金零件的生产入库数量，采用BOM所列的原材料用量计算出铜材和铁材的标准耗用量，将其与铜材和铁材的实际耗用量进行对比，具体对比情况如下：</w:t>
      </w:r>
    </w:p>
    <w:p>
      <w:pPr>
        <w:pStyle w:val="25"/>
        <w:adjustRightInd w:val="0"/>
        <w:snapToGrid w:val="0"/>
        <w:ind w:firstLine="412"/>
        <w:jc w:val="right"/>
        <w:rPr>
          <w:rFonts w:cs="Times New Roman"/>
          <w:bCs/>
          <w:sz w:val="21"/>
          <w:szCs w:val="21"/>
          <w:highlight w:val="none"/>
        </w:rPr>
      </w:pPr>
      <w:r>
        <w:rPr>
          <w:rFonts w:cs="Times New Roman"/>
          <w:bCs/>
          <w:sz w:val="21"/>
          <w:szCs w:val="21"/>
          <w:highlight w:val="none"/>
        </w:rPr>
        <w:t>单位：万公斤</w:t>
      </w:r>
      <w:r>
        <w:rPr>
          <w:rFonts w:hint="eastAsia" w:cs="Times New Roman"/>
          <w:bCs/>
          <w:sz w:val="21"/>
          <w:szCs w:val="21"/>
          <w:highlight w:val="none"/>
        </w:rPr>
        <w:t>、%</w:t>
      </w:r>
    </w:p>
    <w:tbl>
      <w:tblPr>
        <w:tblStyle w:val="13"/>
        <w:tblW w:w="85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174"/>
        <w:gridCol w:w="1174"/>
        <w:gridCol w:w="1174"/>
        <w:gridCol w:w="1174"/>
        <w:gridCol w:w="1173"/>
        <w:gridCol w:w="1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67" w:type="pct"/>
            <w:vMerge w:val="restart"/>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项  目</w:t>
            </w:r>
          </w:p>
        </w:tc>
        <w:tc>
          <w:tcPr>
            <w:tcW w:w="1376" w:type="pct"/>
            <w:gridSpan w:val="2"/>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原材料投料数量（A）</w:t>
            </w:r>
          </w:p>
        </w:tc>
        <w:tc>
          <w:tcPr>
            <w:tcW w:w="1376" w:type="pct"/>
            <w:gridSpan w:val="2"/>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根据BOM用量计算的原材料耗用数量(B)</w:t>
            </w:r>
          </w:p>
        </w:tc>
        <w:tc>
          <w:tcPr>
            <w:tcW w:w="1378" w:type="pct"/>
            <w:gridSpan w:val="2"/>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差异率((A-B)/B)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67" w:type="pct"/>
            <w:vMerge w:val="continue"/>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p>
        </w:tc>
        <w:tc>
          <w:tcPr>
            <w:tcW w:w="688" w:type="pct"/>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铜材</w:t>
            </w:r>
          </w:p>
        </w:tc>
        <w:tc>
          <w:tcPr>
            <w:tcW w:w="688" w:type="pct"/>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铁材</w:t>
            </w:r>
          </w:p>
        </w:tc>
        <w:tc>
          <w:tcPr>
            <w:tcW w:w="688" w:type="pct"/>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铜材</w:t>
            </w:r>
          </w:p>
        </w:tc>
        <w:tc>
          <w:tcPr>
            <w:tcW w:w="688" w:type="pct"/>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铁材</w:t>
            </w:r>
          </w:p>
        </w:tc>
        <w:tc>
          <w:tcPr>
            <w:tcW w:w="688" w:type="pct"/>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铜材</w:t>
            </w:r>
          </w:p>
        </w:tc>
        <w:tc>
          <w:tcPr>
            <w:tcW w:w="690" w:type="pct"/>
            <w:tcBorders>
              <w:tl2br w:val="nil"/>
              <w:tr2bl w:val="nil"/>
            </w:tcBorders>
            <w:vAlign w:val="center"/>
          </w:tcPr>
          <w:p>
            <w:pPr>
              <w:widowControl/>
              <w:spacing w:line="240" w:lineRule="exact"/>
              <w:jc w:val="center"/>
              <w:textAlignment w:val="center"/>
              <w:rPr>
                <w:rFonts w:eastAsia="宋体"/>
                <w:b/>
                <w:bCs/>
                <w:color w:val="000000"/>
                <w:kern w:val="0"/>
                <w:sz w:val="21"/>
                <w:szCs w:val="21"/>
                <w:highlight w:val="none"/>
                <w:lang w:bidi="ar"/>
              </w:rPr>
            </w:pPr>
            <w:r>
              <w:rPr>
                <w:rFonts w:eastAsia="宋体"/>
                <w:b/>
                <w:bCs/>
                <w:color w:val="000000"/>
                <w:kern w:val="0"/>
                <w:sz w:val="21"/>
                <w:szCs w:val="21"/>
                <w:highlight w:val="none"/>
                <w:lang w:bidi="ar"/>
              </w:rPr>
              <w:t>铁材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pct"/>
            <w:tcBorders>
              <w:tl2br w:val="nil"/>
              <w:tr2bl w:val="nil"/>
            </w:tcBorders>
            <w:vAlign w:val="center"/>
          </w:tcPr>
          <w:p>
            <w:pPr>
              <w:widowControl/>
              <w:spacing w:line="240" w:lineRule="exac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2020年1-6月</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121.07</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67.78</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121.64</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68.46</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-0.47</w:t>
            </w:r>
          </w:p>
        </w:tc>
        <w:tc>
          <w:tcPr>
            <w:tcW w:w="690"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pct"/>
            <w:tcBorders>
              <w:tl2br w:val="nil"/>
              <w:tr2bl w:val="nil"/>
            </w:tcBorders>
            <w:vAlign w:val="center"/>
          </w:tcPr>
          <w:p>
            <w:pPr>
              <w:widowControl/>
              <w:spacing w:line="240" w:lineRule="exac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2019年度</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211.81</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189.48</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210.83</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189.40</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0.46</w:t>
            </w:r>
          </w:p>
        </w:tc>
        <w:tc>
          <w:tcPr>
            <w:tcW w:w="690"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pct"/>
            <w:tcBorders>
              <w:tl2br w:val="nil"/>
              <w:tr2bl w:val="nil"/>
            </w:tcBorders>
            <w:vAlign w:val="center"/>
          </w:tcPr>
          <w:p>
            <w:pPr>
              <w:widowControl/>
              <w:spacing w:line="240" w:lineRule="exac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2018年度</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151.44</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159.44</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155.53</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156.87</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-2.63</w:t>
            </w:r>
          </w:p>
        </w:tc>
        <w:tc>
          <w:tcPr>
            <w:tcW w:w="690"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pct"/>
            <w:tcBorders>
              <w:tl2br w:val="nil"/>
              <w:tr2bl w:val="nil"/>
            </w:tcBorders>
            <w:vAlign w:val="center"/>
          </w:tcPr>
          <w:p>
            <w:pPr>
              <w:widowControl/>
              <w:spacing w:line="240" w:lineRule="exac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2017年度</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134.67</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152.52</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137.68</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153.14</w:t>
            </w:r>
          </w:p>
        </w:tc>
        <w:tc>
          <w:tcPr>
            <w:tcW w:w="688"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-2.19</w:t>
            </w:r>
          </w:p>
        </w:tc>
        <w:tc>
          <w:tcPr>
            <w:tcW w:w="690" w:type="pct"/>
            <w:tcBorders>
              <w:tl2br w:val="nil"/>
              <w:tr2bl w:val="nil"/>
            </w:tcBorders>
            <w:vAlign w:val="center"/>
          </w:tcPr>
          <w:p>
            <w:pPr>
              <w:widowControl/>
              <w:spacing w:line="240" w:lineRule="exact"/>
              <w:jc w:val="right"/>
              <w:textAlignment w:val="center"/>
              <w:rPr>
                <w:rFonts w:eastAsia="宋体"/>
                <w:color w:val="000000"/>
                <w:kern w:val="0"/>
                <w:sz w:val="21"/>
                <w:szCs w:val="21"/>
                <w:highlight w:val="none"/>
                <w:lang w:bidi="ar"/>
              </w:rPr>
            </w:pPr>
            <w:r>
              <w:rPr>
                <w:rFonts w:eastAsia="宋体"/>
                <w:color w:val="000000"/>
                <w:kern w:val="0"/>
                <w:sz w:val="21"/>
                <w:szCs w:val="21"/>
                <w:highlight w:val="none"/>
                <w:lang w:bidi="ar"/>
              </w:rPr>
              <w:t>-0.40</w:t>
            </w:r>
          </w:p>
        </w:tc>
      </w:tr>
    </w:tbl>
    <w:p>
      <w:pPr>
        <w:topLinePunct/>
        <w:adjustRightInd w:val="0"/>
        <w:snapToGrid w:val="0"/>
        <w:spacing w:before="289" w:beforeLines="50" w:line="360" w:lineRule="auto"/>
        <w:ind w:firstLine="472" w:firstLineChars="200"/>
        <w:rPr>
          <w:rFonts w:eastAsia="宋体"/>
          <w:sz w:val="24"/>
          <w:highlight w:val="none"/>
        </w:rPr>
      </w:pPr>
      <w:r>
        <w:rPr>
          <w:rFonts w:eastAsia="宋体"/>
          <w:sz w:val="24"/>
          <w:highlight w:val="none"/>
        </w:rPr>
        <w:t>如上表所示，报告期内原材料的实际投料数量和按照BOM计算的标准投料数量差异较小，公司的原材料投入与五金零件产出配比无异常。</w:t>
      </w:r>
    </w:p>
    <w:p>
      <w:pPr>
        <w:pStyle w:val="25"/>
        <w:adjustRightInd w:val="0"/>
        <w:snapToGrid w:val="0"/>
        <w:ind w:firstLine="472"/>
        <w:rPr>
          <w:rFonts w:cs="Times New Roman"/>
          <w:bCs/>
          <w:highlight w:val="none"/>
        </w:rPr>
      </w:pPr>
      <w:r>
        <w:rPr>
          <w:rFonts w:hint="eastAsia" w:cs="Times New Roman"/>
          <w:bCs/>
          <w:highlight w:val="none"/>
        </w:rPr>
        <w:t>2）</w:t>
      </w:r>
      <w:r>
        <w:rPr>
          <w:rFonts w:cs="Times New Roman"/>
          <w:bCs/>
          <w:highlight w:val="none"/>
        </w:rPr>
        <w:t>五金零件投入和继电器产销量的匹配情况</w:t>
      </w:r>
    </w:p>
    <w:p>
      <w:pPr>
        <w:pStyle w:val="25"/>
        <w:adjustRightInd w:val="0"/>
        <w:snapToGrid w:val="0"/>
        <w:ind w:firstLine="472"/>
        <w:rPr>
          <w:rFonts w:cs="Times New Roman"/>
          <w:bCs/>
          <w:highlight w:val="none"/>
        </w:rPr>
      </w:pPr>
      <w:r>
        <w:rPr>
          <w:rFonts w:hint="eastAsia" w:cs="Times New Roman"/>
          <w:bCs/>
          <w:highlight w:val="none"/>
        </w:rPr>
        <w:t>①</w:t>
      </w:r>
      <w:r>
        <w:rPr>
          <w:rFonts w:cs="Times New Roman"/>
          <w:bCs/>
          <w:highlight w:val="none"/>
        </w:rPr>
        <w:t>五金零件投入和继电器产量的匹配情况</w:t>
      </w:r>
    </w:p>
    <w:p>
      <w:pPr>
        <w:pStyle w:val="25"/>
        <w:adjustRightInd w:val="0"/>
        <w:snapToGrid w:val="0"/>
        <w:ind w:firstLine="472"/>
        <w:rPr>
          <w:rFonts w:cs="Times New Roman"/>
          <w:bCs/>
          <w:highlight w:val="none"/>
        </w:rPr>
      </w:pPr>
      <w:r>
        <w:rPr>
          <w:rFonts w:cs="Times New Roman"/>
          <w:bCs/>
          <w:highlight w:val="none"/>
        </w:rPr>
        <w:t>为了控制产品成本、保证核心零部件质量和产品交期、更灵活地满足客户对于产品性能的多样需求，公司分别设立了触点事业部、塑胶事业部及五金事业部以自产核心零部件。公司在当前的产能、技术水平条件下，对核心零部件的供应采取自产与外购相结合的方式，因此公司的五金零件亦通过自产和外购两种方式供应。报告期内五金零件整体投入和继电器产量的匹配情况如下：</w:t>
      </w:r>
    </w:p>
    <w:p>
      <w:pPr>
        <w:pStyle w:val="25"/>
        <w:adjustRightInd w:val="0"/>
        <w:snapToGrid w:val="0"/>
        <w:ind w:firstLine="412"/>
        <w:jc w:val="right"/>
        <w:rPr>
          <w:rFonts w:cs="Times New Roman"/>
          <w:bCs/>
          <w:sz w:val="21"/>
          <w:szCs w:val="21"/>
          <w:highlight w:val="none"/>
        </w:rPr>
      </w:pPr>
      <w:r>
        <w:rPr>
          <w:rFonts w:cs="Times New Roman"/>
          <w:bCs/>
          <w:sz w:val="21"/>
          <w:szCs w:val="21"/>
          <w:highlight w:val="none"/>
        </w:rPr>
        <w:t>单位：万</w:t>
      </w:r>
      <w:r>
        <w:rPr>
          <w:rFonts w:hint="eastAsia" w:cs="Times New Roman"/>
          <w:bCs/>
          <w:sz w:val="21"/>
          <w:szCs w:val="21"/>
          <w:highlight w:val="none"/>
        </w:rPr>
        <w:t>颗</w:t>
      </w:r>
    </w:p>
    <w:tbl>
      <w:tblPr>
        <w:tblStyle w:val="13"/>
        <w:tblW w:w="85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2"/>
        <w:gridCol w:w="2132"/>
        <w:gridCol w:w="2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tcBorders>
              <w:tl2br w:val="nil"/>
              <w:tr2bl w:val="nil"/>
            </w:tcBorders>
            <w:vAlign w:val="center"/>
          </w:tcPr>
          <w:p>
            <w:pPr>
              <w:spacing w:line="240" w:lineRule="exact"/>
              <w:jc w:val="center"/>
              <w:rPr>
                <w:rFonts w:eastAsia="宋体"/>
                <w:b/>
                <w:sz w:val="21"/>
                <w:szCs w:val="21"/>
                <w:highlight w:val="none"/>
              </w:rPr>
            </w:pPr>
            <w:r>
              <w:rPr>
                <w:rFonts w:eastAsia="宋体"/>
                <w:b/>
                <w:sz w:val="21"/>
                <w:szCs w:val="21"/>
                <w:highlight w:val="none"/>
              </w:rPr>
              <w:t>期  间</w:t>
            </w:r>
          </w:p>
        </w:tc>
        <w:tc>
          <w:tcPr>
            <w:tcW w:w="1250" w:type="pct"/>
            <w:tcBorders>
              <w:tl2br w:val="nil"/>
              <w:tr2bl w:val="nil"/>
            </w:tcBorders>
            <w:vAlign w:val="center"/>
          </w:tcPr>
          <w:p>
            <w:pPr>
              <w:spacing w:line="240" w:lineRule="exact"/>
              <w:jc w:val="center"/>
              <w:rPr>
                <w:rFonts w:eastAsia="宋体"/>
                <w:b/>
                <w:sz w:val="21"/>
                <w:szCs w:val="21"/>
                <w:highlight w:val="none"/>
              </w:rPr>
            </w:pPr>
            <w:r>
              <w:rPr>
                <w:rFonts w:eastAsia="宋体"/>
                <w:b/>
                <w:sz w:val="21"/>
                <w:szCs w:val="21"/>
                <w:highlight w:val="none"/>
              </w:rPr>
              <w:t>五金零件投入量(A)</w:t>
            </w:r>
          </w:p>
        </w:tc>
        <w:tc>
          <w:tcPr>
            <w:tcW w:w="1250" w:type="pct"/>
            <w:tcBorders>
              <w:tl2br w:val="nil"/>
              <w:tr2bl w:val="nil"/>
            </w:tcBorders>
            <w:vAlign w:val="center"/>
          </w:tcPr>
          <w:p>
            <w:pPr>
              <w:spacing w:line="240" w:lineRule="exact"/>
              <w:jc w:val="center"/>
              <w:rPr>
                <w:rFonts w:eastAsia="宋体"/>
                <w:b/>
                <w:sz w:val="21"/>
                <w:szCs w:val="21"/>
                <w:highlight w:val="none"/>
              </w:rPr>
            </w:pPr>
            <w:r>
              <w:rPr>
                <w:rFonts w:eastAsia="宋体"/>
                <w:b/>
                <w:sz w:val="21"/>
                <w:szCs w:val="21"/>
                <w:highlight w:val="none"/>
              </w:rPr>
              <w:t>继电器产量(B)</w:t>
            </w:r>
          </w:p>
        </w:tc>
        <w:tc>
          <w:tcPr>
            <w:tcW w:w="1250" w:type="pct"/>
            <w:tcBorders>
              <w:tl2br w:val="nil"/>
              <w:tr2bl w:val="nil"/>
            </w:tcBorders>
            <w:vAlign w:val="center"/>
          </w:tcPr>
          <w:p>
            <w:pPr>
              <w:spacing w:line="240" w:lineRule="exact"/>
              <w:jc w:val="center"/>
              <w:rPr>
                <w:rFonts w:eastAsia="宋体"/>
                <w:b/>
                <w:sz w:val="21"/>
                <w:szCs w:val="21"/>
                <w:highlight w:val="none"/>
              </w:rPr>
            </w:pPr>
            <w:r>
              <w:rPr>
                <w:rFonts w:eastAsia="宋体"/>
                <w:b/>
                <w:sz w:val="21"/>
                <w:szCs w:val="21"/>
                <w:highlight w:val="none"/>
              </w:rPr>
              <w:t>单位耗用量(A/B)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tcBorders>
              <w:tl2br w:val="nil"/>
              <w:tr2bl w:val="nil"/>
            </w:tcBorders>
            <w:vAlign w:val="center"/>
          </w:tcPr>
          <w:p>
            <w:pPr>
              <w:spacing w:line="240" w:lineRule="exact"/>
              <w:rPr>
                <w:rFonts w:eastAsia="宋体"/>
                <w:bCs/>
                <w:sz w:val="21"/>
                <w:szCs w:val="21"/>
                <w:highlight w:val="none"/>
              </w:rPr>
            </w:pPr>
            <w:r>
              <w:rPr>
                <w:rFonts w:eastAsia="宋体"/>
                <w:bCs/>
                <w:sz w:val="21"/>
                <w:szCs w:val="21"/>
                <w:highlight w:val="none"/>
              </w:rPr>
              <w:t>2020年1-6月</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137,337.41</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22,162.21</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6.20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tcBorders>
              <w:tl2br w:val="nil"/>
              <w:tr2bl w:val="nil"/>
            </w:tcBorders>
            <w:vAlign w:val="center"/>
          </w:tcPr>
          <w:p>
            <w:pPr>
              <w:spacing w:line="240" w:lineRule="exact"/>
              <w:rPr>
                <w:rFonts w:eastAsia="宋体"/>
                <w:bCs/>
                <w:sz w:val="21"/>
                <w:szCs w:val="21"/>
                <w:highlight w:val="none"/>
              </w:rPr>
            </w:pPr>
            <w:r>
              <w:rPr>
                <w:rFonts w:eastAsia="宋体"/>
                <w:bCs/>
                <w:sz w:val="21"/>
                <w:szCs w:val="21"/>
                <w:highlight w:val="none"/>
              </w:rPr>
              <w:t>2019年度</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330,930.64</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54,464.23</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tcBorders>
              <w:tl2br w:val="nil"/>
              <w:tr2bl w:val="nil"/>
            </w:tcBorders>
            <w:vAlign w:val="center"/>
          </w:tcPr>
          <w:p>
            <w:pPr>
              <w:spacing w:line="240" w:lineRule="exact"/>
              <w:rPr>
                <w:rFonts w:eastAsia="宋体"/>
                <w:bCs/>
                <w:sz w:val="21"/>
                <w:szCs w:val="21"/>
                <w:highlight w:val="none"/>
              </w:rPr>
            </w:pPr>
            <w:r>
              <w:rPr>
                <w:rFonts w:eastAsia="宋体"/>
                <w:bCs/>
                <w:sz w:val="21"/>
                <w:szCs w:val="21"/>
                <w:highlight w:val="none"/>
              </w:rPr>
              <w:t>2018年度</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275,544.24</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46,444.45</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5.93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tcBorders>
              <w:tl2br w:val="nil"/>
              <w:tr2bl w:val="nil"/>
            </w:tcBorders>
            <w:vAlign w:val="center"/>
          </w:tcPr>
          <w:p>
            <w:pPr>
              <w:spacing w:line="240" w:lineRule="exact"/>
              <w:rPr>
                <w:rFonts w:eastAsia="宋体"/>
                <w:bCs/>
                <w:sz w:val="21"/>
                <w:szCs w:val="21"/>
                <w:highlight w:val="none"/>
              </w:rPr>
            </w:pPr>
            <w:r>
              <w:rPr>
                <w:rFonts w:eastAsia="宋体"/>
                <w:bCs/>
                <w:sz w:val="21"/>
                <w:szCs w:val="21"/>
                <w:highlight w:val="none"/>
              </w:rPr>
              <w:t>2017年度</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281,452.47</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48,136.39</w:t>
            </w:r>
          </w:p>
        </w:tc>
        <w:tc>
          <w:tcPr>
            <w:tcW w:w="1250" w:type="pct"/>
            <w:tcBorders>
              <w:tl2br w:val="nil"/>
              <w:tr2bl w:val="nil"/>
            </w:tcBorders>
            <w:vAlign w:val="center"/>
          </w:tcPr>
          <w:p>
            <w:pPr>
              <w:spacing w:line="240" w:lineRule="exact"/>
              <w:jc w:val="right"/>
              <w:rPr>
                <w:rFonts w:eastAsia="宋体"/>
                <w:bCs/>
                <w:sz w:val="21"/>
                <w:szCs w:val="21"/>
                <w:highlight w:val="none"/>
              </w:rPr>
            </w:pPr>
            <w:r>
              <w:rPr>
                <w:rFonts w:eastAsia="宋体"/>
                <w:color w:val="000000"/>
                <w:sz w:val="21"/>
                <w:szCs w:val="21"/>
                <w:highlight w:val="none"/>
              </w:rPr>
              <w:t>5.85</w:t>
            </w:r>
          </w:p>
        </w:tc>
      </w:tr>
    </w:tbl>
    <w:p>
      <w:pPr>
        <w:topLinePunct/>
        <w:adjustRightInd w:val="0"/>
        <w:snapToGrid w:val="0"/>
        <w:spacing w:before="289" w:beforeLines="50" w:line="360" w:lineRule="auto"/>
        <w:ind w:firstLine="472" w:firstLineChars="200"/>
        <w:rPr>
          <w:rFonts w:eastAsia="宋体"/>
          <w:sz w:val="24"/>
          <w:highlight w:val="none"/>
        </w:rPr>
      </w:pPr>
      <w:r>
        <w:rPr>
          <w:rFonts w:eastAsia="宋体"/>
          <w:sz w:val="24"/>
          <w:highlight w:val="none"/>
        </w:rPr>
        <w:t>由上表可见，单位继电器的五金零件耗用量较为平稳，逐年略涨，主要系磁保持继电器的产量占比上涨所致。2017年至2020年1-6月磁保持继电器的产量占继电器总产量的比例分别为3.17%、3.48%、4.86%及5.72%，由于磁保持继电器的规格更大，单个继电器的五金零件耗用量较高。报告期内五金零件投入量与继电器产量相匹配。</w:t>
      </w:r>
    </w:p>
    <w:p>
      <w:pPr>
        <w:pStyle w:val="25"/>
        <w:adjustRightInd w:val="0"/>
        <w:snapToGrid w:val="0"/>
        <w:ind w:firstLine="472"/>
        <w:rPr>
          <w:rFonts w:cs="Times New Roman"/>
          <w:bCs/>
          <w:highlight w:val="none"/>
        </w:rPr>
      </w:pPr>
      <w:r>
        <w:rPr>
          <w:rFonts w:hint="eastAsia" w:cs="Times New Roman"/>
          <w:bCs/>
          <w:highlight w:val="none"/>
        </w:rPr>
        <w:t>②</w:t>
      </w:r>
      <w:r>
        <w:rPr>
          <w:rFonts w:cs="Times New Roman"/>
          <w:bCs/>
          <w:highlight w:val="none"/>
        </w:rPr>
        <w:t>五金零件投入和继电器销量的匹配情况</w:t>
      </w:r>
    </w:p>
    <w:p>
      <w:pPr>
        <w:pStyle w:val="25"/>
        <w:adjustRightInd w:val="0"/>
        <w:snapToGrid w:val="0"/>
        <w:ind w:firstLine="472"/>
        <w:rPr>
          <w:rFonts w:cs="Times New Roman"/>
          <w:bCs/>
          <w:highlight w:val="none"/>
        </w:rPr>
      </w:pPr>
      <w:r>
        <w:rPr>
          <w:rFonts w:cs="Times New Roman"/>
          <w:bCs/>
          <w:highlight w:val="none"/>
        </w:rPr>
        <w:t>公司五金零件投入产出成品后用于销售，在五金零件投入与产量配比的情况下，通过分析继电器产量与销量的匹配性，间接说明五金零件投入与销售的匹配情况。报告期内公司的继电器产销率均在100%上下浮动，较为合理，五金零件投入与产成品销售情况匹配。报告期内通用功率继电器、磁保持继电器和汽车继电器的销量占公司继电器总销量的比例分别为99.37%、99.51%、99.60%及99.70%，公司主要产品的产量与销量配比情况如下：</w:t>
      </w:r>
    </w:p>
    <w:p>
      <w:pPr>
        <w:widowControl/>
        <w:adjustRightInd w:val="0"/>
        <w:snapToGrid w:val="0"/>
        <w:spacing w:line="360" w:lineRule="auto"/>
        <w:ind w:firstLine="412" w:firstLineChars="200"/>
        <w:jc w:val="right"/>
        <w:rPr>
          <w:rFonts w:eastAsia="宋体"/>
          <w:sz w:val="21"/>
          <w:szCs w:val="21"/>
          <w:highlight w:val="none"/>
        </w:rPr>
      </w:pPr>
      <w:r>
        <w:rPr>
          <w:rFonts w:eastAsia="宋体"/>
          <w:sz w:val="21"/>
          <w:szCs w:val="21"/>
          <w:highlight w:val="none"/>
        </w:rPr>
        <w:t>单位：万颗、%</w:t>
      </w:r>
    </w:p>
    <w:tbl>
      <w:tblPr>
        <w:tblStyle w:val="12"/>
        <w:tblW w:w="8527"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6" w:type="dxa"/>
          <w:left w:w="0" w:type="dxa"/>
          <w:bottom w:w="6" w:type="dxa"/>
          <w:right w:w="0" w:type="dxa"/>
        </w:tblCellMar>
      </w:tblPr>
      <w:tblGrid>
        <w:gridCol w:w="1533"/>
        <w:gridCol w:w="1166"/>
        <w:gridCol w:w="1166"/>
        <w:gridCol w:w="1166"/>
        <w:gridCol w:w="1167"/>
        <w:gridCol w:w="1167"/>
        <w:gridCol w:w="116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6" w:type="dxa"/>
            <w:left w:w="0" w:type="dxa"/>
            <w:bottom w:w="6" w:type="dxa"/>
            <w:right w:w="0" w:type="dxa"/>
          </w:tblCellMar>
        </w:tblPrEx>
        <w:trPr>
          <w:trHeight w:val="340" w:hRule="atLeast"/>
          <w:tblHeader/>
          <w:jc w:val="center"/>
        </w:trPr>
        <w:tc>
          <w:tcPr>
            <w:tcW w:w="899" w:type="pct"/>
            <w:vMerge w:val="restart"/>
            <w:tcBorders>
              <w:top w:val="single" w:color="000000" w:sz="12" w:space="0"/>
              <w:left w:val="single" w:color="000000" w:sz="12" w:space="0"/>
            </w:tcBorders>
            <w:vAlign w:val="center"/>
          </w:tcPr>
          <w:p>
            <w:pPr>
              <w:spacing w:line="240" w:lineRule="exact"/>
              <w:jc w:val="center"/>
              <w:textAlignment w:val="center"/>
              <w:rPr>
                <w:rFonts w:eastAsia="宋体"/>
                <w:b/>
                <w:color w:val="000000"/>
                <w:sz w:val="21"/>
                <w:szCs w:val="21"/>
                <w:highlight w:val="none"/>
              </w:rPr>
            </w:pPr>
            <w:r>
              <w:rPr>
                <w:rFonts w:eastAsia="宋体"/>
                <w:b/>
                <w:color w:val="000000"/>
                <w:kern w:val="0"/>
                <w:sz w:val="21"/>
                <w:szCs w:val="21"/>
                <w:highlight w:val="none"/>
                <w:lang w:bidi="ar"/>
              </w:rPr>
              <w:t>项  目</w:t>
            </w:r>
          </w:p>
        </w:tc>
        <w:tc>
          <w:tcPr>
            <w:tcW w:w="2052" w:type="pct"/>
            <w:gridSpan w:val="3"/>
            <w:tcBorders>
              <w:top w:val="single" w:color="000000" w:sz="12" w:space="0"/>
            </w:tcBorders>
            <w:vAlign w:val="center"/>
          </w:tcPr>
          <w:p>
            <w:pPr>
              <w:spacing w:line="240" w:lineRule="exact"/>
              <w:jc w:val="center"/>
              <w:textAlignment w:val="center"/>
              <w:rPr>
                <w:rFonts w:eastAsia="宋体"/>
                <w:b/>
                <w:color w:val="000000"/>
                <w:sz w:val="21"/>
                <w:szCs w:val="21"/>
                <w:highlight w:val="none"/>
              </w:rPr>
            </w:pPr>
            <w:r>
              <w:rPr>
                <w:rFonts w:eastAsia="宋体"/>
                <w:b/>
                <w:color w:val="000000"/>
                <w:kern w:val="0"/>
                <w:sz w:val="21"/>
                <w:szCs w:val="21"/>
                <w:highlight w:val="none"/>
                <w:lang w:bidi="ar"/>
              </w:rPr>
              <w:t>2020年1-6月</w:t>
            </w:r>
          </w:p>
        </w:tc>
        <w:tc>
          <w:tcPr>
            <w:tcW w:w="2049" w:type="pct"/>
            <w:gridSpan w:val="3"/>
            <w:tcBorders>
              <w:top w:val="single" w:color="000000" w:sz="12" w:space="0"/>
              <w:right w:val="single" w:color="000000" w:sz="12" w:space="0"/>
            </w:tcBorders>
            <w:vAlign w:val="center"/>
          </w:tcPr>
          <w:p>
            <w:pPr>
              <w:spacing w:line="240" w:lineRule="exact"/>
              <w:jc w:val="center"/>
              <w:textAlignment w:val="center"/>
              <w:rPr>
                <w:rFonts w:eastAsia="宋体"/>
                <w:b/>
                <w:color w:val="000000"/>
                <w:sz w:val="21"/>
                <w:szCs w:val="21"/>
                <w:highlight w:val="none"/>
              </w:rPr>
            </w:pPr>
            <w:r>
              <w:rPr>
                <w:rFonts w:eastAsia="宋体"/>
                <w:b/>
                <w:color w:val="000000"/>
                <w:kern w:val="0"/>
                <w:sz w:val="21"/>
                <w:szCs w:val="21"/>
                <w:highlight w:val="none"/>
                <w:lang w:bidi="ar"/>
              </w:rPr>
              <w:t>2019年度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6" w:type="dxa"/>
            <w:left w:w="0" w:type="dxa"/>
            <w:bottom w:w="6" w:type="dxa"/>
            <w:right w:w="0" w:type="dxa"/>
          </w:tblCellMar>
        </w:tblPrEx>
        <w:trPr>
          <w:trHeight w:val="340" w:hRule="atLeast"/>
          <w:tblHeader/>
          <w:jc w:val="center"/>
        </w:trPr>
        <w:tc>
          <w:tcPr>
            <w:tcW w:w="899" w:type="pct"/>
            <w:vMerge w:val="continue"/>
            <w:tcBorders>
              <w:left w:val="single" w:color="000000" w:sz="12" w:space="0"/>
            </w:tcBorders>
            <w:vAlign w:val="center"/>
          </w:tcPr>
          <w:p>
            <w:pPr>
              <w:spacing w:line="240" w:lineRule="exact"/>
              <w:jc w:val="center"/>
              <w:rPr>
                <w:rFonts w:eastAsia="宋体"/>
                <w:b/>
                <w:color w:val="000000"/>
                <w:sz w:val="21"/>
                <w:szCs w:val="21"/>
                <w:highlight w:val="none"/>
              </w:rPr>
            </w:pPr>
          </w:p>
        </w:tc>
        <w:tc>
          <w:tcPr>
            <w:tcW w:w="684" w:type="pct"/>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产量</w:t>
            </w:r>
          </w:p>
        </w:tc>
        <w:tc>
          <w:tcPr>
            <w:tcW w:w="684" w:type="pct"/>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销量</w:t>
            </w:r>
          </w:p>
        </w:tc>
        <w:tc>
          <w:tcPr>
            <w:tcW w:w="684" w:type="pct"/>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产销率</w:t>
            </w:r>
          </w:p>
        </w:tc>
        <w:tc>
          <w:tcPr>
            <w:tcW w:w="684" w:type="pct"/>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产量</w:t>
            </w:r>
          </w:p>
        </w:tc>
        <w:tc>
          <w:tcPr>
            <w:tcW w:w="684" w:type="pct"/>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销量</w:t>
            </w:r>
          </w:p>
        </w:tc>
        <w:tc>
          <w:tcPr>
            <w:tcW w:w="681" w:type="pct"/>
            <w:tcBorders>
              <w:right w:val="single" w:color="000000" w:sz="12" w:space="0"/>
            </w:tcBorders>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产销率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6" w:type="dxa"/>
            <w:left w:w="0" w:type="dxa"/>
            <w:bottom w:w="6" w:type="dxa"/>
            <w:right w:w="0" w:type="dxa"/>
          </w:tblCellMar>
        </w:tblPrEx>
        <w:trPr>
          <w:trHeight w:val="340" w:hRule="atLeast"/>
          <w:jc w:val="center"/>
        </w:trPr>
        <w:tc>
          <w:tcPr>
            <w:tcW w:w="899" w:type="pct"/>
            <w:tcBorders>
              <w:left w:val="single" w:color="000000" w:sz="12" w:space="0"/>
            </w:tcBorders>
            <w:vAlign w:val="center"/>
          </w:tcPr>
          <w:p>
            <w:pPr>
              <w:spacing w:line="240" w:lineRule="exact"/>
              <w:rPr>
                <w:rFonts w:eastAsia="宋体"/>
                <w:bCs/>
                <w:color w:val="000000"/>
                <w:kern w:val="0"/>
                <w:sz w:val="21"/>
                <w:szCs w:val="21"/>
                <w:highlight w:val="none"/>
              </w:rPr>
            </w:pPr>
            <w:r>
              <w:rPr>
                <w:rFonts w:eastAsia="宋体"/>
                <w:bCs/>
                <w:color w:val="000000"/>
                <w:kern w:val="0"/>
                <w:sz w:val="21"/>
                <w:szCs w:val="21"/>
                <w:highlight w:val="none"/>
              </w:rPr>
              <w:t>通用功率继电器</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 xml:space="preserve"> 20,525.92 </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 xml:space="preserve"> 22,130.71 </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 xml:space="preserve"> 107.82 </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50,657.65</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47,689.13</w:t>
            </w:r>
          </w:p>
        </w:tc>
        <w:tc>
          <w:tcPr>
            <w:tcW w:w="681" w:type="pct"/>
            <w:tcBorders>
              <w:right w:val="single" w:color="000000" w:sz="12" w:space="0"/>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94.14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6" w:type="dxa"/>
            <w:left w:w="0" w:type="dxa"/>
            <w:bottom w:w="6" w:type="dxa"/>
            <w:right w:w="0" w:type="dxa"/>
          </w:tblCellMar>
        </w:tblPrEx>
        <w:trPr>
          <w:trHeight w:val="340" w:hRule="atLeast"/>
          <w:jc w:val="center"/>
        </w:trPr>
        <w:tc>
          <w:tcPr>
            <w:tcW w:w="899" w:type="pct"/>
            <w:tcBorders>
              <w:left w:val="single" w:color="000000" w:sz="12" w:space="0"/>
            </w:tcBorders>
            <w:vAlign w:val="center"/>
          </w:tcPr>
          <w:p>
            <w:pPr>
              <w:spacing w:line="240" w:lineRule="exact"/>
              <w:rPr>
                <w:rFonts w:eastAsia="宋体"/>
                <w:bCs/>
                <w:color w:val="000000"/>
                <w:kern w:val="0"/>
                <w:sz w:val="21"/>
                <w:szCs w:val="21"/>
                <w:highlight w:val="none"/>
              </w:rPr>
            </w:pPr>
            <w:r>
              <w:rPr>
                <w:rFonts w:eastAsia="宋体"/>
                <w:bCs/>
                <w:color w:val="000000"/>
                <w:kern w:val="0"/>
                <w:sz w:val="21"/>
                <w:szCs w:val="21"/>
                <w:highlight w:val="none"/>
              </w:rPr>
              <w:t>磁保持继电器</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 xml:space="preserve"> 1,268.39 </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 xml:space="preserve"> 1,153.45 </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 xml:space="preserve"> 90.94 </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2,649.10</w:t>
            </w:r>
          </w:p>
        </w:tc>
        <w:tc>
          <w:tcPr>
            <w:tcW w:w="684" w:type="pct"/>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2,593.87</w:t>
            </w:r>
          </w:p>
        </w:tc>
        <w:tc>
          <w:tcPr>
            <w:tcW w:w="681" w:type="pct"/>
            <w:tcBorders>
              <w:right w:val="single" w:color="000000" w:sz="12" w:space="0"/>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97.92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6" w:type="dxa"/>
            <w:left w:w="0" w:type="dxa"/>
            <w:bottom w:w="6" w:type="dxa"/>
            <w:right w:w="0" w:type="dxa"/>
          </w:tblCellMar>
        </w:tblPrEx>
        <w:trPr>
          <w:trHeight w:val="340" w:hRule="atLeast"/>
          <w:jc w:val="center"/>
        </w:trPr>
        <w:tc>
          <w:tcPr>
            <w:tcW w:w="899" w:type="pct"/>
            <w:tcBorders>
              <w:left w:val="single" w:color="000000" w:sz="12" w:space="0"/>
              <w:bottom w:val="single" w:color="000000" w:sz="12" w:space="0"/>
            </w:tcBorders>
            <w:vAlign w:val="center"/>
          </w:tcPr>
          <w:p>
            <w:pPr>
              <w:spacing w:line="240" w:lineRule="exact"/>
              <w:rPr>
                <w:rFonts w:eastAsia="宋体"/>
                <w:bCs/>
                <w:color w:val="000000"/>
                <w:kern w:val="0"/>
                <w:sz w:val="21"/>
                <w:szCs w:val="21"/>
                <w:highlight w:val="none"/>
              </w:rPr>
            </w:pPr>
            <w:r>
              <w:rPr>
                <w:rFonts w:eastAsia="宋体"/>
                <w:bCs/>
                <w:color w:val="000000"/>
                <w:kern w:val="0"/>
                <w:sz w:val="21"/>
                <w:szCs w:val="21"/>
                <w:highlight w:val="none"/>
              </w:rPr>
              <w:t>汽车继电器</w:t>
            </w:r>
          </w:p>
        </w:tc>
        <w:tc>
          <w:tcPr>
            <w:tcW w:w="684" w:type="pct"/>
            <w:tcBorders>
              <w:bottom w:val="single" w:color="000000" w:sz="12" w:space="0"/>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 xml:space="preserve"> 367.79 </w:t>
            </w:r>
          </w:p>
        </w:tc>
        <w:tc>
          <w:tcPr>
            <w:tcW w:w="684" w:type="pct"/>
            <w:tcBorders>
              <w:bottom w:val="single" w:color="000000" w:sz="12" w:space="0"/>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 xml:space="preserve"> 377.68 </w:t>
            </w:r>
          </w:p>
        </w:tc>
        <w:tc>
          <w:tcPr>
            <w:tcW w:w="684" w:type="pct"/>
            <w:tcBorders>
              <w:bottom w:val="single" w:color="000000" w:sz="12" w:space="0"/>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 xml:space="preserve"> 102.69 </w:t>
            </w:r>
          </w:p>
        </w:tc>
        <w:tc>
          <w:tcPr>
            <w:tcW w:w="684" w:type="pct"/>
            <w:tcBorders>
              <w:bottom w:val="single" w:color="000000" w:sz="12" w:space="0"/>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1,156.64</w:t>
            </w:r>
          </w:p>
        </w:tc>
        <w:tc>
          <w:tcPr>
            <w:tcW w:w="684" w:type="pct"/>
            <w:tcBorders>
              <w:bottom w:val="single" w:color="000000" w:sz="12" w:space="0"/>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1,153.82</w:t>
            </w:r>
          </w:p>
        </w:tc>
        <w:tc>
          <w:tcPr>
            <w:tcW w:w="681" w:type="pct"/>
            <w:tcBorders>
              <w:bottom w:val="single" w:color="000000" w:sz="12" w:space="0"/>
              <w:right w:val="single" w:color="000000" w:sz="12" w:space="0"/>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99.76</w:t>
            </w:r>
          </w:p>
        </w:tc>
      </w:tr>
    </w:tbl>
    <w:p>
      <w:pPr>
        <w:topLinePunct/>
        <w:adjustRightInd w:val="0"/>
        <w:snapToGrid w:val="0"/>
        <w:spacing w:before="289" w:beforeLines="50" w:line="360" w:lineRule="auto"/>
        <w:ind w:firstLine="472" w:firstLineChars="200"/>
        <w:rPr>
          <w:rFonts w:eastAsia="宋体"/>
          <w:sz w:val="24"/>
          <w:highlight w:val="none"/>
        </w:rPr>
      </w:pPr>
      <w:r>
        <w:rPr>
          <w:rFonts w:eastAsia="宋体"/>
          <w:sz w:val="24"/>
          <w:highlight w:val="none"/>
        </w:rPr>
        <w:t>（续上表）</w:t>
      </w:r>
    </w:p>
    <w:tbl>
      <w:tblPr>
        <w:tblStyle w:val="12"/>
        <w:tblW w:w="852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33"/>
        <w:gridCol w:w="1166"/>
        <w:gridCol w:w="1166"/>
        <w:gridCol w:w="1166"/>
        <w:gridCol w:w="1167"/>
        <w:gridCol w:w="1167"/>
        <w:gridCol w:w="116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tblHeader/>
          <w:jc w:val="center"/>
        </w:trPr>
        <w:tc>
          <w:tcPr>
            <w:tcW w:w="899" w:type="pct"/>
            <w:vMerge w:val="restart"/>
            <w:tcBorders>
              <w:tl2br w:val="nil"/>
              <w:tr2bl w:val="nil"/>
            </w:tcBorders>
            <w:vAlign w:val="center"/>
          </w:tcPr>
          <w:p>
            <w:pPr>
              <w:spacing w:line="240" w:lineRule="exact"/>
              <w:jc w:val="center"/>
              <w:textAlignment w:val="center"/>
              <w:rPr>
                <w:rFonts w:eastAsia="宋体"/>
                <w:b/>
                <w:color w:val="000000"/>
                <w:sz w:val="21"/>
                <w:szCs w:val="21"/>
                <w:highlight w:val="none"/>
              </w:rPr>
            </w:pPr>
            <w:r>
              <w:rPr>
                <w:rFonts w:eastAsia="宋体"/>
                <w:b/>
                <w:color w:val="000000"/>
                <w:kern w:val="0"/>
                <w:sz w:val="21"/>
                <w:szCs w:val="21"/>
                <w:highlight w:val="none"/>
                <w:lang w:bidi="ar"/>
              </w:rPr>
              <w:t>项  目</w:t>
            </w:r>
          </w:p>
        </w:tc>
        <w:tc>
          <w:tcPr>
            <w:tcW w:w="2052" w:type="pct"/>
            <w:gridSpan w:val="3"/>
            <w:tcBorders>
              <w:tl2br w:val="nil"/>
              <w:tr2bl w:val="nil"/>
            </w:tcBorders>
            <w:vAlign w:val="center"/>
          </w:tcPr>
          <w:p>
            <w:pPr>
              <w:spacing w:line="240" w:lineRule="exact"/>
              <w:jc w:val="center"/>
              <w:textAlignment w:val="center"/>
              <w:rPr>
                <w:rFonts w:eastAsia="宋体"/>
                <w:b/>
                <w:color w:val="000000"/>
                <w:sz w:val="21"/>
                <w:szCs w:val="21"/>
                <w:highlight w:val="none"/>
              </w:rPr>
            </w:pPr>
            <w:r>
              <w:rPr>
                <w:rFonts w:eastAsia="宋体"/>
                <w:b/>
                <w:color w:val="000000"/>
                <w:kern w:val="0"/>
                <w:sz w:val="21"/>
                <w:szCs w:val="21"/>
                <w:highlight w:val="none"/>
                <w:lang w:bidi="ar"/>
              </w:rPr>
              <w:t>2018年度</w:t>
            </w:r>
          </w:p>
        </w:tc>
        <w:tc>
          <w:tcPr>
            <w:tcW w:w="2049" w:type="pct"/>
            <w:gridSpan w:val="3"/>
            <w:tcBorders>
              <w:tl2br w:val="nil"/>
              <w:tr2bl w:val="nil"/>
            </w:tcBorders>
            <w:vAlign w:val="center"/>
          </w:tcPr>
          <w:p>
            <w:pPr>
              <w:spacing w:line="240" w:lineRule="exact"/>
              <w:jc w:val="center"/>
              <w:textAlignment w:val="center"/>
              <w:rPr>
                <w:rFonts w:eastAsia="宋体"/>
                <w:b/>
                <w:color w:val="000000"/>
                <w:sz w:val="21"/>
                <w:szCs w:val="21"/>
                <w:highlight w:val="none"/>
              </w:rPr>
            </w:pPr>
            <w:r>
              <w:rPr>
                <w:rFonts w:eastAsia="宋体"/>
                <w:b/>
                <w:color w:val="000000"/>
                <w:kern w:val="0"/>
                <w:sz w:val="21"/>
                <w:szCs w:val="21"/>
                <w:highlight w:val="none"/>
                <w:lang w:bidi="ar"/>
              </w:rPr>
              <w:t>2017年度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99" w:type="pct"/>
            <w:vMerge w:val="continue"/>
            <w:tcBorders>
              <w:tl2br w:val="nil"/>
              <w:tr2bl w:val="nil"/>
            </w:tcBorders>
            <w:vAlign w:val="center"/>
          </w:tcPr>
          <w:p>
            <w:pPr>
              <w:spacing w:line="240" w:lineRule="exact"/>
              <w:jc w:val="center"/>
              <w:rPr>
                <w:rFonts w:eastAsia="宋体"/>
                <w:b/>
                <w:color w:val="000000"/>
                <w:sz w:val="21"/>
                <w:szCs w:val="21"/>
                <w:highlight w:val="none"/>
              </w:rPr>
            </w:pPr>
          </w:p>
        </w:tc>
        <w:tc>
          <w:tcPr>
            <w:tcW w:w="684" w:type="pct"/>
            <w:tcBorders>
              <w:tl2br w:val="nil"/>
              <w:tr2bl w:val="nil"/>
            </w:tcBorders>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产量</w:t>
            </w:r>
          </w:p>
        </w:tc>
        <w:tc>
          <w:tcPr>
            <w:tcW w:w="684" w:type="pct"/>
            <w:tcBorders>
              <w:tl2br w:val="nil"/>
              <w:tr2bl w:val="nil"/>
            </w:tcBorders>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销量</w:t>
            </w:r>
          </w:p>
        </w:tc>
        <w:tc>
          <w:tcPr>
            <w:tcW w:w="684" w:type="pct"/>
            <w:tcBorders>
              <w:tl2br w:val="nil"/>
              <w:tr2bl w:val="nil"/>
            </w:tcBorders>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产销率</w:t>
            </w:r>
          </w:p>
        </w:tc>
        <w:tc>
          <w:tcPr>
            <w:tcW w:w="684" w:type="pct"/>
            <w:tcBorders>
              <w:tl2br w:val="nil"/>
              <w:tr2bl w:val="nil"/>
            </w:tcBorders>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产量</w:t>
            </w:r>
          </w:p>
        </w:tc>
        <w:tc>
          <w:tcPr>
            <w:tcW w:w="684" w:type="pct"/>
            <w:tcBorders>
              <w:tl2br w:val="nil"/>
              <w:tr2bl w:val="nil"/>
            </w:tcBorders>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销量</w:t>
            </w:r>
          </w:p>
        </w:tc>
        <w:tc>
          <w:tcPr>
            <w:tcW w:w="681" w:type="pct"/>
            <w:tcBorders>
              <w:tl2br w:val="nil"/>
              <w:tr2bl w:val="nil"/>
            </w:tcBorders>
            <w:vAlign w:val="center"/>
          </w:tcPr>
          <w:p>
            <w:pPr>
              <w:spacing w:line="240" w:lineRule="exact"/>
              <w:jc w:val="center"/>
              <w:rPr>
                <w:rFonts w:eastAsia="宋体"/>
                <w:b/>
                <w:color w:val="000000"/>
                <w:kern w:val="0"/>
                <w:sz w:val="21"/>
                <w:szCs w:val="21"/>
                <w:highlight w:val="none"/>
              </w:rPr>
            </w:pPr>
            <w:r>
              <w:rPr>
                <w:rFonts w:eastAsia="宋体"/>
                <w:b/>
                <w:color w:val="000000"/>
                <w:kern w:val="0"/>
                <w:sz w:val="21"/>
                <w:szCs w:val="21"/>
                <w:highlight w:val="none"/>
              </w:rPr>
              <w:t>产销率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99" w:type="pct"/>
            <w:tcBorders>
              <w:tl2br w:val="nil"/>
              <w:tr2bl w:val="nil"/>
            </w:tcBorders>
            <w:vAlign w:val="center"/>
          </w:tcPr>
          <w:p>
            <w:pPr>
              <w:spacing w:line="240" w:lineRule="exact"/>
              <w:rPr>
                <w:rFonts w:eastAsia="宋体"/>
                <w:bCs/>
                <w:color w:val="000000"/>
                <w:kern w:val="0"/>
                <w:sz w:val="21"/>
                <w:szCs w:val="21"/>
                <w:highlight w:val="none"/>
              </w:rPr>
            </w:pPr>
            <w:r>
              <w:rPr>
                <w:rFonts w:eastAsia="宋体"/>
                <w:bCs/>
                <w:color w:val="000000"/>
                <w:kern w:val="0"/>
                <w:sz w:val="21"/>
                <w:szCs w:val="21"/>
                <w:highlight w:val="none"/>
              </w:rPr>
              <w:t>通用功率继电器</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43,669.23</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45,255.94</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103.63</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45,027.35</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43,088.68</w:t>
            </w:r>
          </w:p>
        </w:tc>
        <w:tc>
          <w:tcPr>
            <w:tcW w:w="681"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95.69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99" w:type="pct"/>
            <w:tcBorders>
              <w:tl2br w:val="nil"/>
              <w:tr2bl w:val="nil"/>
            </w:tcBorders>
            <w:vAlign w:val="center"/>
          </w:tcPr>
          <w:p>
            <w:pPr>
              <w:spacing w:line="240" w:lineRule="exact"/>
              <w:rPr>
                <w:rFonts w:eastAsia="宋体"/>
                <w:bCs/>
                <w:color w:val="000000"/>
                <w:kern w:val="0"/>
                <w:sz w:val="21"/>
                <w:szCs w:val="21"/>
                <w:highlight w:val="none"/>
              </w:rPr>
            </w:pPr>
            <w:r>
              <w:rPr>
                <w:rFonts w:eastAsia="宋体"/>
                <w:bCs/>
                <w:color w:val="000000"/>
                <w:kern w:val="0"/>
                <w:sz w:val="21"/>
                <w:szCs w:val="21"/>
                <w:highlight w:val="none"/>
              </w:rPr>
              <w:t>磁保持继电器</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1,614.01</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1,628.84</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100.92</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1,528.24</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1,613.26</w:t>
            </w:r>
          </w:p>
        </w:tc>
        <w:tc>
          <w:tcPr>
            <w:tcW w:w="681"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105.56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99" w:type="pct"/>
            <w:tcBorders>
              <w:tl2br w:val="nil"/>
              <w:tr2bl w:val="nil"/>
            </w:tcBorders>
            <w:vAlign w:val="center"/>
          </w:tcPr>
          <w:p>
            <w:pPr>
              <w:spacing w:line="240" w:lineRule="exact"/>
              <w:rPr>
                <w:rFonts w:eastAsia="宋体"/>
                <w:bCs/>
                <w:color w:val="000000"/>
                <w:kern w:val="0"/>
                <w:sz w:val="21"/>
                <w:szCs w:val="21"/>
                <w:highlight w:val="none"/>
              </w:rPr>
            </w:pPr>
            <w:r>
              <w:rPr>
                <w:rFonts w:eastAsia="宋体"/>
                <w:bCs/>
                <w:color w:val="000000"/>
                <w:kern w:val="0"/>
                <w:sz w:val="21"/>
                <w:szCs w:val="21"/>
                <w:highlight w:val="none"/>
              </w:rPr>
              <w:t>汽车继电器</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1,152.74</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1,355.07</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117.55</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1,525.11</w:t>
            </w:r>
          </w:p>
        </w:tc>
        <w:tc>
          <w:tcPr>
            <w:tcW w:w="684"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1,507.81</w:t>
            </w:r>
          </w:p>
        </w:tc>
        <w:tc>
          <w:tcPr>
            <w:tcW w:w="681" w:type="pct"/>
            <w:tcBorders>
              <w:tl2br w:val="nil"/>
              <w:tr2bl w:val="nil"/>
            </w:tcBorders>
            <w:vAlign w:val="center"/>
          </w:tcPr>
          <w:p>
            <w:pPr>
              <w:spacing w:line="240" w:lineRule="exact"/>
              <w:jc w:val="right"/>
              <w:textAlignment w:val="center"/>
              <w:rPr>
                <w:rFonts w:eastAsia="宋体"/>
                <w:bCs/>
                <w:color w:val="000000"/>
                <w:kern w:val="0"/>
                <w:sz w:val="21"/>
                <w:szCs w:val="21"/>
                <w:highlight w:val="none"/>
                <w:lang w:bidi="ar"/>
              </w:rPr>
            </w:pPr>
            <w:r>
              <w:rPr>
                <w:rFonts w:eastAsia="宋体"/>
                <w:bCs/>
                <w:color w:val="000000"/>
                <w:kern w:val="0"/>
                <w:sz w:val="21"/>
                <w:szCs w:val="21"/>
                <w:highlight w:val="none"/>
                <w:lang w:bidi="ar"/>
              </w:rPr>
              <w:t>98.87</w:t>
            </w:r>
          </w:p>
        </w:tc>
      </w:tr>
    </w:tbl>
    <w:p>
      <w:pPr>
        <w:topLinePunct/>
        <w:adjustRightInd w:val="0"/>
        <w:snapToGrid w:val="0"/>
        <w:spacing w:before="289" w:beforeLines="50" w:line="360" w:lineRule="auto"/>
        <w:ind w:firstLine="472" w:firstLineChars="200"/>
        <w:rPr>
          <w:rFonts w:eastAsia="宋体"/>
          <w:sz w:val="24"/>
          <w:highlight w:val="none"/>
        </w:rPr>
      </w:pPr>
      <w:r>
        <w:rPr>
          <w:rFonts w:eastAsia="宋体"/>
          <w:sz w:val="24"/>
          <w:highlight w:val="none"/>
        </w:rPr>
        <w:t>如上表所示，部分类型产品产销率超过100%，主要受上一年度期末存货的影响，报告期内公司产量与销量配比。</w:t>
      </w:r>
    </w:p>
    <w:p>
      <w:pPr>
        <w:pStyle w:val="25"/>
        <w:adjustRightInd w:val="0"/>
        <w:snapToGrid w:val="0"/>
        <w:ind w:firstLine="472"/>
        <w:rPr>
          <w:rFonts w:cs="Times New Roman"/>
          <w:bCs/>
          <w:highlight w:val="none"/>
        </w:rPr>
      </w:pPr>
      <w:r>
        <w:rPr>
          <w:rFonts w:cs="Times New Roman"/>
          <w:bCs/>
          <w:highlight w:val="none"/>
        </w:rPr>
        <w:t>综上所述，公司的原材料投入与废料产出和五金零件产出相匹配，五金零件投入与产品产销量相匹配。</w:t>
      </w:r>
    </w:p>
    <w:p>
      <w:pPr>
        <w:topLinePunct/>
        <w:adjustRightInd w:val="0"/>
        <w:snapToGrid w:val="0"/>
        <w:spacing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（二）请保荐机构和申报会计师进行核查，并发表核查意见。</w:t>
      </w:r>
    </w:p>
    <w:p>
      <w:pPr>
        <w:pStyle w:val="25"/>
        <w:adjustRightInd w:val="0"/>
        <w:snapToGrid w:val="0"/>
        <w:ind w:firstLine="474"/>
        <w:rPr>
          <w:rFonts w:cs="Times New Roman"/>
          <w:b/>
          <w:highlight w:val="none"/>
        </w:rPr>
      </w:pPr>
      <w:r>
        <w:rPr>
          <w:rFonts w:hint="eastAsia" w:cs="Times New Roman"/>
          <w:b/>
          <w:highlight w:val="none"/>
        </w:rPr>
        <w:t>1、核查程序</w:t>
      </w:r>
    </w:p>
    <w:p>
      <w:pPr>
        <w:pStyle w:val="25"/>
        <w:adjustRightInd w:val="0"/>
        <w:snapToGrid w:val="0"/>
        <w:ind w:firstLine="472"/>
        <w:rPr>
          <w:rFonts w:cs="Times New Roman"/>
          <w:bCs/>
          <w:highlight w:val="none"/>
        </w:rPr>
      </w:pPr>
      <w:r>
        <w:rPr>
          <w:rFonts w:hint="eastAsia" w:cs="Times New Roman"/>
          <w:bCs/>
          <w:highlight w:val="none"/>
        </w:rPr>
        <w:t>对于上述事项，保荐机构及申报会计师执行了如下核查程序：</w:t>
      </w:r>
    </w:p>
    <w:p>
      <w:pPr>
        <w:pStyle w:val="25"/>
        <w:adjustRightInd w:val="0"/>
        <w:snapToGrid w:val="0"/>
        <w:ind w:firstLine="472"/>
        <w:rPr>
          <w:rFonts w:cs="Times New Roman"/>
          <w:bCs/>
          <w:highlight w:val="none"/>
        </w:rPr>
      </w:pPr>
      <w:r>
        <w:rPr>
          <w:rFonts w:hint="eastAsia" w:cs="Times New Roman"/>
          <w:bCs/>
          <w:highlight w:val="none"/>
        </w:rPr>
        <w:t>（1）访谈公司废料销售的相关人员，了解废料销售的内部控制流程，评价这些控制的设计，确定其是否得到执行，并测试相关内部控制的运行有效性；</w:t>
      </w:r>
    </w:p>
    <w:p>
      <w:pPr>
        <w:pStyle w:val="25"/>
        <w:adjustRightInd w:val="0"/>
        <w:snapToGrid w:val="0"/>
        <w:ind w:firstLine="472"/>
        <w:rPr>
          <w:rFonts w:cs="Times New Roman"/>
          <w:bCs/>
          <w:highlight w:val="none"/>
        </w:rPr>
      </w:pPr>
      <w:r>
        <w:rPr>
          <w:rFonts w:hint="eastAsia" w:cs="Times New Roman"/>
          <w:bCs/>
          <w:highlight w:val="none"/>
        </w:rPr>
        <w:t>（2）访谈管理层，了解废料收入和成本的会计核算方法与依据，判断会计核算方法是否符合公司的实际情况及企业会计准则的规定；</w:t>
      </w:r>
    </w:p>
    <w:p>
      <w:pPr>
        <w:pStyle w:val="25"/>
        <w:adjustRightInd w:val="0"/>
        <w:snapToGrid w:val="0"/>
        <w:ind w:firstLine="472"/>
        <w:rPr>
          <w:rFonts w:cs="Times New Roman"/>
          <w:bCs/>
          <w:highlight w:val="none"/>
        </w:rPr>
      </w:pPr>
      <w:r>
        <w:rPr>
          <w:rFonts w:hint="eastAsia" w:cs="Times New Roman"/>
          <w:bCs/>
          <w:highlight w:val="none"/>
        </w:rPr>
        <w:t>（3）抽查废料销售的发票、收款银行回单、客户签字的交易单等原始资料，检查废料销售的真实性；</w:t>
      </w:r>
    </w:p>
    <w:p>
      <w:pPr>
        <w:pStyle w:val="25"/>
        <w:adjustRightInd w:val="0"/>
        <w:snapToGrid w:val="0"/>
        <w:ind w:firstLine="472"/>
        <w:rPr>
          <w:rFonts w:cs="Times New Roman"/>
          <w:bCs/>
          <w:highlight w:val="none"/>
        </w:rPr>
      </w:pPr>
      <w:r>
        <w:rPr>
          <w:rFonts w:hint="eastAsia" w:cs="Times New Roman"/>
          <w:bCs/>
          <w:highlight w:val="none"/>
        </w:rPr>
        <w:t>（4）查询报告期各期废铜、废铁的市场价格，对比公司的废料销售价格，</w:t>
      </w:r>
      <w:r>
        <w:rPr>
          <w:rFonts w:hint="eastAsia" w:ascii="宋体" w:hAnsi="宋体"/>
          <w:highlight w:val="none"/>
        </w:rPr>
        <w:t>结合废料销售金额，</w:t>
      </w:r>
      <w:r>
        <w:rPr>
          <w:rFonts w:hint="eastAsia" w:cs="Times New Roman"/>
          <w:bCs/>
          <w:highlight w:val="none"/>
        </w:rPr>
        <w:t>分析废料销售数量是否合理；</w:t>
      </w:r>
    </w:p>
    <w:p>
      <w:pPr>
        <w:pStyle w:val="25"/>
        <w:adjustRightInd w:val="0"/>
        <w:snapToGrid w:val="0"/>
        <w:ind w:firstLine="472"/>
        <w:rPr>
          <w:rFonts w:cs="Times New Roman"/>
          <w:bCs/>
          <w:highlight w:val="none"/>
        </w:rPr>
      </w:pPr>
      <w:r>
        <w:rPr>
          <w:rFonts w:hint="eastAsia" w:cs="Times New Roman"/>
          <w:bCs/>
          <w:highlight w:val="none"/>
        </w:rPr>
        <w:t>（5）分析各期五金零件产出的实际原材料耗用量与按照B</w:t>
      </w:r>
      <w:r>
        <w:rPr>
          <w:rFonts w:cs="Times New Roman"/>
          <w:bCs/>
          <w:highlight w:val="none"/>
        </w:rPr>
        <w:t>OM</w:t>
      </w:r>
      <w:r>
        <w:rPr>
          <w:rFonts w:hint="eastAsia" w:cs="Times New Roman"/>
          <w:bCs/>
          <w:highlight w:val="none"/>
        </w:rPr>
        <w:t>计算的标准原材料耗用量是否存在异常差异；</w:t>
      </w:r>
    </w:p>
    <w:p>
      <w:pPr>
        <w:pStyle w:val="25"/>
        <w:adjustRightInd w:val="0"/>
        <w:snapToGrid w:val="0"/>
        <w:ind w:firstLine="472"/>
        <w:rPr>
          <w:rFonts w:cs="Times New Roman"/>
          <w:bCs/>
          <w:highlight w:val="none"/>
        </w:rPr>
      </w:pPr>
      <w:r>
        <w:rPr>
          <w:rFonts w:hint="eastAsia" w:cs="Times New Roman"/>
          <w:bCs/>
          <w:highlight w:val="none"/>
        </w:rPr>
        <w:t>（6）分析五金零件投入量与继电器产量和销量的匹配情况。</w:t>
      </w:r>
    </w:p>
    <w:p>
      <w:pPr>
        <w:pStyle w:val="25"/>
        <w:adjustRightInd w:val="0"/>
        <w:snapToGrid w:val="0"/>
        <w:ind w:firstLine="474"/>
        <w:rPr>
          <w:rFonts w:cs="Times New Roman"/>
          <w:b/>
          <w:highlight w:val="none"/>
        </w:rPr>
      </w:pPr>
      <w:r>
        <w:rPr>
          <w:rFonts w:hint="eastAsia" w:cs="Times New Roman"/>
          <w:b/>
          <w:highlight w:val="none"/>
        </w:rPr>
        <w:t>2、核查意见</w:t>
      </w:r>
    </w:p>
    <w:p>
      <w:pPr>
        <w:pStyle w:val="25"/>
        <w:adjustRightInd w:val="0"/>
        <w:snapToGrid w:val="0"/>
        <w:ind w:firstLine="472"/>
        <w:rPr>
          <w:rFonts w:cs="Times New Roman"/>
          <w:bCs/>
          <w:highlight w:val="none"/>
        </w:rPr>
      </w:pPr>
      <w:r>
        <w:rPr>
          <w:rFonts w:hint="eastAsia" w:cs="Times New Roman"/>
          <w:bCs/>
          <w:highlight w:val="none"/>
        </w:rPr>
        <w:t>经核查，保荐机构及申报会计师认为：</w:t>
      </w:r>
    </w:p>
    <w:p>
      <w:pPr>
        <w:pStyle w:val="25"/>
        <w:adjustRightInd w:val="0"/>
        <w:snapToGrid w:val="0"/>
        <w:ind w:firstLine="472"/>
        <w:rPr>
          <w:rFonts w:cs="Times New Roman"/>
          <w:bCs/>
          <w:highlight w:val="none"/>
        </w:rPr>
      </w:pPr>
      <w:r>
        <w:rPr>
          <w:rFonts w:hint="eastAsia" w:cs="Times New Roman"/>
          <w:bCs/>
          <w:highlight w:val="none"/>
        </w:rPr>
        <w:t>公司废料销售的内部控制流程设计合理并且得到了有效执行；公司废料收入和成本的会计核算方法合理，符合企业会计准则的规定；公司报告期内的废料数量和主要原材料铜材、铁材的投料数量相匹配</w:t>
      </w:r>
      <w:r>
        <w:rPr>
          <w:rFonts w:hint="eastAsia" w:ascii="宋体" w:hAnsi="宋体"/>
          <w:highlight w:val="none"/>
        </w:rPr>
        <w:t>；由于公司用于生产继电器的五金零件通过自产和外购两种方式供应，因此铜材和铁材的原材料投入与继电器产品的产销量无直接匹配关系，但是从铜材和铁材投入与五金零件产出的匹配情况，以及整体五金零件投入和继电器产销量的匹配情况两个层面间接说明了报告期内公司主要</w:t>
      </w:r>
      <w:r>
        <w:rPr>
          <w:rFonts w:hint="eastAsia" w:cs="Times New Roman"/>
          <w:bCs/>
          <w:highlight w:val="none"/>
        </w:rPr>
        <w:t>原材料铜材、铁材的投料数量与继电器的产销量相匹配。</w:t>
      </w:r>
    </w:p>
    <w:p>
      <w:pPr>
        <w:topLinePunct/>
        <w:adjustRightInd w:val="0"/>
        <w:snapToGrid w:val="0"/>
        <w:spacing w:before="289" w:beforeLines="50" w:after="289" w:afterLines="50" w:line="360" w:lineRule="auto"/>
        <w:ind w:firstLine="472" w:firstLineChars="200"/>
        <w:outlineLvl w:val="0"/>
        <w:rPr>
          <w:rFonts w:ascii="黑体" w:hAnsi="黑体" w:eastAsia="黑体"/>
          <w:b/>
          <w:bCs/>
          <w:sz w:val="24"/>
          <w:highlight w:val="none"/>
        </w:rPr>
      </w:pPr>
      <w:bookmarkStart w:id="7" w:name="_Toc51983467"/>
      <w:r>
        <w:rPr>
          <w:rFonts w:hint="eastAsia" w:ascii="黑体" w:hAnsi="黑体" w:eastAsia="黑体"/>
          <w:b/>
          <w:bCs/>
          <w:sz w:val="24"/>
          <w:highlight w:val="none"/>
        </w:rPr>
        <w:t>五、关于应收票据和应收账款</w:t>
      </w:r>
      <w:bookmarkEnd w:id="7"/>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报告期内，公司已背书或已贴现且在报告期各期末尚未到期商业承兑汇票金额分别为350.00万元、784.59万元和130.00万元。公司收到部分客户用于支付货款的应收账款债权凭据后，将其背书给供应商进行采购结算，报告期内，已终止确认的未到期应收账款债权金额分别为2,686.70万元、1,269.41万元和608.03万元；公司将部分客户开具的应收账款债权凭据向其指定平台进行贴现融资，报告期内，用于质押的应收账款余额分别为1,943.68万元、241.36万元和0万元。</w:t>
      </w:r>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请发行人：列示报告期各期已背书或已贴现未到期的商业承兑汇票的详细信息，包括出票人、承兑人、票据金额、票据期限、贴现金额、前手背书人、公司后手被背书人、是否终止确认，相关处理是否符合《企业会计准则》的相关规定。结合合同条款或行业惯例，说明已背书或贴现的应收账款债权是否终止确认，具体会计核算是否符合《企业会计准则》的相关规定。</w:t>
      </w:r>
    </w:p>
    <w:p>
      <w:pPr>
        <w:topLinePunct/>
        <w:adjustRightInd w:val="0"/>
        <w:snapToGrid w:val="0"/>
        <w:spacing w:line="560" w:lineRule="exact"/>
        <w:ind w:firstLine="472" w:firstLineChars="200"/>
        <w:rPr>
          <w:rFonts w:ascii="黑体" w:hAnsi="黑体" w:eastAsia="黑体"/>
          <w:b/>
          <w:bCs/>
          <w:sz w:val="24"/>
          <w:highlight w:val="none"/>
        </w:rPr>
      </w:pPr>
      <w:r>
        <w:rPr>
          <w:rFonts w:hint="eastAsia" w:ascii="黑体" w:hAnsi="黑体" w:eastAsia="黑体"/>
          <w:b/>
          <w:bCs/>
          <w:sz w:val="24"/>
          <w:highlight w:val="none"/>
        </w:rPr>
        <w:t>请保荐机构和申报会计师进行核查，并发表核查意见。</w:t>
      </w:r>
    </w:p>
    <w:p>
      <w:pPr>
        <w:snapToGrid w:val="0"/>
        <w:spacing w:before="289" w:beforeLines="50" w:after="289" w:afterLines="50"/>
        <w:ind w:firstLine="472" w:firstLineChars="200"/>
        <w:rPr>
          <w:rFonts w:ascii="宋体" w:hAnsi="宋体" w:eastAsia="宋体"/>
          <w:b/>
          <w:bCs/>
          <w:sz w:val="24"/>
          <w:highlight w:val="none"/>
        </w:rPr>
      </w:pPr>
      <w:r>
        <w:rPr>
          <w:rFonts w:ascii="宋体" w:hAnsi="宋体" w:eastAsia="宋体"/>
          <w:b/>
          <w:bCs/>
          <w:sz w:val="24"/>
          <w:highlight w:val="none"/>
        </w:rPr>
        <w:t>回复：</w:t>
      </w:r>
    </w:p>
    <w:p>
      <w:pPr>
        <w:topLinePunct/>
        <w:adjustRightInd w:val="0"/>
        <w:snapToGrid w:val="0"/>
        <w:spacing w:after="289" w:afterLines="50"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一）请发行人：列示报告期各期已背书或已贴现未到期的商业承兑汇票的详细信息，包括出票人、承兑人、票据金额、票据期限、贴现金额、前手背书人、公司后手被背书人、是否终止确认，相关处理是否符合《企业会计准则》的相关规定。</w:t>
      </w:r>
    </w:p>
    <w:p>
      <w:pPr>
        <w:topLinePunct/>
        <w:adjustRightInd w:val="0"/>
        <w:snapToGrid w:val="0"/>
        <w:spacing w:line="360" w:lineRule="auto"/>
        <w:ind w:firstLine="472" w:firstLineChars="200"/>
        <w:rPr>
          <w:rFonts w:eastAsia="宋体"/>
          <w:b/>
          <w:bCs/>
          <w:sz w:val="24"/>
          <w:highlight w:val="none"/>
        </w:rPr>
      </w:pPr>
      <w:r>
        <w:rPr>
          <w:rFonts w:hint="eastAsia" w:eastAsia="宋体"/>
          <w:b/>
          <w:bCs/>
          <w:sz w:val="24"/>
          <w:highlight w:val="none"/>
        </w:rPr>
        <w:t>1、报告期各期末已背书未到期的商业承兑汇票详细信息</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报告期各期末已背书或已贴现未到期的商业承兑汇票全部为已背书未到期的情形，详细信息如下：</w:t>
      </w:r>
    </w:p>
    <w:p>
      <w:pPr>
        <w:pStyle w:val="25"/>
        <w:adjustRightInd w:val="0"/>
        <w:snapToGrid w:val="0"/>
        <w:ind w:firstLine="472"/>
        <w:rPr>
          <w:rFonts w:cs="Times New Roman"/>
          <w:bCs/>
          <w:highlight w:val="none"/>
        </w:rPr>
      </w:pPr>
      <w:r>
        <w:rPr>
          <w:rFonts w:hint="eastAsia"/>
          <w:highlight w:val="none"/>
        </w:rPr>
        <w:t>（1）2020年6月30日已背书未到期的票据情况</w:t>
      </w:r>
    </w:p>
    <w:p>
      <w:pPr>
        <w:widowControl/>
        <w:adjustRightInd w:val="0"/>
        <w:snapToGrid w:val="0"/>
        <w:spacing w:line="360" w:lineRule="auto"/>
        <w:ind w:firstLine="412" w:firstLineChars="200"/>
        <w:jc w:val="right"/>
        <w:rPr>
          <w:rFonts w:eastAsia="宋体"/>
          <w:sz w:val="21"/>
          <w:szCs w:val="21"/>
          <w:highlight w:val="none"/>
        </w:rPr>
      </w:pPr>
      <w:r>
        <w:rPr>
          <w:rFonts w:eastAsia="宋体"/>
          <w:sz w:val="21"/>
          <w:szCs w:val="21"/>
          <w:highlight w:val="none"/>
        </w:rPr>
        <w:t>单位：万元</w:t>
      </w:r>
    </w:p>
    <w:tbl>
      <w:tblPr>
        <w:tblStyle w:val="13"/>
        <w:tblW w:w="85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7" w:type="dxa"/>
          <w:bottom w:w="0" w:type="dxa"/>
          <w:right w:w="17" w:type="dxa"/>
        </w:tblCellMar>
      </w:tblPr>
      <w:tblGrid>
        <w:gridCol w:w="1185"/>
        <w:gridCol w:w="912"/>
        <w:gridCol w:w="888"/>
        <w:gridCol w:w="960"/>
        <w:gridCol w:w="1056"/>
        <w:gridCol w:w="1440"/>
        <w:gridCol w:w="1361"/>
        <w:gridCol w:w="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1185"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出票人</w:t>
            </w:r>
          </w:p>
        </w:tc>
        <w:tc>
          <w:tcPr>
            <w:tcW w:w="912"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承兑人</w:t>
            </w:r>
          </w:p>
        </w:tc>
        <w:tc>
          <w:tcPr>
            <w:tcW w:w="888"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票据金额</w:t>
            </w:r>
          </w:p>
        </w:tc>
        <w:tc>
          <w:tcPr>
            <w:tcW w:w="960"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出票日</w:t>
            </w:r>
          </w:p>
        </w:tc>
        <w:tc>
          <w:tcPr>
            <w:tcW w:w="1056"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到期日</w:t>
            </w:r>
          </w:p>
        </w:tc>
        <w:tc>
          <w:tcPr>
            <w:tcW w:w="1440"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前手背书人</w:t>
            </w:r>
          </w:p>
        </w:tc>
        <w:tc>
          <w:tcPr>
            <w:tcW w:w="1361"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后手背书人</w:t>
            </w:r>
          </w:p>
        </w:tc>
        <w:tc>
          <w:tcPr>
            <w:tcW w:w="725"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是否终止确认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185"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贵州电网有限责任公司安顺供电局</w:t>
            </w:r>
          </w:p>
        </w:tc>
        <w:tc>
          <w:tcPr>
            <w:tcW w:w="91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888"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90.00</w:t>
            </w:r>
          </w:p>
        </w:tc>
        <w:tc>
          <w:tcPr>
            <w:tcW w:w="960" w:type="dxa"/>
            <w:tcBorders>
              <w:tl2br w:val="nil"/>
              <w:tr2bl w:val="nil"/>
            </w:tcBorders>
            <w:vAlign w:val="center"/>
          </w:tcPr>
          <w:p>
            <w:pPr>
              <w:spacing w:line="240" w:lineRule="exact"/>
              <w:jc w:val="center"/>
              <w:rPr>
                <w:rFonts w:eastAsia="宋体"/>
                <w:sz w:val="21"/>
                <w:szCs w:val="21"/>
                <w:highlight w:val="none"/>
              </w:rPr>
            </w:pPr>
            <w:r>
              <w:rPr>
                <w:rFonts w:eastAsia="宋体"/>
                <w:color w:val="000000"/>
                <w:sz w:val="21"/>
                <w:szCs w:val="21"/>
                <w:highlight w:val="none"/>
              </w:rPr>
              <w:t>2020</w:t>
            </w:r>
            <w:r>
              <w:rPr>
                <w:rFonts w:hint="eastAsia" w:eastAsia="宋体"/>
                <w:color w:val="000000"/>
                <w:sz w:val="21"/>
                <w:szCs w:val="21"/>
                <w:highlight w:val="none"/>
              </w:rPr>
              <w:t>.0</w:t>
            </w:r>
            <w:r>
              <w:rPr>
                <w:rFonts w:eastAsia="宋体"/>
                <w:color w:val="000000"/>
                <w:sz w:val="21"/>
                <w:szCs w:val="21"/>
                <w:highlight w:val="none"/>
              </w:rPr>
              <w:t>3</w:t>
            </w:r>
            <w:r>
              <w:rPr>
                <w:rFonts w:hint="eastAsia" w:eastAsia="宋体"/>
                <w:color w:val="000000"/>
                <w:sz w:val="21"/>
                <w:szCs w:val="21"/>
                <w:highlight w:val="none"/>
              </w:rPr>
              <w:t>.</w:t>
            </w:r>
            <w:r>
              <w:rPr>
                <w:rFonts w:eastAsia="宋体"/>
                <w:color w:val="000000"/>
                <w:sz w:val="21"/>
                <w:szCs w:val="21"/>
                <w:highlight w:val="none"/>
              </w:rPr>
              <w:t>11</w:t>
            </w:r>
          </w:p>
        </w:tc>
        <w:tc>
          <w:tcPr>
            <w:tcW w:w="1056" w:type="dxa"/>
            <w:tcBorders>
              <w:tl2br w:val="nil"/>
              <w:tr2bl w:val="nil"/>
            </w:tcBorders>
            <w:vAlign w:val="center"/>
          </w:tcPr>
          <w:p>
            <w:pPr>
              <w:spacing w:line="240" w:lineRule="exact"/>
              <w:jc w:val="center"/>
              <w:rPr>
                <w:rFonts w:eastAsia="宋体"/>
                <w:sz w:val="21"/>
                <w:szCs w:val="21"/>
                <w:highlight w:val="none"/>
              </w:rPr>
            </w:pPr>
            <w:r>
              <w:rPr>
                <w:rFonts w:eastAsia="宋体"/>
                <w:color w:val="000000"/>
                <w:sz w:val="21"/>
                <w:szCs w:val="21"/>
                <w:highlight w:val="none"/>
              </w:rPr>
              <w:t>2020</w:t>
            </w:r>
            <w:r>
              <w:rPr>
                <w:rFonts w:hint="eastAsia" w:eastAsia="宋体"/>
                <w:color w:val="000000"/>
                <w:sz w:val="21"/>
                <w:szCs w:val="21"/>
                <w:highlight w:val="none"/>
              </w:rPr>
              <w:t>.0</w:t>
            </w:r>
            <w:r>
              <w:rPr>
                <w:rFonts w:eastAsia="宋体"/>
                <w:color w:val="000000"/>
                <w:sz w:val="21"/>
                <w:szCs w:val="21"/>
                <w:highlight w:val="none"/>
              </w:rPr>
              <w:t>9</w:t>
            </w:r>
            <w:r>
              <w:rPr>
                <w:rFonts w:hint="eastAsia" w:eastAsia="宋体"/>
                <w:color w:val="000000"/>
                <w:sz w:val="21"/>
                <w:szCs w:val="21"/>
                <w:highlight w:val="none"/>
              </w:rPr>
              <w:t>.</w:t>
            </w:r>
            <w:r>
              <w:rPr>
                <w:rFonts w:eastAsia="宋体"/>
                <w:color w:val="000000"/>
                <w:sz w:val="21"/>
                <w:szCs w:val="21"/>
                <w:highlight w:val="none"/>
              </w:rPr>
              <w:t>11</w:t>
            </w:r>
          </w:p>
        </w:tc>
        <w:tc>
          <w:tcPr>
            <w:tcW w:w="1440"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宁夏隆基宁光仪表股份有限公司</w:t>
            </w:r>
          </w:p>
        </w:tc>
        <w:tc>
          <w:tcPr>
            <w:tcW w:w="136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佛山通宝殷华特殊金属有限公司</w:t>
            </w:r>
          </w:p>
        </w:tc>
        <w:tc>
          <w:tcPr>
            <w:tcW w:w="725"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185"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合计</w:t>
            </w:r>
          </w:p>
        </w:tc>
        <w:tc>
          <w:tcPr>
            <w:tcW w:w="912"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c>
          <w:tcPr>
            <w:tcW w:w="888" w:type="dxa"/>
            <w:tcBorders>
              <w:tl2br w:val="nil"/>
              <w:tr2bl w:val="nil"/>
            </w:tcBorders>
            <w:vAlign w:val="center"/>
          </w:tcPr>
          <w:p>
            <w:pPr>
              <w:spacing w:line="240" w:lineRule="exact"/>
              <w:jc w:val="center"/>
              <w:rPr>
                <w:rFonts w:eastAsia="宋体"/>
                <w:b/>
                <w:bCs/>
                <w:sz w:val="21"/>
                <w:szCs w:val="21"/>
                <w:highlight w:val="none"/>
              </w:rPr>
            </w:pPr>
            <w:r>
              <w:rPr>
                <w:rFonts w:eastAsia="宋体"/>
                <w:b/>
                <w:bCs/>
                <w:sz w:val="21"/>
                <w:szCs w:val="21"/>
                <w:highlight w:val="none"/>
              </w:rPr>
              <w:t>90.00</w:t>
            </w:r>
          </w:p>
        </w:tc>
        <w:tc>
          <w:tcPr>
            <w:tcW w:w="960" w:type="dxa"/>
            <w:tcBorders>
              <w:tl2br w:val="nil"/>
              <w:tr2bl w:val="nil"/>
            </w:tcBorders>
            <w:vAlign w:val="center"/>
          </w:tcPr>
          <w:p>
            <w:pPr>
              <w:spacing w:line="240" w:lineRule="exact"/>
              <w:jc w:val="center"/>
              <w:rPr>
                <w:rFonts w:eastAsia="宋体"/>
                <w:b/>
                <w:bCs/>
                <w:sz w:val="21"/>
                <w:szCs w:val="21"/>
                <w:highlight w:val="none"/>
              </w:rPr>
            </w:pPr>
          </w:p>
        </w:tc>
        <w:tc>
          <w:tcPr>
            <w:tcW w:w="1056" w:type="dxa"/>
            <w:tcBorders>
              <w:tl2br w:val="nil"/>
              <w:tr2bl w:val="nil"/>
            </w:tcBorders>
            <w:vAlign w:val="center"/>
          </w:tcPr>
          <w:p>
            <w:pPr>
              <w:spacing w:line="240" w:lineRule="exact"/>
              <w:jc w:val="center"/>
              <w:rPr>
                <w:rFonts w:eastAsia="宋体"/>
                <w:b/>
                <w:bCs/>
                <w:sz w:val="21"/>
                <w:szCs w:val="21"/>
                <w:highlight w:val="none"/>
              </w:rPr>
            </w:pPr>
          </w:p>
        </w:tc>
        <w:tc>
          <w:tcPr>
            <w:tcW w:w="1440"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c>
          <w:tcPr>
            <w:tcW w:w="1361"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c>
          <w:tcPr>
            <w:tcW w:w="725"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r>
    </w:tbl>
    <w:p>
      <w:pPr>
        <w:pStyle w:val="25"/>
        <w:adjustRightInd w:val="0"/>
        <w:snapToGrid w:val="0"/>
        <w:spacing w:before="289" w:beforeLines="50"/>
        <w:ind w:firstLine="472"/>
        <w:rPr>
          <w:rFonts w:cs="Times New Roman"/>
          <w:bCs/>
          <w:highlight w:val="none"/>
        </w:rPr>
      </w:pPr>
      <w:r>
        <w:rPr>
          <w:rFonts w:hint="eastAsia"/>
          <w:highlight w:val="none"/>
        </w:rPr>
        <w:t>（2）2019年12月31日已背书未到期的票据情况</w:t>
      </w:r>
    </w:p>
    <w:p>
      <w:pPr>
        <w:widowControl/>
        <w:adjustRightInd w:val="0"/>
        <w:snapToGrid w:val="0"/>
        <w:spacing w:line="360" w:lineRule="auto"/>
        <w:ind w:firstLine="412" w:firstLineChars="200"/>
        <w:jc w:val="right"/>
        <w:rPr>
          <w:rFonts w:eastAsia="宋体"/>
          <w:sz w:val="21"/>
          <w:szCs w:val="21"/>
          <w:highlight w:val="none"/>
        </w:rPr>
      </w:pPr>
      <w:r>
        <w:rPr>
          <w:rFonts w:eastAsia="宋体"/>
          <w:sz w:val="21"/>
          <w:szCs w:val="21"/>
          <w:highlight w:val="none"/>
        </w:rPr>
        <w:t>单位：万元</w:t>
      </w:r>
    </w:p>
    <w:tbl>
      <w:tblPr>
        <w:tblStyle w:val="13"/>
        <w:tblW w:w="85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7" w:type="dxa"/>
          <w:bottom w:w="0" w:type="dxa"/>
          <w:right w:w="17" w:type="dxa"/>
        </w:tblCellMar>
      </w:tblPr>
      <w:tblGrid>
        <w:gridCol w:w="1190"/>
        <w:gridCol w:w="923"/>
        <w:gridCol w:w="889"/>
        <w:gridCol w:w="1008"/>
        <w:gridCol w:w="996"/>
        <w:gridCol w:w="1407"/>
        <w:gridCol w:w="1389"/>
        <w:gridCol w:w="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1190"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出票人</w:t>
            </w:r>
          </w:p>
        </w:tc>
        <w:tc>
          <w:tcPr>
            <w:tcW w:w="923"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承兑人</w:t>
            </w:r>
          </w:p>
        </w:tc>
        <w:tc>
          <w:tcPr>
            <w:tcW w:w="889"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票据金额</w:t>
            </w:r>
          </w:p>
        </w:tc>
        <w:tc>
          <w:tcPr>
            <w:tcW w:w="1008"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出票日</w:t>
            </w:r>
          </w:p>
        </w:tc>
        <w:tc>
          <w:tcPr>
            <w:tcW w:w="996"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到期日</w:t>
            </w:r>
          </w:p>
        </w:tc>
        <w:tc>
          <w:tcPr>
            <w:tcW w:w="1407"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前手背书人</w:t>
            </w:r>
          </w:p>
        </w:tc>
        <w:tc>
          <w:tcPr>
            <w:tcW w:w="1389"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后手背书人</w:t>
            </w:r>
          </w:p>
        </w:tc>
        <w:tc>
          <w:tcPr>
            <w:tcW w:w="725"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是否终止确认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19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珠海德豪润达电气有限公司</w:t>
            </w:r>
          </w:p>
        </w:tc>
        <w:tc>
          <w:tcPr>
            <w:tcW w:w="923"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珠海德豪润达电气有限公司</w:t>
            </w:r>
          </w:p>
        </w:tc>
        <w:tc>
          <w:tcPr>
            <w:tcW w:w="889"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30.00</w:t>
            </w:r>
          </w:p>
        </w:tc>
        <w:tc>
          <w:tcPr>
            <w:tcW w:w="1008" w:type="dxa"/>
            <w:tcBorders>
              <w:tl2br w:val="nil"/>
              <w:tr2bl w:val="nil"/>
            </w:tcBorders>
            <w:vAlign w:val="center"/>
          </w:tcPr>
          <w:p>
            <w:pPr>
              <w:spacing w:line="240" w:lineRule="exact"/>
              <w:jc w:val="center"/>
              <w:rPr>
                <w:rFonts w:eastAsia="宋体"/>
                <w:color w:val="000000"/>
                <w:sz w:val="21"/>
                <w:szCs w:val="21"/>
                <w:highlight w:val="none"/>
              </w:rPr>
            </w:pPr>
            <w:r>
              <w:rPr>
                <w:rFonts w:eastAsia="宋体"/>
                <w:color w:val="000000"/>
                <w:sz w:val="21"/>
                <w:szCs w:val="21"/>
                <w:highlight w:val="none"/>
              </w:rPr>
              <w:t>2019.07.29</w:t>
            </w:r>
          </w:p>
        </w:tc>
        <w:tc>
          <w:tcPr>
            <w:tcW w:w="996" w:type="dxa"/>
            <w:tcBorders>
              <w:tl2br w:val="nil"/>
              <w:tr2bl w:val="nil"/>
            </w:tcBorders>
            <w:vAlign w:val="center"/>
          </w:tcPr>
          <w:p>
            <w:pPr>
              <w:spacing w:line="240" w:lineRule="exact"/>
              <w:jc w:val="center"/>
              <w:rPr>
                <w:rFonts w:eastAsia="宋体"/>
                <w:color w:val="000000"/>
                <w:sz w:val="21"/>
                <w:szCs w:val="21"/>
                <w:highlight w:val="none"/>
              </w:rPr>
            </w:pPr>
            <w:r>
              <w:rPr>
                <w:rFonts w:eastAsia="宋体"/>
                <w:color w:val="000000"/>
                <w:sz w:val="21"/>
                <w:szCs w:val="21"/>
                <w:highlight w:val="none"/>
              </w:rPr>
              <w:t>2020.02.14</w:t>
            </w:r>
          </w:p>
        </w:tc>
        <w:tc>
          <w:tcPr>
            <w:tcW w:w="140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珠海德豪润达电气有限公司</w:t>
            </w:r>
          </w:p>
        </w:tc>
        <w:tc>
          <w:tcPr>
            <w:tcW w:w="1389"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东莞市东吴精密塑胶五金有限公司</w:t>
            </w:r>
          </w:p>
        </w:tc>
        <w:tc>
          <w:tcPr>
            <w:tcW w:w="725"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19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贵州电网有限责任公司凯里供电局</w:t>
            </w:r>
          </w:p>
        </w:tc>
        <w:tc>
          <w:tcPr>
            <w:tcW w:w="923"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889"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100.00</w:t>
            </w:r>
          </w:p>
        </w:tc>
        <w:tc>
          <w:tcPr>
            <w:tcW w:w="1008" w:type="dxa"/>
            <w:tcBorders>
              <w:tl2br w:val="nil"/>
              <w:tr2bl w:val="nil"/>
            </w:tcBorders>
            <w:vAlign w:val="center"/>
          </w:tcPr>
          <w:p>
            <w:pPr>
              <w:spacing w:line="240" w:lineRule="exact"/>
              <w:jc w:val="center"/>
              <w:rPr>
                <w:rFonts w:eastAsia="宋体"/>
                <w:color w:val="000000"/>
                <w:sz w:val="21"/>
                <w:szCs w:val="21"/>
                <w:highlight w:val="none"/>
              </w:rPr>
            </w:pPr>
            <w:r>
              <w:rPr>
                <w:rFonts w:eastAsia="宋体"/>
                <w:color w:val="000000"/>
                <w:sz w:val="21"/>
                <w:szCs w:val="21"/>
                <w:highlight w:val="none"/>
              </w:rPr>
              <w:t>2019.09.29</w:t>
            </w:r>
          </w:p>
        </w:tc>
        <w:tc>
          <w:tcPr>
            <w:tcW w:w="996" w:type="dxa"/>
            <w:tcBorders>
              <w:tl2br w:val="nil"/>
              <w:tr2bl w:val="nil"/>
            </w:tcBorders>
            <w:vAlign w:val="center"/>
          </w:tcPr>
          <w:p>
            <w:pPr>
              <w:spacing w:line="240" w:lineRule="exact"/>
              <w:jc w:val="center"/>
              <w:rPr>
                <w:rFonts w:eastAsia="宋体"/>
                <w:color w:val="000000"/>
                <w:sz w:val="21"/>
                <w:szCs w:val="21"/>
                <w:highlight w:val="none"/>
              </w:rPr>
            </w:pPr>
            <w:r>
              <w:rPr>
                <w:rFonts w:eastAsia="宋体"/>
                <w:color w:val="000000"/>
                <w:sz w:val="21"/>
                <w:szCs w:val="21"/>
                <w:highlight w:val="none"/>
              </w:rPr>
              <w:t>2020.03.30</w:t>
            </w:r>
          </w:p>
        </w:tc>
        <w:tc>
          <w:tcPr>
            <w:tcW w:w="140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杭州华立科技有限公司</w:t>
            </w:r>
          </w:p>
        </w:tc>
        <w:tc>
          <w:tcPr>
            <w:tcW w:w="1389"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北京金嘉森金属材料有限公司</w:t>
            </w:r>
          </w:p>
        </w:tc>
        <w:tc>
          <w:tcPr>
            <w:tcW w:w="725"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190"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合计</w:t>
            </w:r>
          </w:p>
        </w:tc>
        <w:tc>
          <w:tcPr>
            <w:tcW w:w="923"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c>
          <w:tcPr>
            <w:tcW w:w="889" w:type="dxa"/>
            <w:tcBorders>
              <w:tl2br w:val="nil"/>
              <w:tr2bl w:val="nil"/>
            </w:tcBorders>
            <w:vAlign w:val="center"/>
          </w:tcPr>
          <w:p>
            <w:pPr>
              <w:spacing w:line="240" w:lineRule="exact"/>
              <w:jc w:val="right"/>
              <w:rPr>
                <w:rFonts w:eastAsia="宋体"/>
                <w:b/>
                <w:bCs/>
                <w:sz w:val="21"/>
                <w:szCs w:val="21"/>
                <w:highlight w:val="none"/>
              </w:rPr>
            </w:pPr>
            <w:r>
              <w:rPr>
                <w:rFonts w:eastAsia="宋体"/>
                <w:b/>
                <w:bCs/>
                <w:sz w:val="21"/>
                <w:szCs w:val="21"/>
                <w:highlight w:val="none"/>
              </w:rPr>
              <w:t>130.00</w:t>
            </w:r>
          </w:p>
        </w:tc>
        <w:tc>
          <w:tcPr>
            <w:tcW w:w="1008"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　</w:t>
            </w:r>
          </w:p>
        </w:tc>
        <w:tc>
          <w:tcPr>
            <w:tcW w:w="996"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　</w:t>
            </w:r>
          </w:p>
        </w:tc>
        <w:tc>
          <w:tcPr>
            <w:tcW w:w="1407"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　</w:t>
            </w:r>
          </w:p>
        </w:tc>
        <w:tc>
          <w:tcPr>
            <w:tcW w:w="1389"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　</w:t>
            </w:r>
          </w:p>
        </w:tc>
        <w:tc>
          <w:tcPr>
            <w:tcW w:w="725"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　</w:t>
            </w:r>
          </w:p>
        </w:tc>
      </w:tr>
    </w:tbl>
    <w:p>
      <w:pPr>
        <w:pStyle w:val="25"/>
        <w:adjustRightInd w:val="0"/>
        <w:snapToGrid w:val="0"/>
        <w:spacing w:before="289" w:beforeLines="50"/>
        <w:ind w:firstLine="472"/>
        <w:rPr>
          <w:rFonts w:cs="Times New Roman"/>
          <w:bCs/>
          <w:highlight w:val="none"/>
        </w:rPr>
      </w:pPr>
      <w:r>
        <w:rPr>
          <w:rFonts w:hint="eastAsia"/>
          <w:highlight w:val="none"/>
        </w:rPr>
        <w:t>（3）2018年12月31日已背书未到期的票据情况</w:t>
      </w:r>
    </w:p>
    <w:p>
      <w:pPr>
        <w:widowControl/>
        <w:adjustRightInd w:val="0"/>
        <w:snapToGrid w:val="0"/>
        <w:spacing w:line="360" w:lineRule="auto"/>
        <w:ind w:firstLine="412" w:firstLineChars="200"/>
        <w:jc w:val="right"/>
        <w:rPr>
          <w:rFonts w:eastAsia="宋体"/>
          <w:sz w:val="21"/>
          <w:szCs w:val="21"/>
          <w:highlight w:val="none"/>
        </w:rPr>
      </w:pPr>
      <w:r>
        <w:rPr>
          <w:rFonts w:eastAsia="宋体"/>
          <w:sz w:val="21"/>
          <w:szCs w:val="21"/>
          <w:highlight w:val="none"/>
        </w:rPr>
        <w:t>单位：万元</w:t>
      </w:r>
    </w:p>
    <w:tbl>
      <w:tblPr>
        <w:tblStyle w:val="13"/>
        <w:tblW w:w="85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7" w:type="dxa"/>
          <w:bottom w:w="0" w:type="dxa"/>
          <w:right w:w="17" w:type="dxa"/>
        </w:tblCellMar>
      </w:tblPr>
      <w:tblGrid>
        <w:gridCol w:w="1202"/>
        <w:gridCol w:w="900"/>
        <w:gridCol w:w="900"/>
        <w:gridCol w:w="1008"/>
        <w:gridCol w:w="996"/>
        <w:gridCol w:w="1417"/>
        <w:gridCol w:w="1391"/>
        <w:gridCol w:w="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1202"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出票人</w:t>
            </w:r>
          </w:p>
        </w:tc>
        <w:tc>
          <w:tcPr>
            <w:tcW w:w="900"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承兑人</w:t>
            </w:r>
          </w:p>
        </w:tc>
        <w:tc>
          <w:tcPr>
            <w:tcW w:w="900"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票据金额</w:t>
            </w:r>
          </w:p>
        </w:tc>
        <w:tc>
          <w:tcPr>
            <w:tcW w:w="1008"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出票日</w:t>
            </w:r>
          </w:p>
        </w:tc>
        <w:tc>
          <w:tcPr>
            <w:tcW w:w="996"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到期日</w:t>
            </w:r>
          </w:p>
        </w:tc>
        <w:tc>
          <w:tcPr>
            <w:tcW w:w="1417"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前手背书人</w:t>
            </w:r>
          </w:p>
        </w:tc>
        <w:tc>
          <w:tcPr>
            <w:tcW w:w="1391"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后手背书人</w:t>
            </w:r>
          </w:p>
        </w:tc>
        <w:tc>
          <w:tcPr>
            <w:tcW w:w="713"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是否终止确认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贵州电网有限责任公司铜仁供电局</w:t>
            </w:r>
          </w:p>
        </w:tc>
        <w:tc>
          <w:tcPr>
            <w:tcW w:w="90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900"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100.00</w:t>
            </w:r>
          </w:p>
        </w:tc>
        <w:tc>
          <w:tcPr>
            <w:tcW w:w="1008"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7</w:t>
            </w:r>
            <w:r>
              <w:rPr>
                <w:rFonts w:hint="eastAsia" w:eastAsia="宋体"/>
                <w:sz w:val="21"/>
                <w:szCs w:val="21"/>
                <w:highlight w:val="none"/>
              </w:rPr>
              <w:t>.</w:t>
            </w:r>
            <w:r>
              <w:rPr>
                <w:rFonts w:eastAsia="宋体"/>
                <w:sz w:val="21"/>
                <w:szCs w:val="21"/>
                <w:highlight w:val="none"/>
              </w:rPr>
              <w:t>24</w:t>
            </w:r>
          </w:p>
        </w:tc>
        <w:tc>
          <w:tcPr>
            <w:tcW w:w="996"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2019</w:t>
            </w:r>
            <w:r>
              <w:rPr>
                <w:rFonts w:hint="eastAsia" w:eastAsia="宋体"/>
                <w:sz w:val="21"/>
                <w:szCs w:val="21"/>
                <w:highlight w:val="none"/>
              </w:rPr>
              <w:t>.0</w:t>
            </w:r>
            <w:r>
              <w:rPr>
                <w:rFonts w:eastAsia="宋体"/>
                <w:sz w:val="21"/>
                <w:szCs w:val="21"/>
                <w:highlight w:val="none"/>
              </w:rPr>
              <w:t>1</w:t>
            </w:r>
            <w:r>
              <w:rPr>
                <w:rFonts w:hint="eastAsia" w:eastAsia="宋体"/>
                <w:sz w:val="21"/>
                <w:szCs w:val="21"/>
                <w:highlight w:val="none"/>
              </w:rPr>
              <w:t>.</w:t>
            </w:r>
            <w:r>
              <w:rPr>
                <w:rFonts w:eastAsia="宋体"/>
                <w:sz w:val="21"/>
                <w:szCs w:val="21"/>
                <w:highlight w:val="none"/>
              </w:rPr>
              <w:t>24</w:t>
            </w:r>
          </w:p>
        </w:tc>
        <w:tc>
          <w:tcPr>
            <w:tcW w:w="141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宁波三星智能电气有限公司</w:t>
            </w:r>
          </w:p>
        </w:tc>
        <w:tc>
          <w:tcPr>
            <w:tcW w:w="139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佛山通宝殷华特殊金属有限公司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贵州电网有限责任公司铜仁供电局</w:t>
            </w:r>
          </w:p>
        </w:tc>
        <w:tc>
          <w:tcPr>
            <w:tcW w:w="90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900"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100.00</w:t>
            </w:r>
          </w:p>
        </w:tc>
        <w:tc>
          <w:tcPr>
            <w:tcW w:w="1008"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7</w:t>
            </w:r>
            <w:r>
              <w:rPr>
                <w:rFonts w:hint="eastAsia" w:eastAsia="宋体"/>
                <w:sz w:val="21"/>
                <w:szCs w:val="21"/>
                <w:highlight w:val="none"/>
              </w:rPr>
              <w:t>.</w:t>
            </w:r>
            <w:r>
              <w:rPr>
                <w:rFonts w:eastAsia="宋体"/>
                <w:sz w:val="21"/>
                <w:szCs w:val="21"/>
                <w:highlight w:val="none"/>
              </w:rPr>
              <w:t>24</w:t>
            </w:r>
          </w:p>
        </w:tc>
        <w:tc>
          <w:tcPr>
            <w:tcW w:w="996"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2019</w:t>
            </w:r>
            <w:r>
              <w:rPr>
                <w:rFonts w:hint="eastAsia" w:eastAsia="宋体"/>
                <w:sz w:val="21"/>
                <w:szCs w:val="21"/>
                <w:highlight w:val="none"/>
              </w:rPr>
              <w:t>.0</w:t>
            </w:r>
            <w:r>
              <w:rPr>
                <w:rFonts w:eastAsia="宋体"/>
                <w:sz w:val="21"/>
                <w:szCs w:val="21"/>
                <w:highlight w:val="none"/>
              </w:rPr>
              <w:t>1</w:t>
            </w:r>
            <w:r>
              <w:rPr>
                <w:rFonts w:hint="eastAsia" w:eastAsia="宋体"/>
                <w:sz w:val="21"/>
                <w:szCs w:val="21"/>
                <w:highlight w:val="none"/>
              </w:rPr>
              <w:t>.</w:t>
            </w:r>
            <w:r>
              <w:rPr>
                <w:rFonts w:eastAsia="宋体"/>
                <w:sz w:val="21"/>
                <w:szCs w:val="21"/>
                <w:highlight w:val="none"/>
              </w:rPr>
              <w:t>24</w:t>
            </w:r>
          </w:p>
        </w:tc>
        <w:tc>
          <w:tcPr>
            <w:tcW w:w="141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宁波三星智能电气有限公司</w:t>
            </w:r>
          </w:p>
        </w:tc>
        <w:tc>
          <w:tcPr>
            <w:tcW w:w="139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无锡巨丰复合线有限公司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贵州电网有限责任公司凯里供电局</w:t>
            </w:r>
          </w:p>
        </w:tc>
        <w:tc>
          <w:tcPr>
            <w:tcW w:w="90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900"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100.00</w:t>
            </w:r>
          </w:p>
        </w:tc>
        <w:tc>
          <w:tcPr>
            <w:tcW w:w="1008"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7</w:t>
            </w:r>
            <w:r>
              <w:rPr>
                <w:rFonts w:hint="eastAsia" w:eastAsia="宋体"/>
                <w:sz w:val="21"/>
                <w:szCs w:val="21"/>
                <w:highlight w:val="none"/>
              </w:rPr>
              <w:t>.</w:t>
            </w:r>
            <w:r>
              <w:rPr>
                <w:rFonts w:eastAsia="宋体"/>
                <w:sz w:val="21"/>
                <w:szCs w:val="21"/>
                <w:highlight w:val="none"/>
              </w:rPr>
              <w:t>27</w:t>
            </w:r>
          </w:p>
        </w:tc>
        <w:tc>
          <w:tcPr>
            <w:tcW w:w="996"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2019</w:t>
            </w:r>
            <w:r>
              <w:rPr>
                <w:rFonts w:hint="eastAsia" w:eastAsia="宋体"/>
                <w:sz w:val="21"/>
                <w:szCs w:val="21"/>
                <w:highlight w:val="none"/>
              </w:rPr>
              <w:t>.0</w:t>
            </w:r>
            <w:r>
              <w:rPr>
                <w:rFonts w:eastAsia="宋体"/>
                <w:sz w:val="21"/>
                <w:szCs w:val="21"/>
                <w:highlight w:val="none"/>
              </w:rPr>
              <w:t>1</w:t>
            </w:r>
            <w:r>
              <w:rPr>
                <w:rFonts w:hint="eastAsia" w:eastAsia="宋体"/>
                <w:sz w:val="21"/>
                <w:szCs w:val="21"/>
                <w:highlight w:val="none"/>
              </w:rPr>
              <w:t>.</w:t>
            </w:r>
            <w:r>
              <w:rPr>
                <w:rFonts w:eastAsia="宋体"/>
                <w:sz w:val="21"/>
                <w:szCs w:val="21"/>
                <w:highlight w:val="none"/>
              </w:rPr>
              <w:t>27</w:t>
            </w:r>
          </w:p>
        </w:tc>
        <w:tc>
          <w:tcPr>
            <w:tcW w:w="141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宁波三星智能电气有限公司</w:t>
            </w:r>
          </w:p>
        </w:tc>
        <w:tc>
          <w:tcPr>
            <w:tcW w:w="139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北京金嘉森金属材料有限公司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贵州电网有限责任公司铜仁供电局</w:t>
            </w:r>
          </w:p>
        </w:tc>
        <w:tc>
          <w:tcPr>
            <w:tcW w:w="90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900"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50.00</w:t>
            </w:r>
          </w:p>
        </w:tc>
        <w:tc>
          <w:tcPr>
            <w:tcW w:w="1008"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8</w:t>
            </w:r>
            <w:r>
              <w:rPr>
                <w:rFonts w:hint="eastAsia" w:eastAsia="宋体"/>
                <w:sz w:val="21"/>
                <w:szCs w:val="21"/>
                <w:highlight w:val="none"/>
              </w:rPr>
              <w:t>.</w:t>
            </w:r>
            <w:r>
              <w:rPr>
                <w:rFonts w:eastAsia="宋体"/>
                <w:sz w:val="21"/>
                <w:szCs w:val="21"/>
                <w:highlight w:val="none"/>
              </w:rPr>
              <w:t>22</w:t>
            </w:r>
          </w:p>
        </w:tc>
        <w:tc>
          <w:tcPr>
            <w:tcW w:w="996"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2019</w:t>
            </w:r>
            <w:r>
              <w:rPr>
                <w:rFonts w:hint="eastAsia" w:eastAsia="宋体"/>
                <w:sz w:val="21"/>
                <w:szCs w:val="21"/>
                <w:highlight w:val="none"/>
              </w:rPr>
              <w:t>.0</w:t>
            </w:r>
            <w:r>
              <w:rPr>
                <w:rFonts w:eastAsia="宋体"/>
                <w:sz w:val="21"/>
                <w:szCs w:val="21"/>
                <w:highlight w:val="none"/>
              </w:rPr>
              <w:t>2</w:t>
            </w:r>
            <w:r>
              <w:rPr>
                <w:rFonts w:hint="eastAsia" w:eastAsia="宋体"/>
                <w:sz w:val="21"/>
                <w:szCs w:val="21"/>
                <w:highlight w:val="none"/>
              </w:rPr>
              <w:t>.</w:t>
            </w:r>
            <w:r>
              <w:rPr>
                <w:rFonts w:eastAsia="宋体"/>
                <w:sz w:val="21"/>
                <w:szCs w:val="21"/>
                <w:highlight w:val="none"/>
              </w:rPr>
              <w:t>22</w:t>
            </w:r>
          </w:p>
        </w:tc>
        <w:tc>
          <w:tcPr>
            <w:tcW w:w="141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青岛乾程科技股份有限公司</w:t>
            </w:r>
          </w:p>
        </w:tc>
        <w:tc>
          <w:tcPr>
            <w:tcW w:w="139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宁波高灵电子有限公司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辽宁清河发电有限责任公司</w:t>
            </w:r>
          </w:p>
        </w:tc>
        <w:tc>
          <w:tcPr>
            <w:tcW w:w="90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辽宁清河发电有限责任公司</w:t>
            </w:r>
          </w:p>
        </w:tc>
        <w:tc>
          <w:tcPr>
            <w:tcW w:w="900"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100.00</w:t>
            </w:r>
          </w:p>
        </w:tc>
        <w:tc>
          <w:tcPr>
            <w:tcW w:w="1008"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8</w:t>
            </w:r>
            <w:r>
              <w:rPr>
                <w:rFonts w:hint="eastAsia" w:eastAsia="宋体"/>
                <w:sz w:val="21"/>
                <w:szCs w:val="21"/>
                <w:highlight w:val="none"/>
              </w:rPr>
              <w:t>.</w:t>
            </w:r>
            <w:r>
              <w:rPr>
                <w:rFonts w:eastAsia="宋体"/>
                <w:sz w:val="21"/>
                <w:szCs w:val="21"/>
                <w:highlight w:val="none"/>
              </w:rPr>
              <w:t>29</w:t>
            </w:r>
          </w:p>
        </w:tc>
        <w:tc>
          <w:tcPr>
            <w:tcW w:w="996"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2019</w:t>
            </w:r>
            <w:r>
              <w:rPr>
                <w:rFonts w:hint="eastAsia" w:eastAsia="宋体"/>
                <w:sz w:val="21"/>
                <w:szCs w:val="21"/>
                <w:highlight w:val="none"/>
              </w:rPr>
              <w:t>.0</w:t>
            </w:r>
            <w:r>
              <w:rPr>
                <w:rFonts w:eastAsia="宋体"/>
                <w:sz w:val="21"/>
                <w:szCs w:val="21"/>
                <w:highlight w:val="none"/>
              </w:rPr>
              <w:t>2</w:t>
            </w:r>
            <w:r>
              <w:rPr>
                <w:rFonts w:hint="eastAsia" w:eastAsia="宋体"/>
                <w:sz w:val="21"/>
                <w:szCs w:val="21"/>
                <w:highlight w:val="none"/>
              </w:rPr>
              <w:t>.</w:t>
            </w:r>
            <w:r>
              <w:rPr>
                <w:rFonts w:eastAsia="宋体"/>
                <w:sz w:val="21"/>
                <w:szCs w:val="21"/>
                <w:highlight w:val="none"/>
              </w:rPr>
              <w:t>27</w:t>
            </w:r>
          </w:p>
        </w:tc>
        <w:tc>
          <w:tcPr>
            <w:tcW w:w="141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深圳市科陆电子科技股份有限公司</w:t>
            </w:r>
          </w:p>
        </w:tc>
        <w:tc>
          <w:tcPr>
            <w:tcW w:w="139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佛山通宝殷华特殊金属有限公司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贵州电网有限责任公司铜仁供电局</w:t>
            </w:r>
          </w:p>
        </w:tc>
        <w:tc>
          <w:tcPr>
            <w:tcW w:w="90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900"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34.59</w:t>
            </w:r>
          </w:p>
        </w:tc>
        <w:tc>
          <w:tcPr>
            <w:tcW w:w="1008"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8</w:t>
            </w:r>
            <w:r>
              <w:rPr>
                <w:rFonts w:hint="eastAsia" w:eastAsia="宋体"/>
                <w:sz w:val="21"/>
                <w:szCs w:val="21"/>
                <w:highlight w:val="none"/>
              </w:rPr>
              <w:t>.</w:t>
            </w:r>
            <w:r>
              <w:rPr>
                <w:rFonts w:eastAsia="宋体"/>
                <w:sz w:val="21"/>
                <w:szCs w:val="21"/>
                <w:highlight w:val="none"/>
              </w:rPr>
              <w:t>31</w:t>
            </w:r>
          </w:p>
        </w:tc>
        <w:tc>
          <w:tcPr>
            <w:tcW w:w="996"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2019</w:t>
            </w:r>
            <w:r>
              <w:rPr>
                <w:rFonts w:hint="eastAsia" w:eastAsia="宋体"/>
                <w:sz w:val="21"/>
                <w:szCs w:val="21"/>
                <w:highlight w:val="none"/>
              </w:rPr>
              <w:t>.0</w:t>
            </w:r>
            <w:r>
              <w:rPr>
                <w:rFonts w:eastAsia="宋体"/>
                <w:sz w:val="21"/>
                <w:szCs w:val="21"/>
                <w:highlight w:val="none"/>
              </w:rPr>
              <w:t>2</w:t>
            </w:r>
            <w:r>
              <w:rPr>
                <w:rFonts w:hint="eastAsia" w:eastAsia="宋体"/>
                <w:sz w:val="21"/>
                <w:szCs w:val="21"/>
                <w:highlight w:val="none"/>
              </w:rPr>
              <w:t>.</w:t>
            </w:r>
            <w:r>
              <w:rPr>
                <w:rFonts w:eastAsia="宋体"/>
                <w:sz w:val="21"/>
                <w:szCs w:val="21"/>
                <w:highlight w:val="none"/>
              </w:rPr>
              <w:t>28</w:t>
            </w:r>
          </w:p>
        </w:tc>
        <w:tc>
          <w:tcPr>
            <w:tcW w:w="141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青岛乾程科技股份有限公司</w:t>
            </w:r>
          </w:p>
        </w:tc>
        <w:tc>
          <w:tcPr>
            <w:tcW w:w="139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宁波高灵电子有限公司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贵州电网有限责任公司遵义供电局</w:t>
            </w:r>
          </w:p>
        </w:tc>
        <w:tc>
          <w:tcPr>
            <w:tcW w:w="90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900"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200.00</w:t>
            </w:r>
          </w:p>
        </w:tc>
        <w:tc>
          <w:tcPr>
            <w:tcW w:w="1008"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9</w:t>
            </w:r>
            <w:r>
              <w:rPr>
                <w:rFonts w:hint="eastAsia" w:eastAsia="宋体"/>
                <w:sz w:val="21"/>
                <w:szCs w:val="21"/>
                <w:highlight w:val="none"/>
              </w:rPr>
              <w:t>.</w:t>
            </w:r>
            <w:r>
              <w:rPr>
                <w:rFonts w:eastAsia="宋体"/>
                <w:sz w:val="21"/>
                <w:szCs w:val="21"/>
                <w:highlight w:val="none"/>
              </w:rPr>
              <w:t>25</w:t>
            </w:r>
          </w:p>
        </w:tc>
        <w:tc>
          <w:tcPr>
            <w:tcW w:w="996"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2019</w:t>
            </w:r>
            <w:r>
              <w:rPr>
                <w:rFonts w:hint="eastAsia" w:eastAsia="宋体"/>
                <w:sz w:val="21"/>
                <w:szCs w:val="21"/>
                <w:highlight w:val="none"/>
              </w:rPr>
              <w:t>.0</w:t>
            </w:r>
            <w:r>
              <w:rPr>
                <w:rFonts w:eastAsia="宋体"/>
                <w:sz w:val="21"/>
                <w:szCs w:val="21"/>
                <w:highlight w:val="none"/>
              </w:rPr>
              <w:t>3</w:t>
            </w:r>
            <w:r>
              <w:rPr>
                <w:rFonts w:hint="eastAsia" w:eastAsia="宋体"/>
                <w:sz w:val="21"/>
                <w:szCs w:val="21"/>
                <w:highlight w:val="none"/>
              </w:rPr>
              <w:t>.</w:t>
            </w:r>
            <w:r>
              <w:rPr>
                <w:rFonts w:eastAsia="宋体"/>
                <w:sz w:val="21"/>
                <w:szCs w:val="21"/>
                <w:highlight w:val="none"/>
              </w:rPr>
              <w:t>25</w:t>
            </w:r>
          </w:p>
        </w:tc>
        <w:tc>
          <w:tcPr>
            <w:tcW w:w="141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宁波三星医疗电气股份有限公司</w:t>
            </w:r>
          </w:p>
        </w:tc>
        <w:tc>
          <w:tcPr>
            <w:tcW w:w="139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北京金嘉森金属材料有限公司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贵州电网有限责任公司六盘水供电局</w:t>
            </w:r>
          </w:p>
        </w:tc>
        <w:tc>
          <w:tcPr>
            <w:tcW w:w="90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900"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30.00</w:t>
            </w:r>
          </w:p>
        </w:tc>
        <w:tc>
          <w:tcPr>
            <w:tcW w:w="1008"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2018</w:t>
            </w:r>
            <w:r>
              <w:rPr>
                <w:rFonts w:hint="eastAsia" w:eastAsia="宋体"/>
                <w:sz w:val="21"/>
                <w:szCs w:val="21"/>
                <w:highlight w:val="none"/>
              </w:rPr>
              <w:t>.</w:t>
            </w:r>
            <w:r>
              <w:rPr>
                <w:rFonts w:eastAsia="宋体"/>
                <w:sz w:val="21"/>
                <w:szCs w:val="21"/>
                <w:highlight w:val="none"/>
              </w:rPr>
              <w:t>11</w:t>
            </w:r>
            <w:r>
              <w:rPr>
                <w:rFonts w:hint="eastAsia" w:eastAsia="宋体"/>
                <w:sz w:val="21"/>
                <w:szCs w:val="21"/>
                <w:highlight w:val="none"/>
              </w:rPr>
              <w:t>.</w:t>
            </w:r>
            <w:r>
              <w:rPr>
                <w:rFonts w:eastAsia="宋体"/>
                <w:sz w:val="21"/>
                <w:szCs w:val="21"/>
                <w:highlight w:val="none"/>
              </w:rPr>
              <w:t>29</w:t>
            </w:r>
          </w:p>
        </w:tc>
        <w:tc>
          <w:tcPr>
            <w:tcW w:w="996"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2019</w:t>
            </w:r>
            <w:r>
              <w:rPr>
                <w:rFonts w:hint="eastAsia" w:eastAsia="宋体"/>
                <w:sz w:val="21"/>
                <w:szCs w:val="21"/>
                <w:highlight w:val="none"/>
              </w:rPr>
              <w:t>.0</w:t>
            </w:r>
            <w:r>
              <w:rPr>
                <w:rFonts w:eastAsia="宋体"/>
                <w:sz w:val="21"/>
                <w:szCs w:val="21"/>
                <w:highlight w:val="none"/>
              </w:rPr>
              <w:t>5</w:t>
            </w:r>
            <w:r>
              <w:rPr>
                <w:rFonts w:hint="eastAsia" w:eastAsia="宋体"/>
                <w:sz w:val="21"/>
                <w:szCs w:val="21"/>
                <w:highlight w:val="none"/>
              </w:rPr>
              <w:t>.</w:t>
            </w:r>
            <w:r>
              <w:rPr>
                <w:rFonts w:eastAsia="宋体"/>
                <w:sz w:val="21"/>
                <w:szCs w:val="21"/>
                <w:highlight w:val="none"/>
              </w:rPr>
              <w:t>29</w:t>
            </w:r>
          </w:p>
        </w:tc>
        <w:tc>
          <w:tcPr>
            <w:tcW w:w="141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宁波奥克斯供应链管理有限公司</w:t>
            </w:r>
          </w:p>
        </w:tc>
        <w:tc>
          <w:tcPr>
            <w:tcW w:w="139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余姚市牟山华桥冲件厂</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贵州电网有限责任公司凯里供电局</w:t>
            </w:r>
          </w:p>
        </w:tc>
        <w:tc>
          <w:tcPr>
            <w:tcW w:w="900"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南方电网财务有限公司</w:t>
            </w:r>
          </w:p>
        </w:tc>
        <w:tc>
          <w:tcPr>
            <w:tcW w:w="900"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70.00</w:t>
            </w:r>
          </w:p>
        </w:tc>
        <w:tc>
          <w:tcPr>
            <w:tcW w:w="1008" w:type="dxa"/>
            <w:tcBorders>
              <w:tl2br w:val="nil"/>
              <w:tr2bl w:val="nil"/>
            </w:tcBorders>
            <w:vAlign w:val="center"/>
          </w:tcPr>
          <w:p>
            <w:pPr>
              <w:spacing w:line="240" w:lineRule="exact"/>
              <w:jc w:val="center"/>
              <w:rPr>
                <w:rFonts w:eastAsia="宋体"/>
                <w:sz w:val="21"/>
                <w:szCs w:val="21"/>
                <w:highlight w:val="none"/>
              </w:rPr>
            </w:pPr>
            <w:r>
              <w:rPr>
                <w:rFonts w:eastAsia="宋体"/>
                <w:color w:val="000000"/>
                <w:sz w:val="21"/>
                <w:szCs w:val="21"/>
                <w:highlight w:val="none"/>
              </w:rPr>
              <w:t>2018</w:t>
            </w:r>
            <w:r>
              <w:rPr>
                <w:rFonts w:hint="eastAsia" w:eastAsia="宋体"/>
                <w:color w:val="000000"/>
                <w:sz w:val="21"/>
                <w:szCs w:val="21"/>
                <w:highlight w:val="none"/>
              </w:rPr>
              <w:t>.</w:t>
            </w:r>
            <w:r>
              <w:rPr>
                <w:rFonts w:eastAsia="宋体"/>
                <w:color w:val="000000"/>
                <w:sz w:val="21"/>
                <w:szCs w:val="21"/>
                <w:highlight w:val="none"/>
              </w:rPr>
              <w:t>11</w:t>
            </w:r>
            <w:r>
              <w:rPr>
                <w:rFonts w:hint="eastAsia" w:eastAsia="宋体"/>
                <w:color w:val="000000"/>
                <w:sz w:val="21"/>
                <w:szCs w:val="21"/>
                <w:highlight w:val="none"/>
              </w:rPr>
              <w:t>.</w:t>
            </w:r>
            <w:r>
              <w:rPr>
                <w:rFonts w:eastAsia="宋体"/>
                <w:color w:val="000000"/>
                <w:sz w:val="21"/>
                <w:szCs w:val="21"/>
                <w:highlight w:val="none"/>
              </w:rPr>
              <w:t>21</w:t>
            </w:r>
          </w:p>
        </w:tc>
        <w:tc>
          <w:tcPr>
            <w:tcW w:w="996" w:type="dxa"/>
            <w:tcBorders>
              <w:tl2br w:val="nil"/>
              <w:tr2bl w:val="nil"/>
            </w:tcBorders>
            <w:vAlign w:val="center"/>
          </w:tcPr>
          <w:p>
            <w:pPr>
              <w:spacing w:line="240" w:lineRule="exact"/>
              <w:jc w:val="center"/>
              <w:rPr>
                <w:rFonts w:eastAsia="宋体"/>
                <w:sz w:val="21"/>
                <w:szCs w:val="21"/>
                <w:highlight w:val="none"/>
              </w:rPr>
            </w:pPr>
            <w:r>
              <w:rPr>
                <w:rFonts w:eastAsia="宋体"/>
                <w:color w:val="000000"/>
                <w:sz w:val="21"/>
                <w:szCs w:val="21"/>
                <w:highlight w:val="none"/>
              </w:rPr>
              <w:t>2019</w:t>
            </w:r>
            <w:r>
              <w:rPr>
                <w:rFonts w:hint="eastAsia" w:eastAsia="宋体"/>
                <w:color w:val="000000"/>
                <w:sz w:val="21"/>
                <w:szCs w:val="21"/>
                <w:highlight w:val="none"/>
              </w:rPr>
              <w:t>.0</w:t>
            </w:r>
            <w:r>
              <w:rPr>
                <w:rFonts w:eastAsia="宋体"/>
                <w:color w:val="000000"/>
                <w:sz w:val="21"/>
                <w:szCs w:val="21"/>
                <w:highlight w:val="none"/>
              </w:rPr>
              <w:t>5</w:t>
            </w:r>
            <w:r>
              <w:rPr>
                <w:rFonts w:hint="eastAsia" w:eastAsia="宋体"/>
                <w:color w:val="000000"/>
                <w:sz w:val="21"/>
                <w:szCs w:val="21"/>
                <w:highlight w:val="none"/>
              </w:rPr>
              <w:t>.</w:t>
            </w:r>
            <w:r>
              <w:rPr>
                <w:rFonts w:eastAsia="宋体"/>
                <w:color w:val="000000"/>
                <w:sz w:val="21"/>
                <w:szCs w:val="21"/>
                <w:highlight w:val="none"/>
              </w:rPr>
              <w:t>21</w:t>
            </w:r>
          </w:p>
        </w:tc>
        <w:tc>
          <w:tcPr>
            <w:tcW w:w="1417"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宁波奥克斯供应链管理有限公司</w:t>
            </w:r>
          </w:p>
        </w:tc>
        <w:tc>
          <w:tcPr>
            <w:tcW w:w="1391"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无锡巨丰复合线有限公司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合计</w:t>
            </w:r>
          </w:p>
        </w:tc>
        <w:tc>
          <w:tcPr>
            <w:tcW w:w="900"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c>
          <w:tcPr>
            <w:tcW w:w="900" w:type="dxa"/>
            <w:tcBorders>
              <w:tl2br w:val="nil"/>
              <w:tr2bl w:val="nil"/>
            </w:tcBorders>
            <w:vAlign w:val="center"/>
          </w:tcPr>
          <w:p>
            <w:pPr>
              <w:spacing w:line="240" w:lineRule="exact"/>
              <w:jc w:val="right"/>
              <w:rPr>
                <w:rFonts w:eastAsia="宋体"/>
                <w:b/>
                <w:bCs/>
                <w:sz w:val="21"/>
                <w:szCs w:val="21"/>
                <w:highlight w:val="none"/>
              </w:rPr>
            </w:pPr>
            <w:r>
              <w:rPr>
                <w:rFonts w:eastAsia="宋体"/>
                <w:b/>
                <w:bCs/>
                <w:sz w:val="21"/>
                <w:szCs w:val="21"/>
                <w:highlight w:val="none"/>
              </w:rPr>
              <w:t>784.59</w:t>
            </w:r>
          </w:p>
        </w:tc>
        <w:tc>
          <w:tcPr>
            <w:tcW w:w="1008"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　</w:t>
            </w:r>
          </w:p>
        </w:tc>
        <w:tc>
          <w:tcPr>
            <w:tcW w:w="996"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　</w:t>
            </w:r>
          </w:p>
        </w:tc>
        <w:tc>
          <w:tcPr>
            <w:tcW w:w="1417"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　</w:t>
            </w:r>
          </w:p>
        </w:tc>
        <w:tc>
          <w:tcPr>
            <w:tcW w:w="1391"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　</w:t>
            </w:r>
          </w:p>
        </w:tc>
        <w:tc>
          <w:tcPr>
            <w:tcW w:w="713"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　</w:t>
            </w:r>
          </w:p>
        </w:tc>
      </w:tr>
    </w:tbl>
    <w:p>
      <w:pPr>
        <w:pStyle w:val="25"/>
        <w:adjustRightInd w:val="0"/>
        <w:snapToGrid w:val="0"/>
        <w:spacing w:before="289" w:beforeLines="50"/>
        <w:ind w:firstLine="472"/>
        <w:rPr>
          <w:rFonts w:cs="Times New Roman"/>
          <w:bCs/>
          <w:highlight w:val="none"/>
        </w:rPr>
      </w:pPr>
      <w:r>
        <w:rPr>
          <w:rFonts w:hint="eastAsia"/>
          <w:highlight w:val="none"/>
        </w:rPr>
        <w:t>（4）2017年12月31日已背书未到期的票据情况</w:t>
      </w:r>
    </w:p>
    <w:p>
      <w:pPr>
        <w:widowControl/>
        <w:adjustRightInd w:val="0"/>
        <w:snapToGrid w:val="0"/>
        <w:spacing w:line="360" w:lineRule="auto"/>
        <w:ind w:firstLine="412" w:firstLineChars="200"/>
        <w:jc w:val="right"/>
        <w:rPr>
          <w:rFonts w:eastAsia="宋体"/>
          <w:sz w:val="21"/>
          <w:szCs w:val="21"/>
          <w:highlight w:val="none"/>
        </w:rPr>
      </w:pPr>
      <w:r>
        <w:rPr>
          <w:rFonts w:eastAsia="宋体"/>
          <w:sz w:val="21"/>
          <w:szCs w:val="21"/>
          <w:highlight w:val="none"/>
        </w:rPr>
        <w:t>单位：万</w:t>
      </w:r>
      <w:r>
        <w:rPr>
          <w:rFonts w:hint="eastAsia" w:eastAsia="宋体"/>
          <w:sz w:val="21"/>
          <w:szCs w:val="21"/>
          <w:highlight w:val="none"/>
        </w:rPr>
        <w:t>元</w:t>
      </w:r>
    </w:p>
    <w:tbl>
      <w:tblPr>
        <w:tblStyle w:val="13"/>
        <w:tblW w:w="85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7" w:type="dxa"/>
          <w:bottom w:w="0" w:type="dxa"/>
          <w:right w:w="17" w:type="dxa"/>
        </w:tblCellMar>
      </w:tblPr>
      <w:tblGrid>
        <w:gridCol w:w="1202"/>
        <w:gridCol w:w="898"/>
        <w:gridCol w:w="902"/>
        <w:gridCol w:w="1020"/>
        <w:gridCol w:w="972"/>
        <w:gridCol w:w="1432"/>
        <w:gridCol w:w="1388"/>
        <w:gridCol w:w="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1202"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出票人</w:t>
            </w:r>
          </w:p>
        </w:tc>
        <w:tc>
          <w:tcPr>
            <w:tcW w:w="898"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承兑人</w:t>
            </w:r>
          </w:p>
        </w:tc>
        <w:tc>
          <w:tcPr>
            <w:tcW w:w="902"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票据金额</w:t>
            </w:r>
          </w:p>
        </w:tc>
        <w:tc>
          <w:tcPr>
            <w:tcW w:w="1020"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出票日</w:t>
            </w:r>
          </w:p>
        </w:tc>
        <w:tc>
          <w:tcPr>
            <w:tcW w:w="972"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到期日</w:t>
            </w:r>
          </w:p>
        </w:tc>
        <w:tc>
          <w:tcPr>
            <w:tcW w:w="1432"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前手背书人</w:t>
            </w:r>
          </w:p>
        </w:tc>
        <w:tc>
          <w:tcPr>
            <w:tcW w:w="1388"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后手背书人</w:t>
            </w:r>
          </w:p>
        </w:tc>
        <w:tc>
          <w:tcPr>
            <w:tcW w:w="713"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是否终止确认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珠海德豪润达电气有限公司</w:t>
            </w:r>
          </w:p>
        </w:tc>
        <w:tc>
          <w:tcPr>
            <w:tcW w:w="898"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珠海德豪润达电气有限公司</w:t>
            </w:r>
          </w:p>
        </w:tc>
        <w:tc>
          <w:tcPr>
            <w:tcW w:w="902"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50.00</w:t>
            </w:r>
          </w:p>
        </w:tc>
        <w:tc>
          <w:tcPr>
            <w:tcW w:w="1020"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2017</w:t>
            </w:r>
            <w:r>
              <w:rPr>
                <w:rFonts w:hint="eastAsia" w:eastAsia="宋体"/>
                <w:sz w:val="21"/>
                <w:szCs w:val="21"/>
                <w:highlight w:val="none"/>
              </w:rPr>
              <w:t>.</w:t>
            </w:r>
            <w:r>
              <w:rPr>
                <w:rFonts w:eastAsia="宋体"/>
                <w:sz w:val="21"/>
                <w:szCs w:val="21"/>
                <w:highlight w:val="none"/>
              </w:rPr>
              <w:t>11</w:t>
            </w:r>
            <w:r>
              <w:rPr>
                <w:rFonts w:hint="eastAsia" w:eastAsia="宋体"/>
                <w:sz w:val="21"/>
                <w:szCs w:val="21"/>
                <w:highlight w:val="none"/>
              </w:rPr>
              <w:t>.</w:t>
            </w:r>
            <w:r>
              <w:rPr>
                <w:rFonts w:eastAsia="宋体"/>
                <w:sz w:val="21"/>
                <w:szCs w:val="21"/>
                <w:highlight w:val="none"/>
              </w:rPr>
              <w:t>29</w:t>
            </w:r>
          </w:p>
        </w:tc>
        <w:tc>
          <w:tcPr>
            <w:tcW w:w="972"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4</w:t>
            </w:r>
            <w:r>
              <w:rPr>
                <w:rFonts w:hint="eastAsia" w:eastAsia="宋体"/>
                <w:sz w:val="21"/>
                <w:szCs w:val="21"/>
                <w:highlight w:val="none"/>
              </w:rPr>
              <w:t>.0</w:t>
            </w:r>
            <w:r>
              <w:rPr>
                <w:rFonts w:eastAsia="宋体"/>
                <w:sz w:val="21"/>
                <w:szCs w:val="21"/>
                <w:highlight w:val="none"/>
              </w:rPr>
              <w:t>3</w:t>
            </w:r>
          </w:p>
        </w:tc>
        <w:tc>
          <w:tcPr>
            <w:tcW w:w="143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珠海德豪润达电气有限公司</w:t>
            </w:r>
          </w:p>
        </w:tc>
        <w:tc>
          <w:tcPr>
            <w:tcW w:w="1388"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珠海市一致电工有限公司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color w:val="000000"/>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宁波奥克斯供应链管理有限公司</w:t>
            </w:r>
          </w:p>
        </w:tc>
        <w:tc>
          <w:tcPr>
            <w:tcW w:w="898"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宁波奥克斯供应链管理有限公司</w:t>
            </w:r>
          </w:p>
        </w:tc>
        <w:tc>
          <w:tcPr>
            <w:tcW w:w="902"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100.00</w:t>
            </w:r>
          </w:p>
        </w:tc>
        <w:tc>
          <w:tcPr>
            <w:tcW w:w="1020"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2017</w:t>
            </w:r>
            <w:r>
              <w:rPr>
                <w:rFonts w:hint="eastAsia" w:eastAsia="宋体"/>
                <w:sz w:val="21"/>
                <w:szCs w:val="21"/>
                <w:highlight w:val="none"/>
              </w:rPr>
              <w:t>.0</w:t>
            </w:r>
            <w:r>
              <w:rPr>
                <w:rFonts w:eastAsia="宋体"/>
                <w:sz w:val="21"/>
                <w:szCs w:val="21"/>
                <w:highlight w:val="none"/>
              </w:rPr>
              <w:t>9</w:t>
            </w:r>
            <w:r>
              <w:rPr>
                <w:rFonts w:hint="eastAsia" w:eastAsia="宋体"/>
                <w:sz w:val="21"/>
                <w:szCs w:val="21"/>
                <w:highlight w:val="none"/>
              </w:rPr>
              <w:t>.</w:t>
            </w:r>
            <w:r>
              <w:rPr>
                <w:rFonts w:eastAsia="宋体"/>
                <w:sz w:val="21"/>
                <w:szCs w:val="21"/>
                <w:highlight w:val="none"/>
              </w:rPr>
              <w:t>25</w:t>
            </w:r>
          </w:p>
        </w:tc>
        <w:tc>
          <w:tcPr>
            <w:tcW w:w="972"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1</w:t>
            </w:r>
            <w:r>
              <w:rPr>
                <w:rFonts w:hint="eastAsia" w:eastAsia="宋体"/>
                <w:sz w:val="21"/>
                <w:szCs w:val="21"/>
                <w:highlight w:val="none"/>
              </w:rPr>
              <w:t>.</w:t>
            </w:r>
            <w:r>
              <w:rPr>
                <w:rFonts w:eastAsia="宋体"/>
                <w:sz w:val="21"/>
                <w:szCs w:val="21"/>
                <w:highlight w:val="none"/>
              </w:rPr>
              <w:t>25</w:t>
            </w:r>
          </w:p>
        </w:tc>
        <w:tc>
          <w:tcPr>
            <w:tcW w:w="143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宁波奥克斯供应链管理有限公司</w:t>
            </w:r>
          </w:p>
        </w:tc>
        <w:tc>
          <w:tcPr>
            <w:tcW w:w="1388"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北京嘉</w:t>
            </w:r>
            <w:r>
              <w:rPr>
                <w:rFonts w:hint="eastAsia" w:eastAsia="宋体"/>
                <w:color w:val="000000"/>
                <w:sz w:val="21"/>
                <w:szCs w:val="21"/>
                <w:highlight w:val="none"/>
              </w:rPr>
              <w:t>士</w:t>
            </w:r>
            <w:r>
              <w:rPr>
                <w:rFonts w:eastAsia="宋体"/>
                <w:color w:val="000000"/>
                <w:sz w:val="21"/>
                <w:szCs w:val="21"/>
                <w:highlight w:val="none"/>
              </w:rPr>
              <w:t>孚电子材料有限公司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color w:val="000000"/>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深圳赫美集团股份有限公司</w:t>
            </w:r>
          </w:p>
        </w:tc>
        <w:tc>
          <w:tcPr>
            <w:tcW w:w="898"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深圳赫美集团股份有限公司</w:t>
            </w:r>
          </w:p>
        </w:tc>
        <w:tc>
          <w:tcPr>
            <w:tcW w:w="902" w:type="dxa"/>
            <w:tcBorders>
              <w:tl2br w:val="nil"/>
              <w:tr2bl w:val="nil"/>
            </w:tcBorders>
            <w:vAlign w:val="center"/>
          </w:tcPr>
          <w:p>
            <w:pPr>
              <w:spacing w:line="240" w:lineRule="exact"/>
              <w:jc w:val="right"/>
              <w:rPr>
                <w:rFonts w:eastAsia="宋体"/>
                <w:sz w:val="21"/>
                <w:szCs w:val="21"/>
                <w:highlight w:val="none"/>
              </w:rPr>
            </w:pPr>
            <w:r>
              <w:rPr>
                <w:rFonts w:eastAsia="宋体"/>
                <w:sz w:val="21"/>
                <w:szCs w:val="21"/>
                <w:highlight w:val="none"/>
              </w:rPr>
              <w:t>200.00</w:t>
            </w:r>
          </w:p>
        </w:tc>
        <w:tc>
          <w:tcPr>
            <w:tcW w:w="1020"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2017</w:t>
            </w:r>
            <w:r>
              <w:rPr>
                <w:rFonts w:hint="eastAsia" w:eastAsia="宋体"/>
                <w:sz w:val="21"/>
                <w:szCs w:val="21"/>
                <w:highlight w:val="none"/>
              </w:rPr>
              <w:t>.</w:t>
            </w:r>
            <w:r>
              <w:rPr>
                <w:rFonts w:eastAsia="宋体"/>
                <w:sz w:val="21"/>
                <w:szCs w:val="21"/>
                <w:highlight w:val="none"/>
              </w:rPr>
              <w:t>12</w:t>
            </w:r>
            <w:r>
              <w:rPr>
                <w:rFonts w:hint="eastAsia" w:eastAsia="宋体"/>
                <w:sz w:val="21"/>
                <w:szCs w:val="21"/>
                <w:highlight w:val="none"/>
              </w:rPr>
              <w:t>.</w:t>
            </w:r>
            <w:r>
              <w:rPr>
                <w:rFonts w:eastAsia="宋体"/>
                <w:sz w:val="21"/>
                <w:szCs w:val="21"/>
                <w:highlight w:val="none"/>
              </w:rPr>
              <w:t>28</w:t>
            </w:r>
          </w:p>
        </w:tc>
        <w:tc>
          <w:tcPr>
            <w:tcW w:w="972" w:type="dxa"/>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2018</w:t>
            </w:r>
            <w:r>
              <w:rPr>
                <w:rFonts w:hint="eastAsia" w:eastAsia="宋体"/>
                <w:sz w:val="21"/>
                <w:szCs w:val="21"/>
                <w:highlight w:val="none"/>
              </w:rPr>
              <w:t>.0</w:t>
            </w:r>
            <w:r>
              <w:rPr>
                <w:rFonts w:eastAsia="宋体"/>
                <w:sz w:val="21"/>
                <w:szCs w:val="21"/>
                <w:highlight w:val="none"/>
              </w:rPr>
              <w:t>3</w:t>
            </w:r>
            <w:r>
              <w:rPr>
                <w:rFonts w:hint="eastAsia" w:eastAsia="宋体"/>
                <w:sz w:val="21"/>
                <w:szCs w:val="21"/>
                <w:highlight w:val="none"/>
              </w:rPr>
              <w:t>.</w:t>
            </w:r>
            <w:r>
              <w:rPr>
                <w:rFonts w:eastAsia="宋体"/>
                <w:sz w:val="21"/>
                <w:szCs w:val="21"/>
                <w:highlight w:val="none"/>
              </w:rPr>
              <w:t>28</w:t>
            </w:r>
          </w:p>
        </w:tc>
        <w:tc>
          <w:tcPr>
            <w:tcW w:w="1432"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深圳赫美集团股份有限公司</w:t>
            </w:r>
          </w:p>
        </w:tc>
        <w:tc>
          <w:tcPr>
            <w:tcW w:w="1388" w:type="dxa"/>
            <w:tcBorders>
              <w:tl2br w:val="nil"/>
              <w:tr2bl w:val="nil"/>
            </w:tcBorders>
            <w:vAlign w:val="center"/>
          </w:tcPr>
          <w:p>
            <w:pPr>
              <w:spacing w:line="240" w:lineRule="exact"/>
              <w:rPr>
                <w:rFonts w:eastAsia="宋体"/>
                <w:sz w:val="21"/>
                <w:szCs w:val="21"/>
                <w:highlight w:val="none"/>
              </w:rPr>
            </w:pPr>
            <w:r>
              <w:rPr>
                <w:rFonts w:eastAsia="宋体"/>
                <w:color w:val="000000"/>
                <w:sz w:val="21"/>
                <w:szCs w:val="21"/>
                <w:highlight w:val="none"/>
              </w:rPr>
              <w:t>北京金嘉森金属材料有限公司</w:t>
            </w:r>
          </w:p>
        </w:tc>
        <w:tc>
          <w:tcPr>
            <w:tcW w:w="713" w:type="dxa"/>
            <w:tcBorders>
              <w:tl2br w:val="nil"/>
              <w:tr2bl w:val="nil"/>
            </w:tcBorders>
            <w:vAlign w:val="center"/>
          </w:tcPr>
          <w:p>
            <w:pPr>
              <w:spacing w:line="240" w:lineRule="exact"/>
              <w:jc w:val="center"/>
              <w:rPr>
                <w:rFonts w:eastAsia="宋体"/>
                <w:sz w:val="21"/>
                <w:szCs w:val="21"/>
                <w:highlight w:val="none"/>
              </w:rPr>
            </w:pPr>
            <w:r>
              <w:rPr>
                <w:rFonts w:eastAsia="宋体"/>
                <w:color w:val="000000"/>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202" w:type="dxa"/>
            <w:tcBorders>
              <w:tl2br w:val="nil"/>
              <w:tr2bl w:val="nil"/>
            </w:tcBorders>
            <w:vAlign w:val="center"/>
          </w:tcPr>
          <w:p>
            <w:pPr>
              <w:spacing w:line="240" w:lineRule="exact"/>
              <w:jc w:val="center"/>
              <w:rPr>
                <w:rFonts w:eastAsia="宋体"/>
                <w:b/>
                <w:bCs/>
                <w:sz w:val="21"/>
                <w:szCs w:val="21"/>
                <w:highlight w:val="none"/>
              </w:rPr>
            </w:pPr>
            <w:r>
              <w:rPr>
                <w:rFonts w:eastAsia="宋体"/>
                <w:b/>
                <w:bCs/>
                <w:color w:val="000000"/>
                <w:sz w:val="21"/>
                <w:szCs w:val="21"/>
                <w:highlight w:val="none"/>
              </w:rPr>
              <w:t>合计</w:t>
            </w:r>
          </w:p>
        </w:tc>
        <w:tc>
          <w:tcPr>
            <w:tcW w:w="898"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c>
          <w:tcPr>
            <w:tcW w:w="902" w:type="dxa"/>
            <w:tcBorders>
              <w:tl2br w:val="nil"/>
              <w:tr2bl w:val="nil"/>
            </w:tcBorders>
            <w:vAlign w:val="center"/>
          </w:tcPr>
          <w:p>
            <w:pPr>
              <w:spacing w:line="240" w:lineRule="exact"/>
              <w:jc w:val="right"/>
              <w:rPr>
                <w:rFonts w:eastAsia="宋体"/>
                <w:b/>
                <w:bCs/>
                <w:sz w:val="21"/>
                <w:szCs w:val="21"/>
                <w:highlight w:val="none"/>
              </w:rPr>
            </w:pPr>
            <w:r>
              <w:rPr>
                <w:rFonts w:eastAsia="宋体"/>
                <w:b/>
                <w:bCs/>
                <w:sz w:val="21"/>
                <w:szCs w:val="21"/>
                <w:highlight w:val="none"/>
              </w:rPr>
              <w:t>350.00</w:t>
            </w:r>
          </w:p>
        </w:tc>
        <w:tc>
          <w:tcPr>
            <w:tcW w:w="1020" w:type="dxa"/>
            <w:tcBorders>
              <w:tl2br w:val="nil"/>
              <w:tr2bl w:val="nil"/>
            </w:tcBorders>
            <w:vAlign w:val="center"/>
          </w:tcPr>
          <w:p>
            <w:pPr>
              <w:spacing w:line="240" w:lineRule="exact"/>
              <w:rPr>
                <w:rFonts w:eastAsia="宋体"/>
                <w:b/>
                <w:bCs/>
                <w:sz w:val="21"/>
                <w:szCs w:val="21"/>
                <w:highlight w:val="none"/>
              </w:rPr>
            </w:pPr>
            <w:r>
              <w:rPr>
                <w:rFonts w:eastAsia="宋体"/>
                <w:b/>
                <w:bCs/>
                <w:sz w:val="21"/>
                <w:szCs w:val="21"/>
                <w:highlight w:val="none"/>
              </w:rPr>
              <w:t>　</w:t>
            </w:r>
          </w:p>
        </w:tc>
        <w:tc>
          <w:tcPr>
            <w:tcW w:w="972" w:type="dxa"/>
            <w:tcBorders>
              <w:tl2br w:val="nil"/>
              <w:tr2bl w:val="nil"/>
            </w:tcBorders>
            <w:vAlign w:val="center"/>
          </w:tcPr>
          <w:p>
            <w:pPr>
              <w:spacing w:line="240" w:lineRule="exact"/>
              <w:rPr>
                <w:rFonts w:eastAsia="宋体"/>
                <w:b/>
                <w:bCs/>
                <w:sz w:val="21"/>
                <w:szCs w:val="21"/>
                <w:highlight w:val="none"/>
              </w:rPr>
            </w:pPr>
            <w:r>
              <w:rPr>
                <w:rFonts w:eastAsia="宋体"/>
                <w:b/>
                <w:bCs/>
                <w:sz w:val="21"/>
                <w:szCs w:val="21"/>
                <w:highlight w:val="none"/>
              </w:rPr>
              <w:t>　</w:t>
            </w:r>
          </w:p>
        </w:tc>
        <w:tc>
          <w:tcPr>
            <w:tcW w:w="1432"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c>
          <w:tcPr>
            <w:tcW w:w="1388"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c>
          <w:tcPr>
            <w:tcW w:w="713" w:type="dxa"/>
            <w:tcBorders>
              <w:tl2br w:val="nil"/>
              <w:tr2bl w:val="nil"/>
            </w:tcBorders>
            <w:vAlign w:val="center"/>
          </w:tcPr>
          <w:p>
            <w:pPr>
              <w:spacing w:line="240" w:lineRule="exact"/>
              <w:rPr>
                <w:rFonts w:eastAsia="宋体"/>
                <w:b/>
                <w:bCs/>
                <w:sz w:val="21"/>
                <w:szCs w:val="21"/>
                <w:highlight w:val="none"/>
              </w:rPr>
            </w:pPr>
            <w:r>
              <w:rPr>
                <w:rFonts w:eastAsia="宋体"/>
                <w:b/>
                <w:bCs/>
                <w:color w:val="000000"/>
                <w:sz w:val="21"/>
                <w:szCs w:val="21"/>
                <w:highlight w:val="none"/>
              </w:rPr>
              <w:t>　</w:t>
            </w:r>
          </w:p>
        </w:tc>
      </w:tr>
    </w:tbl>
    <w:p>
      <w:pPr>
        <w:topLinePunct/>
        <w:adjustRightInd w:val="0"/>
        <w:snapToGrid w:val="0"/>
        <w:spacing w:before="289" w:beforeLines="50" w:line="360" w:lineRule="auto"/>
        <w:ind w:firstLine="472" w:firstLineChars="200"/>
        <w:rPr>
          <w:rFonts w:eastAsia="宋体"/>
          <w:b/>
          <w:bCs/>
          <w:sz w:val="24"/>
          <w:highlight w:val="none"/>
        </w:rPr>
      </w:pPr>
      <w:r>
        <w:rPr>
          <w:rFonts w:hint="eastAsia" w:eastAsia="宋体"/>
          <w:b/>
          <w:bCs/>
          <w:sz w:val="24"/>
          <w:highlight w:val="none"/>
        </w:rPr>
        <w:t>2、相关会计处理符合《企业会计准则》的相关规定</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（1）商业承兑汇票背书和贴现的会计处理</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公司结合收到的商业承兑汇票的具体情况，制定的会计政策如下：</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1）商业承兑汇票背书时，予以终止确认，会计处理分录为：借记应付账款，贷记应收票据。</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2）</w:t>
      </w:r>
      <w:r>
        <w:rPr>
          <w:rFonts w:hint="eastAsia" w:eastAsia="宋体"/>
          <w:sz w:val="24"/>
          <w:highlight w:val="none"/>
        </w:rPr>
        <w:tab/>
      </w:r>
      <w:r>
        <w:rPr>
          <w:rFonts w:hint="eastAsia" w:eastAsia="宋体"/>
          <w:sz w:val="24"/>
          <w:highlight w:val="none"/>
        </w:rPr>
        <w:t>商业承兑汇票贴现时，出于谨慎性考虑，不予终止确认，会计处理分录为：借记银行存款，贷记短期借款；票面金额与收到的银行存款的差额在贴现日与到期日之间摊销，摊销的会计分录为借记财务费用，贷记应付利息；在票据到期时，将票据终止确认，会计分录为：借记短期借款和应付利息，贷记应收票据。</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（2） 会计处理是否符合企业会计准则的规定</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《企业会计准则第23号——金融资产转移》第七条规定，</w:t>
      </w:r>
      <w:r>
        <w:rPr>
          <w:rFonts w:hint="eastAsia" w:ascii="宋体" w:hAnsi="宋体" w:eastAsia="宋体"/>
          <w:sz w:val="24"/>
          <w:highlight w:val="none"/>
        </w:rPr>
        <w:t>“</w:t>
      </w:r>
      <w:r>
        <w:rPr>
          <w:rFonts w:hint="eastAsia" w:eastAsia="宋体"/>
          <w:sz w:val="24"/>
          <w:highlight w:val="none"/>
        </w:rPr>
        <w:t>企业已将金融资产所有权上几乎所有的风险和报酬转移给转入方的，应当终止确认该金融资产；保留了金融资产所有权上几乎所有的风险和报酬的，不应当终止确认该金融资产。</w:t>
      </w:r>
      <w:r>
        <w:rPr>
          <w:rFonts w:hint="eastAsia" w:ascii="宋体" w:hAnsi="宋体" w:eastAsia="宋体"/>
          <w:sz w:val="24"/>
          <w:highlight w:val="none"/>
        </w:rPr>
        <w:t>”</w:t>
      </w:r>
      <w:r>
        <w:rPr>
          <w:rFonts w:hint="eastAsia" w:eastAsia="宋体"/>
          <w:sz w:val="24"/>
          <w:highlight w:val="none"/>
        </w:rPr>
        <w:t>，第九条规定，</w:t>
      </w:r>
      <w:r>
        <w:rPr>
          <w:rFonts w:hint="eastAsia" w:ascii="宋体" w:hAnsi="宋体" w:eastAsia="宋体"/>
          <w:sz w:val="24"/>
          <w:highlight w:val="none"/>
        </w:rPr>
        <w:t>“</w:t>
      </w:r>
      <w:r>
        <w:rPr>
          <w:rFonts w:hint="eastAsia" w:eastAsia="宋体"/>
          <w:sz w:val="24"/>
          <w:highlight w:val="none"/>
        </w:rPr>
        <w:t>企业</w:t>
      </w:r>
      <w:bookmarkStart w:id="8" w:name="_Hlk52029017"/>
      <w:r>
        <w:rPr>
          <w:rFonts w:hint="eastAsia" w:eastAsia="宋体"/>
          <w:sz w:val="24"/>
          <w:highlight w:val="none"/>
        </w:rPr>
        <w:t>既没有转移也没有保留金融资产所有权上几乎所有的风险和报酬</w:t>
      </w:r>
      <w:bookmarkEnd w:id="8"/>
      <w:r>
        <w:rPr>
          <w:rFonts w:hint="eastAsia" w:eastAsia="宋体"/>
          <w:sz w:val="24"/>
          <w:highlight w:val="none"/>
        </w:rPr>
        <w:t>的（即不属于本准则第七条所指情形），应当分别下列情况处理：（一）放弃了对该金融资产控制的，应当终止确认该金融资产。</w:t>
      </w:r>
      <w:r>
        <w:rPr>
          <w:rFonts w:hint="eastAsia" w:ascii="宋体" w:hAnsi="宋体" w:eastAsia="宋体"/>
          <w:sz w:val="24"/>
          <w:highlight w:val="none"/>
        </w:rPr>
        <w:t>”</w:t>
      </w:r>
      <w:r>
        <w:rPr>
          <w:rFonts w:hint="eastAsia" w:eastAsia="宋体"/>
          <w:sz w:val="24"/>
          <w:highlight w:val="none"/>
        </w:rPr>
        <w:t>，第十条规定，</w:t>
      </w:r>
      <w:r>
        <w:rPr>
          <w:rFonts w:hint="eastAsia" w:ascii="宋体" w:hAnsi="宋体" w:eastAsia="宋体"/>
          <w:sz w:val="24"/>
          <w:highlight w:val="none"/>
        </w:rPr>
        <w:t>“</w:t>
      </w:r>
      <w:r>
        <w:rPr>
          <w:rFonts w:hint="eastAsia" w:eastAsia="宋体"/>
          <w:sz w:val="24"/>
          <w:highlight w:val="none"/>
        </w:rPr>
        <w:t>企业在判断是否已放弃对所转移金融资产的控制时，应当注重转入方出售该金融资产的实际能力。转入方能够单独将转入的金融资产整体出售给与其不存在关联方关系的第三方，且没有额外条件对此项出售加以限制的，表明企业已放弃对该金融资产的控制。</w:t>
      </w:r>
      <w:r>
        <w:rPr>
          <w:rFonts w:hint="eastAsia" w:ascii="宋体" w:hAnsi="宋体" w:eastAsia="宋体"/>
          <w:sz w:val="24"/>
          <w:highlight w:val="none"/>
        </w:rPr>
        <w:t>”</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公司背书的商业承兑汇票出票人均为资信较好的事业单位和企业，到期不获支付导致被追索的可能性较低，因此公司将已背书的商业承兑汇票予以终止确认。报告期内公司背书转让的商业承兑汇票未发生过到期无法兑付的情形。公司背书的商业承兑汇票，如到期不获支付，后手背书人有权向公司行使追索权，同时，公司将商业承兑汇票背书后，后手背书人即拥有了该项金融资产的完整权利，公司已失去该项金融资产的控制权，因此公司背书商业承兑汇票符合企业会计准则第23号第十条所述的既没有转移也没有保留金融资产所有权上几乎所有的风险和报酬的情形，由于公司已失去了对该项金融资产的控制权，且相关商业承兑汇票到期不获支付的可能性很低，故其流动性较好，即后手背书人具有实际能力将其继续向不存在关联方关系的第三方流转，符合企业会计准则第23号第十条所述的企业已放弃对金融资产控制的条件，应当终止确认金融资产，因此公司将背书的商业承兑汇票终止确认符合企业会计准则的规定。</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报告期内公司商业承兑汇票贴现仅一笔，金额为20万元，且出票日与到期日在同一年度内。公司商业承兑汇票贴现时出于谨慎性考虑，未予终止确认，会计处理符合企业会计准则的规定。</w:t>
      </w:r>
    </w:p>
    <w:p>
      <w:pPr>
        <w:topLinePunct/>
        <w:adjustRightInd w:val="0"/>
        <w:snapToGrid w:val="0"/>
        <w:spacing w:after="289" w:afterLines="50"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（二）结合合同条款或行业惯例，说明已背书或贴现的应收账款债权是否终止确认，具体会计核算是否符合《企业会计准则》的相关规定。</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公司的应收账款债权凭据是客户开具给公司的一种代表应收账款收款权的权利凭据，凭据持有人在货款到期时可以收到相应款项。报告期内公司收到的应收账款债权凭据包括格力集团开具的融单、TCL集团开具的金单以及美的集团开具的美易单，其中美的集团的美易单系从2019年启用。</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应收账款债权凭据背书是指由持单人在客户的债权凭据管理平台上将该债权凭据转让予第三方的行为，背书时持单人（即债权人）和受让人（即持单人的上游供应商）在债权凭据管理平台上签署相关的转让协议，协议生效后，债权转让完成，系统自动通知出单人（即债务人）。应收账款债权凭据贴现是指持单人在相应应收账款到期前在债权凭据管理平台上申请提前取得资金的融资行为，公司申请贴现并通过资金提供方审核后，资金提供方按照既定利率计算利息，将票面金额扣除利息后的剩余款项汇款至公司账户。</w:t>
      </w:r>
    </w:p>
    <w:p>
      <w:pPr>
        <w:topLinePunct/>
        <w:adjustRightInd w:val="0"/>
        <w:snapToGrid w:val="0"/>
        <w:spacing w:line="360" w:lineRule="auto"/>
        <w:ind w:firstLine="472" w:firstLineChars="200"/>
        <w:rPr>
          <w:rFonts w:eastAsia="宋体"/>
          <w:b/>
          <w:bCs/>
          <w:sz w:val="24"/>
          <w:highlight w:val="none"/>
        </w:rPr>
      </w:pPr>
      <w:r>
        <w:rPr>
          <w:rFonts w:hint="eastAsia" w:eastAsia="宋体"/>
          <w:b/>
          <w:bCs/>
          <w:sz w:val="24"/>
          <w:highlight w:val="none"/>
        </w:rPr>
        <w:t>1、应收账款债权凭据的会计处理</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公司结合收到的应收账款债权凭据的具体情况，制定的会计政策如下：</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（1）应收账款债权凭据背书时，予以终止确认，会计处理分录为：借记应付账款，贷记应收账款。</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2）应收账款债权凭据贴现时，不予终止确认，会计处理分录为：借记银行存款，贷记短期借款；应收账款账面原值与收到的银行存款的差额在贴现日与到期日之间摊销，摊销的会计分录为借记财务费用，贷记应付利息；在票据到期时，将应收账款终止确认，会计分录为：借记短期借款和应付利息，贷记应收账款。</w:t>
      </w:r>
    </w:p>
    <w:p>
      <w:pPr>
        <w:topLinePunct/>
        <w:adjustRightInd w:val="0"/>
        <w:snapToGrid w:val="0"/>
        <w:spacing w:line="360" w:lineRule="auto"/>
        <w:ind w:firstLine="472" w:firstLineChars="200"/>
        <w:rPr>
          <w:rFonts w:eastAsia="宋体"/>
          <w:b/>
          <w:bCs/>
          <w:sz w:val="24"/>
          <w:highlight w:val="none"/>
        </w:rPr>
      </w:pPr>
      <w:r>
        <w:rPr>
          <w:rFonts w:hint="eastAsia" w:eastAsia="宋体"/>
          <w:b/>
          <w:bCs/>
          <w:sz w:val="24"/>
          <w:highlight w:val="none"/>
        </w:rPr>
        <w:t>2、上述会计处理符合企业会计准则的规定</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（1）应收账款债权凭据背书</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企业会计准则对金融资产终止确认的相关规定详见本反馈回复五（一）2、（2）。</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结合应收账款债权凭据背书业务各方签订的转让协议中相关合同条款，对照企业会计准则对相关交易的会计处理的判断情况具体如下：</w:t>
      </w:r>
    </w:p>
    <w:tbl>
      <w:tblPr>
        <w:tblStyle w:val="13"/>
        <w:tblW w:w="85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7" w:type="dxa"/>
          <w:bottom w:w="0" w:type="dxa"/>
          <w:right w:w="17" w:type="dxa"/>
        </w:tblCellMar>
      </w:tblPr>
      <w:tblGrid>
        <w:gridCol w:w="896"/>
        <w:gridCol w:w="896"/>
        <w:gridCol w:w="4126"/>
        <w:gridCol w:w="2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525" w:type="pct"/>
            <w:tcBorders>
              <w:tl2br w:val="nil"/>
              <w:tr2bl w:val="nil"/>
            </w:tcBorders>
            <w:vAlign w:val="center"/>
          </w:tcPr>
          <w:p>
            <w:pPr>
              <w:spacing w:line="240" w:lineRule="exact"/>
              <w:jc w:val="center"/>
              <w:rPr>
                <w:rFonts w:eastAsia="宋体"/>
                <w:b/>
                <w:bCs/>
                <w:sz w:val="21"/>
                <w:szCs w:val="21"/>
                <w:highlight w:val="none"/>
              </w:rPr>
            </w:pPr>
            <w:r>
              <w:rPr>
                <w:rFonts w:eastAsia="宋体"/>
                <w:b/>
                <w:bCs/>
                <w:sz w:val="21"/>
                <w:szCs w:val="21"/>
                <w:highlight w:val="none"/>
              </w:rPr>
              <w:t>客户名称</w:t>
            </w:r>
          </w:p>
        </w:tc>
        <w:tc>
          <w:tcPr>
            <w:tcW w:w="525" w:type="pct"/>
            <w:tcBorders>
              <w:tl2br w:val="nil"/>
              <w:tr2bl w:val="nil"/>
            </w:tcBorders>
            <w:vAlign w:val="center"/>
          </w:tcPr>
          <w:p>
            <w:pPr>
              <w:spacing w:line="240" w:lineRule="exact"/>
              <w:jc w:val="center"/>
              <w:rPr>
                <w:rFonts w:eastAsia="宋体"/>
                <w:b/>
                <w:bCs/>
                <w:sz w:val="21"/>
                <w:szCs w:val="21"/>
                <w:highlight w:val="none"/>
              </w:rPr>
            </w:pPr>
            <w:r>
              <w:rPr>
                <w:rFonts w:eastAsia="宋体"/>
                <w:b/>
                <w:bCs/>
                <w:sz w:val="21"/>
                <w:szCs w:val="21"/>
                <w:highlight w:val="none"/>
              </w:rPr>
              <w:t>转让协议名称</w:t>
            </w:r>
          </w:p>
        </w:tc>
        <w:tc>
          <w:tcPr>
            <w:tcW w:w="2418" w:type="pct"/>
            <w:tcBorders>
              <w:tl2br w:val="nil"/>
              <w:tr2bl w:val="nil"/>
            </w:tcBorders>
            <w:vAlign w:val="center"/>
          </w:tcPr>
          <w:p>
            <w:pPr>
              <w:spacing w:line="240" w:lineRule="exact"/>
              <w:jc w:val="center"/>
              <w:rPr>
                <w:rFonts w:eastAsia="宋体"/>
                <w:b/>
                <w:bCs/>
                <w:sz w:val="21"/>
                <w:szCs w:val="21"/>
                <w:highlight w:val="none"/>
              </w:rPr>
            </w:pPr>
            <w:r>
              <w:rPr>
                <w:rFonts w:eastAsia="宋体"/>
                <w:b/>
                <w:bCs/>
                <w:sz w:val="21"/>
                <w:szCs w:val="21"/>
                <w:highlight w:val="none"/>
              </w:rPr>
              <w:t>合同条款</w:t>
            </w:r>
          </w:p>
        </w:tc>
        <w:tc>
          <w:tcPr>
            <w:tcW w:w="1529" w:type="pct"/>
            <w:tcBorders>
              <w:tl2br w:val="nil"/>
              <w:tr2bl w:val="nil"/>
            </w:tcBorders>
            <w:vAlign w:val="center"/>
          </w:tcPr>
          <w:p>
            <w:pPr>
              <w:spacing w:line="240" w:lineRule="exact"/>
              <w:jc w:val="center"/>
              <w:rPr>
                <w:rFonts w:eastAsia="宋体"/>
                <w:b/>
                <w:bCs/>
                <w:sz w:val="21"/>
                <w:szCs w:val="21"/>
                <w:highlight w:val="none"/>
              </w:rPr>
            </w:pPr>
            <w:r>
              <w:rPr>
                <w:rFonts w:eastAsia="宋体"/>
                <w:b/>
                <w:bCs/>
                <w:sz w:val="21"/>
                <w:szCs w:val="21"/>
                <w:highlight w:val="none"/>
              </w:rPr>
              <w:t>判断过程及结果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25" w:type="pct"/>
            <w:vMerge w:val="restar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格力集团</w:t>
            </w:r>
          </w:p>
        </w:tc>
        <w:tc>
          <w:tcPr>
            <w:tcW w:w="525"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融单转让协议</w:t>
            </w:r>
          </w:p>
        </w:tc>
        <w:tc>
          <w:tcPr>
            <w:tcW w:w="2418"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3.2 原始持单人转让融单后，视为原始持单人与开单人之间的债权转让。</w:t>
            </w:r>
          </w:p>
          <w:p>
            <w:pPr>
              <w:spacing w:line="240" w:lineRule="exact"/>
              <w:rPr>
                <w:rFonts w:eastAsia="宋体"/>
                <w:sz w:val="21"/>
                <w:szCs w:val="21"/>
                <w:highlight w:val="none"/>
              </w:rPr>
            </w:pPr>
            <w:r>
              <w:rPr>
                <w:rFonts w:eastAsia="宋体"/>
                <w:sz w:val="21"/>
                <w:szCs w:val="21"/>
                <w:highlight w:val="none"/>
              </w:rPr>
              <w:t>4.7 融单受让人在有效期内签收了转让融单的，视为融单受让人同意持单人以转让融单项下的债权的形式清偿其与持单人之间的应付账款，受单人接受转让的融单后，其与持单人之间存在的基于贸易关系形成的债务以融单形式清偿完毕。</w:t>
            </w:r>
          </w:p>
          <w:p>
            <w:pPr>
              <w:spacing w:line="240" w:lineRule="exact"/>
              <w:rPr>
                <w:rFonts w:eastAsia="宋体"/>
                <w:sz w:val="21"/>
                <w:szCs w:val="21"/>
                <w:highlight w:val="none"/>
              </w:rPr>
            </w:pPr>
            <w:r>
              <w:rPr>
                <w:rFonts w:eastAsia="宋体"/>
                <w:sz w:val="21"/>
                <w:szCs w:val="21"/>
                <w:highlight w:val="none"/>
              </w:rPr>
              <w:t>6.2.2 转单人承诺、保证并同意标的债权转让后，受单人对融单项下的债权享有完全的权利，包括但不限于利息权益、违约金权益、损害赔偿权益、担保权益以及再转让权等。</w:t>
            </w:r>
          </w:p>
          <w:p>
            <w:pPr>
              <w:spacing w:line="240" w:lineRule="exact"/>
              <w:rPr>
                <w:rFonts w:eastAsia="宋体"/>
                <w:sz w:val="21"/>
                <w:szCs w:val="21"/>
                <w:highlight w:val="none"/>
              </w:rPr>
            </w:pPr>
            <w:r>
              <w:rPr>
                <w:rFonts w:eastAsia="宋体"/>
                <w:sz w:val="21"/>
                <w:szCs w:val="21"/>
                <w:highlight w:val="none"/>
              </w:rPr>
              <w:t>6.3.1 标的债权的转让为无追索权转让，如融单项下的债权到期未能得到清偿，或出现融单项下基础交易所对应的基础合同有关的任何纠纷，受单人对除原始持单人之外的转单人或转单人的上一手(如有)不具有追索权，原始持单人之外的转单人亦无义务对融单项下的债权实现提供任何保证。</w:t>
            </w:r>
          </w:p>
        </w:tc>
        <w:tc>
          <w:tcPr>
            <w:tcW w:w="1529" w:type="pct"/>
            <w:vMerge w:val="restar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报告期内公司多为融单的原始持单人。公司作为原始持单人将融单转让予受单人后，仍保留了部分风险，即到期不获支付被追索的风险，但是受单人可以自由处置该债权凭据，公司已经失去了对该金融资产的控制，满足《企业会计准则第23号——金融资产转移》第九条（一）的条件，同时因为融单的出单人为资信良好的格力集团，到期不获支付的可能性极小，因此受单人具有实际能力进一步处理该金融资产，符合《企业会计准则第23号——金融资产转移》第十条的条件。综上所述，融单转让后公司对金融资产终止确认符合企业会计准则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25" w:type="pct"/>
            <w:vMerge w:val="continue"/>
            <w:tcBorders>
              <w:tl2br w:val="nil"/>
              <w:tr2bl w:val="nil"/>
            </w:tcBorders>
            <w:vAlign w:val="center"/>
          </w:tcPr>
          <w:p>
            <w:pPr>
              <w:spacing w:line="240" w:lineRule="exact"/>
              <w:rPr>
                <w:rFonts w:eastAsia="宋体"/>
                <w:sz w:val="21"/>
                <w:szCs w:val="21"/>
                <w:highlight w:val="none"/>
              </w:rPr>
            </w:pPr>
          </w:p>
        </w:tc>
        <w:tc>
          <w:tcPr>
            <w:tcW w:w="525"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融单业务平台认证用户服务协议</w:t>
            </w:r>
          </w:p>
        </w:tc>
        <w:tc>
          <w:tcPr>
            <w:tcW w:w="2418"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4.1.7 融单开出后，原始持单人将融单进行了融资或转让，但因原始持单人与开单人之间的基础合同的履行存在瑕疵导致开单人无法在该融单所记载的融单支付日前完成与原始持单人之间应收账款的结算，原始持单人须向实际付款的开单人或其委托的付款人承担已经融资和已转让融单部分金额和补扣利息。</w:t>
            </w:r>
          </w:p>
        </w:tc>
        <w:tc>
          <w:tcPr>
            <w:tcW w:w="1529" w:type="pct"/>
            <w:vMerge w:val="continue"/>
            <w:tcBorders>
              <w:tl2br w:val="nil"/>
              <w:tr2bl w:val="nil"/>
            </w:tcBorders>
            <w:vAlign w:val="center"/>
          </w:tcPr>
          <w:p>
            <w:pPr>
              <w:spacing w:line="240" w:lineRule="exact"/>
              <w:rPr>
                <w:rFonts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25"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TCL集团</w:t>
            </w:r>
          </w:p>
        </w:tc>
        <w:tc>
          <w:tcPr>
            <w:tcW w:w="525"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金单转让协议</w:t>
            </w:r>
          </w:p>
        </w:tc>
        <w:tc>
          <w:tcPr>
            <w:tcW w:w="2418"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4.2 双方同意，自转让日起，本协议项下收单人与转单人在贸易合同或其他经平台同意的合同项下应付收单人的债务与金单等值金额的部分相抵销。</w:t>
            </w:r>
          </w:p>
          <w:p>
            <w:pPr>
              <w:spacing w:line="240" w:lineRule="exact"/>
              <w:rPr>
                <w:rFonts w:eastAsia="宋体"/>
                <w:sz w:val="21"/>
                <w:szCs w:val="21"/>
                <w:highlight w:val="none"/>
              </w:rPr>
            </w:pPr>
            <w:r>
              <w:rPr>
                <w:rFonts w:eastAsia="宋体"/>
                <w:sz w:val="21"/>
                <w:szCs w:val="21"/>
                <w:highlight w:val="none"/>
              </w:rPr>
              <w:t>6.2.5 转单人承诺、保证并同意金单转让后，收单人对金单享有转单人持有期间的完全的权利，包括但不限于到期收到本金、利息权益、违约金权益、损害赔偿权益、担保权益以及再转让权等。</w:t>
            </w:r>
          </w:p>
          <w:p>
            <w:pPr>
              <w:spacing w:line="240" w:lineRule="exact"/>
              <w:rPr>
                <w:rFonts w:eastAsia="宋体"/>
                <w:sz w:val="21"/>
                <w:szCs w:val="21"/>
                <w:highlight w:val="none"/>
              </w:rPr>
            </w:pPr>
            <w:r>
              <w:rPr>
                <w:rFonts w:eastAsia="宋体"/>
                <w:sz w:val="21"/>
                <w:szCs w:val="21"/>
                <w:highlight w:val="none"/>
              </w:rPr>
              <w:t>6.3.1 收单人对转单人或转单人的前手不具有追索权，转单人亦无义务对金单项下债权的实现提供任何保证。</w:t>
            </w:r>
          </w:p>
        </w:tc>
        <w:tc>
          <w:tcPr>
            <w:tcW w:w="1529"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金单转让后，受单人享有该项金融资产的完全权利，且该转让为无追索权转让，公司已将金融资产所有权上几乎所有的风险和报酬转移，符合《企业会计准则第23号——金融资产转移》第七条规定，符合终止确认的条件，金单转让后公司对金融资产终止确认符合企业会计准则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25"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美的集团</w:t>
            </w:r>
          </w:p>
        </w:tc>
        <w:tc>
          <w:tcPr>
            <w:tcW w:w="525"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美易单转让业务协议</w:t>
            </w:r>
          </w:p>
        </w:tc>
        <w:tc>
          <w:tcPr>
            <w:tcW w:w="2418"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4.2.4 转单人承诺、保证并同意在应收账款债权转让后，受让人对应收账款债权享有完全的权利，包括但不限于利息权益、违约金权益、损害赔偿权益、担保权益以及再转让权和对付款人返还财产的所有权等。</w:t>
            </w:r>
          </w:p>
          <w:p>
            <w:pPr>
              <w:spacing w:line="240" w:lineRule="exact"/>
              <w:rPr>
                <w:rFonts w:eastAsia="宋体"/>
                <w:sz w:val="21"/>
                <w:szCs w:val="21"/>
                <w:highlight w:val="none"/>
              </w:rPr>
            </w:pPr>
            <w:r>
              <w:rPr>
                <w:rFonts w:eastAsia="宋体"/>
                <w:sz w:val="21"/>
                <w:szCs w:val="21"/>
                <w:highlight w:val="none"/>
              </w:rPr>
              <w:t>4.3.1 美易单项下应收账款债权的转让为无追索权转让，如应收账款债权到期未能得到清偿，或出现美易单所对应的基础合同有关的任何争议纠纷，受让人对转单人或转单人的前手（如有）不具有追索权，转单人亦无义务对应收账款债权的实现提供任何保证。</w:t>
            </w:r>
          </w:p>
        </w:tc>
        <w:tc>
          <w:tcPr>
            <w:tcW w:w="1529"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美易单转让后，受让人享有该项金融资产的完全权利，且该转让为无追索权转让，公司已将金融资产所有权上几乎所有的风险和报酬转移，符合《企业会计准则第23号——金融资产转移》第七条规定，符合终止确认的条件，金单转让后公司对金融资产终止确认符合企业会计准则的规定。</w:t>
            </w:r>
          </w:p>
        </w:tc>
      </w:tr>
    </w:tbl>
    <w:p>
      <w:pPr>
        <w:topLinePunct/>
        <w:adjustRightInd w:val="0"/>
        <w:snapToGrid w:val="0"/>
        <w:spacing w:before="289" w:beforeLines="50" w:line="360" w:lineRule="auto"/>
        <w:ind w:firstLine="472" w:firstLineChars="200"/>
        <w:rPr>
          <w:rFonts w:eastAsia="宋体"/>
          <w:sz w:val="24"/>
          <w:highlight w:val="none"/>
        </w:rPr>
      </w:pPr>
      <w:r>
        <w:rPr>
          <w:rFonts w:hint="eastAsia" w:eastAsia="宋体"/>
          <w:sz w:val="24"/>
          <w:highlight w:val="none"/>
        </w:rPr>
        <w:t>综上所述，公司对应收账款债权凭据的背书终止确认符合企业会计准则的规定。</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（2）应收账款债权凭据贴现</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报告期内，公司对融单和金单存在贴现业务，对美易单不存在贴现业务。结合融单和金单贴现业务相关协议的合同条款，对照企业会计准则对相关交易的会计处理的判断情况具体如下：</w:t>
      </w:r>
    </w:p>
    <w:tbl>
      <w:tblPr>
        <w:tblStyle w:val="13"/>
        <w:tblW w:w="85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7" w:type="dxa"/>
          <w:bottom w:w="0" w:type="dxa"/>
          <w:right w:w="17" w:type="dxa"/>
        </w:tblCellMar>
      </w:tblPr>
      <w:tblGrid>
        <w:gridCol w:w="896"/>
        <w:gridCol w:w="872"/>
        <w:gridCol w:w="4149"/>
        <w:gridCol w:w="2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525" w:type="pct"/>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客户名称</w:t>
            </w:r>
          </w:p>
        </w:tc>
        <w:tc>
          <w:tcPr>
            <w:tcW w:w="511" w:type="pct"/>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协议名称</w:t>
            </w:r>
          </w:p>
        </w:tc>
        <w:tc>
          <w:tcPr>
            <w:tcW w:w="2432" w:type="pct"/>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合同条款</w:t>
            </w:r>
          </w:p>
        </w:tc>
        <w:tc>
          <w:tcPr>
            <w:tcW w:w="1530" w:type="pct"/>
            <w:tcBorders>
              <w:tl2br w:val="nil"/>
              <w:tr2bl w:val="nil"/>
            </w:tcBorders>
            <w:vAlign w:val="center"/>
          </w:tcPr>
          <w:p>
            <w:pPr>
              <w:spacing w:line="240" w:lineRule="exact"/>
              <w:jc w:val="center"/>
              <w:rPr>
                <w:rFonts w:eastAsia="宋体"/>
                <w:sz w:val="21"/>
                <w:szCs w:val="21"/>
                <w:highlight w:val="none"/>
              </w:rPr>
            </w:pPr>
            <w:r>
              <w:rPr>
                <w:rFonts w:eastAsia="宋体"/>
                <w:sz w:val="21"/>
                <w:szCs w:val="21"/>
                <w:highlight w:val="none"/>
              </w:rPr>
              <w:t>判断过程及结果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25" w:type="pct"/>
            <w:vMerge w:val="restar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格力集团</w:t>
            </w:r>
          </w:p>
        </w:tc>
        <w:tc>
          <w:tcPr>
            <w:tcW w:w="511"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融单业务平台认证用户服务协议</w:t>
            </w:r>
          </w:p>
        </w:tc>
        <w:tc>
          <w:tcPr>
            <w:tcW w:w="2432"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1.21 格力保理公司：指珠海横琴格力商业保理有限公司。保理公司是融单业务平台的融单融资业务的资金提供方。</w:t>
            </w:r>
          </w:p>
          <w:p>
            <w:pPr>
              <w:spacing w:line="240" w:lineRule="exact"/>
              <w:rPr>
                <w:rFonts w:eastAsia="宋体"/>
                <w:sz w:val="21"/>
                <w:szCs w:val="21"/>
                <w:highlight w:val="none"/>
              </w:rPr>
            </w:pPr>
            <w:r>
              <w:rPr>
                <w:rFonts w:eastAsia="宋体"/>
                <w:sz w:val="21"/>
                <w:szCs w:val="21"/>
                <w:highlight w:val="none"/>
              </w:rPr>
              <w:t>1. 融单融资，是指持单人为了融资，作为融资申请人在融单项下的应收账款还款截止日前通过融单业务平台将融单转让给格力保理公司，格力保理公司收到融单审核通过，并满足一定的条件后，向融资人提供融资款项的行为。</w:t>
            </w:r>
          </w:p>
        </w:tc>
        <w:tc>
          <w:tcPr>
            <w:tcW w:w="1530" w:type="pct"/>
            <w:vMerge w:val="restar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应收账款债权凭据贴现为应收账款保理业务，对于已做保理的应收账款，合同中未明确格力保理公司是否对持单人无追索权。从《融单融资与回购业务协议》的5.2条款，可以认为持单人仍有可能会被追索，因此</w:t>
            </w:r>
            <w:r>
              <w:rPr>
                <w:rFonts w:hint="eastAsia" w:eastAsia="宋体"/>
                <w:sz w:val="21"/>
                <w:szCs w:val="21"/>
                <w:highlight w:val="none"/>
              </w:rPr>
              <w:t>公司</w:t>
            </w:r>
            <w:r>
              <w:rPr>
                <w:rFonts w:eastAsia="宋体"/>
                <w:sz w:val="21"/>
                <w:szCs w:val="21"/>
                <w:highlight w:val="none"/>
              </w:rPr>
              <w:t>不予终止确认符合企业会计准则的规定。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25" w:type="pct"/>
            <w:vMerge w:val="continue"/>
            <w:tcBorders>
              <w:tl2br w:val="nil"/>
              <w:tr2bl w:val="nil"/>
            </w:tcBorders>
            <w:vAlign w:val="center"/>
          </w:tcPr>
          <w:p>
            <w:pPr>
              <w:spacing w:line="240" w:lineRule="exact"/>
              <w:rPr>
                <w:rFonts w:eastAsia="宋体"/>
                <w:sz w:val="21"/>
                <w:szCs w:val="21"/>
                <w:highlight w:val="none"/>
              </w:rPr>
            </w:pPr>
          </w:p>
        </w:tc>
        <w:tc>
          <w:tcPr>
            <w:tcW w:w="511"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融单融资与回购业务协议</w:t>
            </w:r>
          </w:p>
        </w:tc>
        <w:tc>
          <w:tcPr>
            <w:tcW w:w="2432"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5.1 本协议各方同意用于融资、回购的融单项下的债权一经转让，持单人有权依据《开单确认书》、《融单用户服务协议》、本协议的约定及平台相关规则直接向开单人收取融单项下的应收账款。</w:t>
            </w:r>
          </w:p>
          <w:p>
            <w:pPr>
              <w:spacing w:line="240" w:lineRule="exact"/>
              <w:rPr>
                <w:rFonts w:eastAsia="宋体"/>
                <w:sz w:val="21"/>
                <w:szCs w:val="21"/>
                <w:highlight w:val="none"/>
              </w:rPr>
            </w:pPr>
            <w:r>
              <w:rPr>
                <w:rFonts w:eastAsia="宋体"/>
                <w:sz w:val="21"/>
                <w:szCs w:val="21"/>
                <w:highlight w:val="none"/>
              </w:rPr>
              <w:t>5.2 持单人于应收账款到期日，未能实现应收账款债权的，可按照《开单确认书》、《融单用户服务协议》、本协议及平台的规则的约定请求相关主体承担相应责任。</w:t>
            </w:r>
          </w:p>
          <w:p>
            <w:pPr>
              <w:spacing w:line="240" w:lineRule="exact"/>
              <w:rPr>
                <w:rFonts w:eastAsia="宋体"/>
                <w:sz w:val="21"/>
                <w:szCs w:val="21"/>
                <w:highlight w:val="none"/>
              </w:rPr>
            </w:pPr>
            <w:r>
              <w:rPr>
                <w:rFonts w:eastAsia="宋体"/>
                <w:sz w:val="21"/>
                <w:szCs w:val="21"/>
                <w:highlight w:val="none"/>
              </w:rPr>
              <w:t>5.3 如乙方有需要，甲方有义务配合乙方按照中国人民银行《应收账款质押登记办法》的规定，到中国人民银行征信中心动产融资统一登记系统（www.zhongdengwang.org.cn）办理应收账款的转让登记手续。</w:t>
            </w:r>
          </w:p>
        </w:tc>
        <w:tc>
          <w:tcPr>
            <w:tcW w:w="1530" w:type="pct"/>
            <w:vMerge w:val="continue"/>
            <w:tcBorders>
              <w:tl2br w:val="nil"/>
              <w:tr2bl w:val="nil"/>
            </w:tcBorders>
            <w:vAlign w:val="center"/>
          </w:tcPr>
          <w:p>
            <w:pPr>
              <w:spacing w:line="240" w:lineRule="exact"/>
              <w:rPr>
                <w:rFonts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525"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TCL集团</w:t>
            </w:r>
          </w:p>
        </w:tc>
        <w:tc>
          <w:tcPr>
            <w:tcW w:w="511"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简单汇平台金单商业保理融资业务协议</w:t>
            </w:r>
          </w:p>
        </w:tc>
        <w:tc>
          <w:tcPr>
            <w:tcW w:w="2432"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融单人：三友联众集团股份有限公司</w:t>
            </w:r>
          </w:p>
          <w:p>
            <w:pPr>
              <w:spacing w:line="240" w:lineRule="exact"/>
              <w:rPr>
                <w:rFonts w:eastAsia="宋体"/>
                <w:sz w:val="21"/>
                <w:szCs w:val="21"/>
                <w:highlight w:val="none"/>
              </w:rPr>
            </w:pPr>
            <w:r>
              <w:rPr>
                <w:rFonts w:eastAsia="宋体"/>
                <w:sz w:val="21"/>
                <w:szCs w:val="21"/>
                <w:highlight w:val="none"/>
              </w:rPr>
              <w:t>授信机构：TCL集团股份有限公司</w:t>
            </w:r>
          </w:p>
          <w:p>
            <w:pPr>
              <w:spacing w:line="240" w:lineRule="exact"/>
              <w:rPr>
                <w:rFonts w:eastAsia="宋体"/>
                <w:sz w:val="21"/>
                <w:szCs w:val="21"/>
                <w:highlight w:val="none"/>
              </w:rPr>
            </w:pPr>
            <w:r>
              <w:rPr>
                <w:rFonts w:eastAsia="宋体"/>
                <w:sz w:val="21"/>
                <w:szCs w:val="21"/>
                <w:highlight w:val="none"/>
              </w:rPr>
              <w:t>2.16 金单融资：指融单人向融资机构办理金单项下应收账款保理融资的行为。</w:t>
            </w:r>
          </w:p>
          <w:p>
            <w:pPr>
              <w:spacing w:line="240" w:lineRule="exact"/>
              <w:rPr>
                <w:rFonts w:eastAsia="宋体"/>
                <w:sz w:val="21"/>
                <w:szCs w:val="21"/>
                <w:highlight w:val="none"/>
              </w:rPr>
            </w:pPr>
            <w:r>
              <w:rPr>
                <w:rFonts w:eastAsia="宋体"/>
                <w:sz w:val="21"/>
                <w:szCs w:val="21"/>
                <w:highlight w:val="none"/>
              </w:rPr>
              <w:t>7.1 授信机构应按本协议约定向融单人提供金单融资资金及提供其他服务（如有）。</w:t>
            </w:r>
          </w:p>
          <w:p>
            <w:pPr>
              <w:spacing w:line="240" w:lineRule="exact"/>
              <w:rPr>
                <w:rFonts w:eastAsia="宋体"/>
                <w:sz w:val="21"/>
                <w:szCs w:val="21"/>
                <w:highlight w:val="none"/>
              </w:rPr>
            </w:pPr>
            <w:r>
              <w:rPr>
                <w:rFonts w:eastAsia="宋体"/>
                <w:sz w:val="21"/>
                <w:szCs w:val="21"/>
                <w:highlight w:val="none"/>
              </w:rPr>
              <w:t>7.3 本协议生效后，授信机构未能在金单到期日完全收取金单项下金额，授信机构将不会向融单人追索，只能要求开单人或担保机构支付转让对价，但发生下列情形除外……</w:t>
            </w:r>
          </w:p>
        </w:tc>
        <w:tc>
          <w:tcPr>
            <w:tcW w:w="1530"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授信机构（即资金提供方）若到期不获支付，不会向融单人（即公司）追索，除因融单人的原因而导致金单无效、存在法律瑕疵或有碍开单人履行金单项下的付款义务的情况。按照合同条款，公司将金单贴现后通常不会被追索，但也存在被追索的可能性，公司出于谨慎性考虑，对贴现的金单未终止确认符合企业会计准则的规定。</w:t>
            </w:r>
          </w:p>
        </w:tc>
      </w:tr>
    </w:tbl>
    <w:p>
      <w:pPr>
        <w:topLinePunct/>
        <w:adjustRightInd w:val="0"/>
        <w:snapToGrid w:val="0"/>
        <w:spacing w:before="289" w:beforeLines="50" w:line="360" w:lineRule="auto"/>
        <w:ind w:firstLine="472" w:firstLineChars="200"/>
        <w:rPr>
          <w:rFonts w:eastAsia="宋体"/>
          <w:sz w:val="24"/>
          <w:highlight w:val="none"/>
        </w:rPr>
      </w:pPr>
      <w:r>
        <w:rPr>
          <w:rFonts w:hint="eastAsia" w:eastAsia="宋体"/>
          <w:sz w:val="24"/>
          <w:highlight w:val="none"/>
        </w:rPr>
        <w:t>如上表所示，公司对贴现的融单和金单未终止确认符合企业会计准则的规定。</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按照《简单汇平台金单商业保理融资业务协议》的合同条款，金单贴现后公司被追索的可能性很小，若公司对贴现的金单予以终止确认，则对报告期各期净利润的影响分别为</w:t>
      </w:r>
      <w:bookmarkStart w:id="9" w:name="_Hlk53001459"/>
      <w:r>
        <w:rPr>
          <w:rFonts w:hint="eastAsia" w:eastAsia="宋体"/>
          <w:sz w:val="24"/>
          <w:highlight w:val="none"/>
        </w:rPr>
        <w:t>-10.96万元、4.58万元、-4.63万元及0万元</w:t>
      </w:r>
      <w:bookmarkEnd w:id="9"/>
      <w:r>
        <w:rPr>
          <w:rFonts w:hint="eastAsia" w:eastAsia="宋体"/>
          <w:sz w:val="24"/>
          <w:highlight w:val="none"/>
        </w:rPr>
        <w:t>，影响较小。报告期各期末已贴现未到期的金单金额，及若将贴现的金单终止确认对各期净利润的影响具体如下：</w:t>
      </w:r>
    </w:p>
    <w:p>
      <w:pPr>
        <w:widowControl/>
        <w:adjustRightInd w:val="0"/>
        <w:snapToGrid w:val="0"/>
        <w:spacing w:line="360" w:lineRule="auto"/>
        <w:ind w:firstLine="412" w:firstLineChars="200"/>
        <w:jc w:val="right"/>
        <w:rPr>
          <w:rFonts w:eastAsia="宋体"/>
          <w:sz w:val="21"/>
          <w:szCs w:val="21"/>
          <w:highlight w:val="none"/>
        </w:rPr>
      </w:pPr>
      <w:r>
        <w:rPr>
          <w:rFonts w:eastAsia="宋体"/>
          <w:sz w:val="21"/>
          <w:szCs w:val="21"/>
          <w:highlight w:val="none"/>
        </w:rPr>
        <w:t>单位：万元</w:t>
      </w:r>
    </w:p>
    <w:tbl>
      <w:tblPr>
        <w:tblStyle w:val="13"/>
        <w:tblW w:w="85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7" w:type="dxa"/>
          <w:bottom w:w="0" w:type="dxa"/>
          <w:right w:w="17" w:type="dxa"/>
        </w:tblCellMar>
      </w:tblPr>
      <w:tblGrid>
        <w:gridCol w:w="2517"/>
        <w:gridCol w:w="1704"/>
        <w:gridCol w:w="1417"/>
        <w:gridCol w:w="1417"/>
        <w:gridCol w:w="1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1476" w:type="pct"/>
            <w:tcBorders>
              <w:tl2br w:val="nil"/>
              <w:tr2bl w:val="nil"/>
            </w:tcBorders>
            <w:vAlign w:val="center"/>
          </w:tcPr>
          <w:p>
            <w:pPr>
              <w:spacing w:line="240" w:lineRule="exact"/>
              <w:jc w:val="center"/>
              <w:rPr>
                <w:rFonts w:eastAsia="宋体"/>
                <w:b/>
                <w:bCs/>
                <w:sz w:val="21"/>
                <w:szCs w:val="21"/>
                <w:highlight w:val="none"/>
              </w:rPr>
            </w:pPr>
            <w:r>
              <w:rPr>
                <w:rFonts w:eastAsia="宋体"/>
                <w:b/>
                <w:bCs/>
                <w:sz w:val="21"/>
                <w:szCs w:val="21"/>
                <w:highlight w:val="none"/>
              </w:rPr>
              <w:t>项目</w:t>
            </w:r>
          </w:p>
        </w:tc>
        <w:tc>
          <w:tcPr>
            <w:tcW w:w="999" w:type="pct"/>
            <w:tcBorders>
              <w:tl2br w:val="nil"/>
              <w:tr2bl w:val="nil"/>
            </w:tcBorders>
            <w:vAlign w:val="center"/>
          </w:tcPr>
          <w:p>
            <w:pPr>
              <w:spacing w:line="240" w:lineRule="exact"/>
              <w:jc w:val="center"/>
              <w:rPr>
                <w:rFonts w:eastAsia="宋体"/>
                <w:b/>
                <w:bCs/>
                <w:sz w:val="21"/>
                <w:szCs w:val="21"/>
                <w:highlight w:val="none"/>
              </w:rPr>
            </w:pPr>
            <w:r>
              <w:rPr>
                <w:rFonts w:eastAsia="宋体"/>
                <w:b/>
                <w:bCs/>
                <w:sz w:val="21"/>
                <w:szCs w:val="21"/>
                <w:highlight w:val="none"/>
              </w:rPr>
              <w:t>2020.</w:t>
            </w:r>
            <w:r>
              <w:rPr>
                <w:rFonts w:hint="eastAsia" w:eastAsia="宋体"/>
                <w:b/>
                <w:bCs/>
                <w:sz w:val="21"/>
                <w:szCs w:val="21"/>
                <w:highlight w:val="none"/>
              </w:rPr>
              <w:t>0</w:t>
            </w:r>
            <w:r>
              <w:rPr>
                <w:rFonts w:eastAsia="宋体"/>
                <w:b/>
                <w:bCs/>
                <w:sz w:val="21"/>
                <w:szCs w:val="21"/>
                <w:highlight w:val="none"/>
              </w:rPr>
              <w:t>6.30/</w:t>
            </w:r>
          </w:p>
          <w:p>
            <w:pPr>
              <w:spacing w:line="240" w:lineRule="exact"/>
              <w:jc w:val="center"/>
              <w:rPr>
                <w:rFonts w:eastAsia="宋体"/>
                <w:b/>
                <w:bCs/>
                <w:sz w:val="21"/>
                <w:szCs w:val="21"/>
                <w:highlight w:val="none"/>
              </w:rPr>
            </w:pPr>
            <w:r>
              <w:rPr>
                <w:rFonts w:eastAsia="宋体"/>
                <w:b/>
                <w:bCs/>
                <w:sz w:val="21"/>
                <w:szCs w:val="21"/>
                <w:highlight w:val="none"/>
              </w:rPr>
              <w:t>2020年1-6月</w:t>
            </w:r>
          </w:p>
        </w:tc>
        <w:tc>
          <w:tcPr>
            <w:tcW w:w="831" w:type="pct"/>
            <w:tcBorders>
              <w:tl2br w:val="nil"/>
              <w:tr2bl w:val="nil"/>
            </w:tcBorders>
            <w:vAlign w:val="center"/>
          </w:tcPr>
          <w:p>
            <w:pPr>
              <w:spacing w:line="240" w:lineRule="exact"/>
              <w:jc w:val="center"/>
              <w:rPr>
                <w:rFonts w:eastAsia="宋体"/>
                <w:b/>
                <w:bCs/>
                <w:sz w:val="21"/>
                <w:szCs w:val="21"/>
                <w:highlight w:val="none"/>
              </w:rPr>
            </w:pPr>
            <w:r>
              <w:rPr>
                <w:rFonts w:eastAsia="宋体"/>
                <w:b/>
                <w:bCs/>
                <w:sz w:val="21"/>
                <w:szCs w:val="21"/>
                <w:highlight w:val="none"/>
              </w:rPr>
              <w:t>2019.12.31</w:t>
            </w:r>
          </w:p>
          <w:p>
            <w:pPr>
              <w:spacing w:line="240" w:lineRule="exact"/>
              <w:jc w:val="center"/>
              <w:rPr>
                <w:rFonts w:eastAsia="宋体"/>
                <w:b/>
                <w:bCs/>
                <w:sz w:val="21"/>
                <w:szCs w:val="21"/>
                <w:highlight w:val="none"/>
              </w:rPr>
            </w:pPr>
            <w:r>
              <w:rPr>
                <w:rFonts w:eastAsia="宋体"/>
                <w:b/>
                <w:bCs/>
                <w:sz w:val="21"/>
                <w:szCs w:val="21"/>
                <w:highlight w:val="none"/>
              </w:rPr>
              <w:t>/2019年度</w:t>
            </w:r>
          </w:p>
        </w:tc>
        <w:tc>
          <w:tcPr>
            <w:tcW w:w="831" w:type="pct"/>
            <w:tcBorders>
              <w:tl2br w:val="nil"/>
              <w:tr2bl w:val="nil"/>
            </w:tcBorders>
          </w:tcPr>
          <w:p>
            <w:pPr>
              <w:spacing w:line="240" w:lineRule="exact"/>
              <w:jc w:val="center"/>
              <w:rPr>
                <w:rFonts w:eastAsia="宋体"/>
                <w:b/>
                <w:bCs/>
                <w:sz w:val="21"/>
                <w:szCs w:val="21"/>
                <w:highlight w:val="none"/>
              </w:rPr>
            </w:pPr>
            <w:r>
              <w:rPr>
                <w:rFonts w:eastAsia="宋体"/>
                <w:b/>
                <w:bCs/>
                <w:sz w:val="21"/>
                <w:szCs w:val="21"/>
                <w:highlight w:val="none"/>
              </w:rPr>
              <w:t>2018.12.31</w:t>
            </w:r>
          </w:p>
          <w:p>
            <w:pPr>
              <w:spacing w:line="240" w:lineRule="exact"/>
              <w:jc w:val="center"/>
              <w:rPr>
                <w:rFonts w:eastAsia="宋体"/>
                <w:b/>
                <w:bCs/>
                <w:sz w:val="21"/>
                <w:szCs w:val="21"/>
                <w:highlight w:val="none"/>
              </w:rPr>
            </w:pPr>
            <w:r>
              <w:rPr>
                <w:rFonts w:eastAsia="宋体"/>
                <w:b/>
                <w:bCs/>
                <w:sz w:val="21"/>
                <w:szCs w:val="21"/>
                <w:highlight w:val="none"/>
              </w:rPr>
              <w:t>/2018年度</w:t>
            </w:r>
          </w:p>
        </w:tc>
        <w:tc>
          <w:tcPr>
            <w:tcW w:w="863" w:type="pct"/>
            <w:tcBorders>
              <w:tl2br w:val="nil"/>
              <w:tr2bl w:val="nil"/>
            </w:tcBorders>
          </w:tcPr>
          <w:p>
            <w:pPr>
              <w:spacing w:line="240" w:lineRule="exact"/>
              <w:jc w:val="center"/>
              <w:rPr>
                <w:rFonts w:eastAsia="宋体"/>
                <w:b/>
                <w:bCs/>
                <w:sz w:val="21"/>
                <w:szCs w:val="21"/>
                <w:highlight w:val="none"/>
              </w:rPr>
            </w:pPr>
            <w:r>
              <w:rPr>
                <w:rFonts w:eastAsia="宋体"/>
                <w:b/>
                <w:bCs/>
                <w:sz w:val="21"/>
                <w:szCs w:val="21"/>
                <w:highlight w:val="none"/>
              </w:rPr>
              <w:t>2017.12.31</w:t>
            </w:r>
          </w:p>
          <w:p>
            <w:pPr>
              <w:spacing w:line="240" w:lineRule="exact"/>
              <w:jc w:val="center"/>
              <w:rPr>
                <w:rFonts w:eastAsia="宋体"/>
                <w:b/>
                <w:bCs/>
                <w:sz w:val="21"/>
                <w:szCs w:val="21"/>
                <w:highlight w:val="none"/>
              </w:rPr>
            </w:pPr>
            <w:r>
              <w:rPr>
                <w:rFonts w:eastAsia="宋体"/>
                <w:b/>
                <w:bCs/>
                <w:sz w:val="21"/>
                <w:szCs w:val="21"/>
                <w:highlight w:val="none"/>
              </w:rPr>
              <w:t>/2017年度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476"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已贴现未到期金单金额</w:t>
            </w:r>
          </w:p>
        </w:tc>
        <w:tc>
          <w:tcPr>
            <w:tcW w:w="999" w:type="pct"/>
            <w:tcBorders>
              <w:tl2br w:val="nil"/>
              <w:tr2bl w:val="nil"/>
            </w:tcBorders>
            <w:vAlign w:val="center"/>
          </w:tcPr>
          <w:p>
            <w:pPr>
              <w:spacing w:line="240" w:lineRule="exact"/>
              <w:jc w:val="right"/>
              <w:rPr>
                <w:rFonts w:eastAsia="宋体"/>
                <w:sz w:val="21"/>
                <w:szCs w:val="21"/>
                <w:highlight w:val="none"/>
              </w:rPr>
            </w:pPr>
            <w:r>
              <w:rPr>
                <w:rFonts w:hint="eastAsia" w:eastAsia="宋体"/>
                <w:sz w:val="21"/>
                <w:szCs w:val="21"/>
                <w:highlight w:val="none"/>
              </w:rPr>
              <w:t>-</w:t>
            </w:r>
          </w:p>
        </w:tc>
        <w:tc>
          <w:tcPr>
            <w:tcW w:w="831" w:type="pct"/>
            <w:tcBorders>
              <w:tl2br w:val="nil"/>
              <w:tr2bl w:val="nil"/>
            </w:tcBorders>
            <w:vAlign w:val="center"/>
          </w:tcPr>
          <w:p>
            <w:pPr>
              <w:spacing w:line="240" w:lineRule="exact"/>
              <w:jc w:val="right"/>
              <w:rPr>
                <w:rFonts w:eastAsia="宋体"/>
                <w:sz w:val="21"/>
                <w:szCs w:val="21"/>
                <w:highlight w:val="none"/>
              </w:rPr>
            </w:pPr>
            <w:r>
              <w:rPr>
                <w:rFonts w:hint="eastAsia" w:eastAsia="宋体"/>
                <w:sz w:val="21"/>
                <w:szCs w:val="21"/>
                <w:highlight w:val="none"/>
              </w:rPr>
              <w:t>-</w:t>
            </w:r>
          </w:p>
        </w:tc>
        <w:tc>
          <w:tcPr>
            <w:tcW w:w="831" w:type="pct"/>
            <w:tcBorders>
              <w:tl2br w:val="nil"/>
              <w:tr2bl w:val="nil"/>
            </w:tcBorders>
            <w:vAlign w:val="center"/>
          </w:tcPr>
          <w:p>
            <w:pPr>
              <w:spacing w:line="240" w:lineRule="exact"/>
              <w:jc w:val="right"/>
              <w:rPr>
                <w:rFonts w:eastAsia="宋体"/>
                <w:sz w:val="21"/>
                <w:szCs w:val="21"/>
                <w:highlight w:val="none"/>
              </w:rPr>
            </w:pPr>
            <w:r>
              <w:rPr>
                <w:rFonts w:eastAsia="宋体"/>
                <w:color w:val="000000"/>
                <w:sz w:val="21"/>
                <w:szCs w:val="21"/>
                <w:highlight w:val="none"/>
              </w:rPr>
              <w:t>233.05</w:t>
            </w:r>
          </w:p>
        </w:tc>
        <w:tc>
          <w:tcPr>
            <w:tcW w:w="863" w:type="pct"/>
            <w:tcBorders>
              <w:tl2br w:val="nil"/>
              <w:tr2bl w:val="nil"/>
            </w:tcBorders>
            <w:vAlign w:val="center"/>
          </w:tcPr>
          <w:p>
            <w:pPr>
              <w:spacing w:line="240" w:lineRule="exact"/>
              <w:jc w:val="right"/>
              <w:rPr>
                <w:rFonts w:eastAsia="宋体"/>
                <w:sz w:val="21"/>
                <w:szCs w:val="21"/>
                <w:highlight w:val="none"/>
              </w:rPr>
            </w:pPr>
            <w:r>
              <w:rPr>
                <w:rFonts w:eastAsia="宋体"/>
                <w:color w:val="000000"/>
                <w:sz w:val="21"/>
                <w:szCs w:val="21"/>
                <w:highlight w:val="none"/>
              </w:rPr>
              <w:t>1.92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476" w:type="pct"/>
            <w:tcBorders>
              <w:tl2br w:val="nil"/>
              <w:tr2bl w:val="nil"/>
            </w:tcBorders>
            <w:vAlign w:val="center"/>
          </w:tcPr>
          <w:p>
            <w:pPr>
              <w:spacing w:line="240" w:lineRule="exact"/>
              <w:rPr>
                <w:rFonts w:eastAsia="宋体"/>
                <w:sz w:val="21"/>
                <w:szCs w:val="21"/>
                <w:highlight w:val="none"/>
              </w:rPr>
            </w:pPr>
            <w:r>
              <w:rPr>
                <w:rFonts w:eastAsia="宋体"/>
                <w:sz w:val="21"/>
                <w:szCs w:val="21"/>
                <w:highlight w:val="none"/>
              </w:rPr>
              <w:t>若终止确认对当期净利润的影响</w:t>
            </w:r>
          </w:p>
        </w:tc>
        <w:tc>
          <w:tcPr>
            <w:tcW w:w="999" w:type="pct"/>
            <w:tcBorders>
              <w:tl2br w:val="nil"/>
              <w:tr2bl w:val="nil"/>
            </w:tcBorders>
            <w:vAlign w:val="center"/>
          </w:tcPr>
          <w:p>
            <w:pPr>
              <w:spacing w:line="240" w:lineRule="exact"/>
              <w:jc w:val="right"/>
              <w:rPr>
                <w:rFonts w:eastAsia="宋体"/>
                <w:sz w:val="21"/>
                <w:szCs w:val="21"/>
                <w:highlight w:val="none"/>
              </w:rPr>
            </w:pPr>
            <w:r>
              <w:rPr>
                <w:rFonts w:hint="eastAsia" w:eastAsia="宋体"/>
                <w:sz w:val="21"/>
                <w:szCs w:val="21"/>
                <w:highlight w:val="none"/>
              </w:rPr>
              <w:t>-</w:t>
            </w:r>
          </w:p>
        </w:tc>
        <w:tc>
          <w:tcPr>
            <w:tcW w:w="831" w:type="pct"/>
            <w:tcBorders>
              <w:tl2br w:val="nil"/>
              <w:tr2bl w:val="nil"/>
            </w:tcBorders>
            <w:vAlign w:val="center"/>
          </w:tcPr>
          <w:p>
            <w:pPr>
              <w:spacing w:line="240" w:lineRule="exact"/>
              <w:jc w:val="right"/>
              <w:rPr>
                <w:rFonts w:eastAsia="宋体"/>
                <w:sz w:val="21"/>
                <w:szCs w:val="21"/>
                <w:highlight w:val="none"/>
              </w:rPr>
            </w:pPr>
            <w:r>
              <w:rPr>
                <w:rFonts w:eastAsia="宋体"/>
                <w:color w:val="000000"/>
                <w:sz w:val="21"/>
                <w:szCs w:val="21"/>
                <w:highlight w:val="none"/>
              </w:rPr>
              <w:t>-4.63</w:t>
            </w:r>
          </w:p>
        </w:tc>
        <w:tc>
          <w:tcPr>
            <w:tcW w:w="831" w:type="pct"/>
            <w:tcBorders>
              <w:tl2br w:val="nil"/>
              <w:tr2bl w:val="nil"/>
            </w:tcBorders>
            <w:vAlign w:val="center"/>
          </w:tcPr>
          <w:p>
            <w:pPr>
              <w:spacing w:line="240" w:lineRule="exact"/>
              <w:jc w:val="right"/>
              <w:rPr>
                <w:rFonts w:eastAsia="宋体"/>
                <w:color w:val="000000"/>
                <w:sz w:val="21"/>
                <w:szCs w:val="21"/>
                <w:highlight w:val="none"/>
              </w:rPr>
            </w:pPr>
            <w:r>
              <w:rPr>
                <w:rFonts w:eastAsia="宋体"/>
                <w:color w:val="000000"/>
                <w:sz w:val="21"/>
                <w:szCs w:val="21"/>
                <w:highlight w:val="none"/>
              </w:rPr>
              <w:t>4.58</w:t>
            </w:r>
          </w:p>
        </w:tc>
        <w:tc>
          <w:tcPr>
            <w:tcW w:w="863" w:type="pct"/>
            <w:tcBorders>
              <w:tl2br w:val="nil"/>
              <w:tr2bl w:val="nil"/>
            </w:tcBorders>
            <w:vAlign w:val="center"/>
          </w:tcPr>
          <w:p>
            <w:pPr>
              <w:spacing w:line="240" w:lineRule="exact"/>
              <w:jc w:val="right"/>
              <w:rPr>
                <w:rFonts w:eastAsia="宋体"/>
                <w:color w:val="000000"/>
                <w:sz w:val="21"/>
                <w:szCs w:val="21"/>
                <w:highlight w:val="none"/>
              </w:rPr>
            </w:pPr>
            <w:r>
              <w:rPr>
                <w:rFonts w:eastAsia="宋体"/>
                <w:color w:val="000000"/>
                <w:sz w:val="21"/>
                <w:szCs w:val="21"/>
                <w:highlight w:val="none"/>
              </w:rPr>
              <w:t>-10.96</w:t>
            </w:r>
          </w:p>
        </w:tc>
      </w:tr>
    </w:tbl>
    <w:p>
      <w:pPr>
        <w:topLinePunct/>
        <w:adjustRightInd w:val="0"/>
        <w:snapToGrid w:val="0"/>
        <w:spacing w:before="289" w:beforeLines="50" w:line="360" w:lineRule="auto"/>
        <w:ind w:firstLine="472" w:firstLineChars="200"/>
        <w:outlineLvl w:val="1"/>
        <w:rPr>
          <w:rFonts w:ascii="黑体" w:hAnsi="黑体" w:eastAsia="黑体"/>
          <w:b/>
          <w:bCs/>
          <w:sz w:val="24"/>
          <w:highlight w:val="none"/>
        </w:rPr>
      </w:pPr>
      <w:r>
        <w:rPr>
          <w:rFonts w:hint="eastAsia" w:ascii="黑体" w:hAnsi="黑体" w:eastAsia="黑体"/>
          <w:b/>
          <w:bCs/>
          <w:sz w:val="24"/>
          <w:highlight w:val="none"/>
        </w:rPr>
        <w:t>（三）请保荐机构和申报会计师进行核查，并发表核查意见。</w:t>
      </w:r>
    </w:p>
    <w:p>
      <w:pPr>
        <w:topLinePunct/>
        <w:adjustRightInd w:val="0"/>
        <w:snapToGrid w:val="0"/>
        <w:spacing w:line="360" w:lineRule="auto"/>
        <w:ind w:firstLine="472" w:firstLineChars="200"/>
        <w:rPr>
          <w:rFonts w:eastAsia="宋体"/>
          <w:b/>
          <w:bCs/>
          <w:sz w:val="24"/>
          <w:highlight w:val="none"/>
        </w:rPr>
      </w:pPr>
      <w:r>
        <w:rPr>
          <w:rFonts w:hint="eastAsia" w:eastAsia="宋体"/>
          <w:b/>
          <w:bCs/>
          <w:sz w:val="24"/>
          <w:highlight w:val="none"/>
        </w:rPr>
        <w:t>1、核查程序</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保荐机构及申报会计师执行了如下核查程序：</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（1）访谈管理层，了解公司对商业承兑汇票和应收账款债权凭据的会计处理情况，了解应收账款债权凭据的交易情况；</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（2）取得公司的应收票据备查簿，检查商业承兑汇票的相关信息，并与电子票据或纸质票据核对；</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（3）查阅应收账款债权凭据背书及贴现业务对应的转让协议及融资协议，对主要合同条款进行分析；</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（4）结合企业会计准则的规定，判断公司对上述事项的会计处理是否符合企业会计准则的规定。</w:t>
      </w:r>
    </w:p>
    <w:p>
      <w:pPr>
        <w:topLinePunct/>
        <w:adjustRightInd w:val="0"/>
        <w:snapToGrid w:val="0"/>
        <w:spacing w:line="360" w:lineRule="auto"/>
        <w:ind w:firstLine="472" w:firstLineChars="200"/>
        <w:rPr>
          <w:rFonts w:eastAsia="宋体"/>
          <w:b/>
          <w:bCs/>
          <w:sz w:val="24"/>
          <w:highlight w:val="none"/>
        </w:rPr>
      </w:pPr>
      <w:r>
        <w:rPr>
          <w:rFonts w:hint="eastAsia" w:eastAsia="宋体"/>
          <w:b/>
          <w:bCs/>
          <w:sz w:val="24"/>
          <w:highlight w:val="none"/>
        </w:rPr>
        <w:t>2、核查意见</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经核查，保荐机构及申报会计师认为：</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报告期内公司对背书的商业承兑汇票予以终止确认，报告期内公司仅有一笔商业承兑汇票贴现业务，金额为20万元，因出票日与到期日在同一会计期间，公司贴现时予以终止确认，报告期内公司对商业承兑汇票背书和贴现业务的会计处理符合企业会计准则的规定；报告期内公司对已贴现的应收账款债权凭据未予终止确认，对已背书的应收账款债权凭据予以终止确认，相应的会计处理符合企业会计准则的规定。</w:t>
      </w:r>
    </w:p>
    <w:p>
      <w:pPr>
        <w:topLinePunct/>
        <w:adjustRightInd w:val="0"/>
        <w:snapToGrid w:val="0"/>
        <w:spacing w:line="360" w:lineRule="auto"/>
        <w:ind w:firstLine="472" w:firstLineChars="200"/>
        <w:rPr>
          <w:rFonts w:eastAsia="宋体"/>
          <w:sz w:val="24"/>
          <w:highlight w:val="none"/>
        </w:rPr>
      </w:pPr>
      <w:r>
        <w:rPr>
          <w:rFonts w:hint="eastAsia" w:eastAsia="宋体"/>
          <w:sz w:val="24"/>
          <w:highlight w:val="none"/>
        </w:rPr>
        <w:t>（以下无正文）</w:t>
      </w:r>
    </w:p>
    <w:p>
      <w:pPr>
        <w:topLinePunct/>
        <w:adjustRightInd w:val="0"/>
        <w:snapToGrid w:val="0"/>
        <w:spacing w:line="560" w:lineRule="exact"/>
        <w:ind w:firstLine="472" w:firstLineChars="200"/>
        <w:rPr>
          <w:rFonts w:eastAsia="宋体"/>
          <w:b/>
          <w:bCs/>
          <w:sz w:val="24"/>
          <w:highlight w:val="none"/>
        </w:rPr>
      </w:pPr>
    </w:p>
    <w:p>
      <w:pPr>
        <w:topLinePunct/>
        <w:adjustRightInd w:val="0"/>
        <w:snapToGrid w:val="0"/>
        <w:spacing w:line="560" w:lineRule="exact"/>
        <w:ind w:firstLine="472" w:firstLineChars="200"/>
        <w:rPr>
          <w:rFonts w:eastAsia="宋体"/>
          <w:b/>
          <w:bCs/>
          <w:sz w:val="24"/>
          <w:highlight w:val="none"/>
        </w:rPr>
      </w:pPr>
    </w:p>
    <w:p>
      <w:pPr>
        <w:topLinePunct/>
        <w:adjustRightInd w:val="0"/>
        <w:snapToGrid w:val="0"/>
        <w:spacing w:line="560" w:lineRule="exact"/>
        <w:ind w:firstLine="472" w:firstLineChars="200"/>
        <w:rPr>
          <w:rFonts w:eastAsia="宋体"/>
          <w:b/>
          <w:bCs/>
          <w:sz w:val="24"/>
          <w:highlight w:val="none"/>
        </w:rPr>
      </w:pPr>
    </w:p>
    <w:p>
      <w:pPr>
        <w:rPr>
          <w:rFonts w:eastAsia="宋体"/>
          <w:b/>
          <w:bCs/>
          <w:sz w:val="24"/>
          <w:highlight w:val="none"/>
        </w:rPr>
      </w:pPr>
      <w:r>
        <w:rPr>
          <w:rFonts w:eastAsia="宋体"/>
          <w:b/>
          <w:bCs/>
          <w:sz w:val="24"/>
          <w:highlight w:val="none"/>
        </w:rPr>
        <w:br w:type="page"/>
      </w:r>
    </w:p>
    <w:p>
      <w:pPr>
        <w:adjustRightInd w:val="0"/>
        <w:snapToGrid w:val="0"/>
        <w:spacing w:before="144" w:beforeLines="25" w:after="144" w:afterLines="25" w:line="360" w:lineRule="auto"/>
        <w:ind w:firstLine="472" w:firstLineChars="200"/>
        <w:rPr>
          <w:rFonts w:ascii="Calibri" w:hAnsi="Calibri" w:eastAsia="宋体"/>
          <w:bCs/>
          <w:sz w:val="24"/>
          <w:highlight w:val="none"/>
        </w:rPr>
      </w:pPr>
      <w:r>
        <w:rPr>
          <w:rFonts w:hint="eastAsia" w:ascii="Calibri" w:hAnsi="Calibri" w:eastAsia="宋体"/>
          <w:bCs/>
          <w:sz w:val="24"/>
          <w:highlight w:val="none"/>
        </w:rPr>
        <w:t>（此页无正文，为三友联众集团股份有限公司《关于三友联众集团股份有限公司首次公开发行股票并在创业板上市发行注册环节反馈意见落实函的回复》之签署页）</w:t>
      </w:r>
    </w:p>
    <w:p>
      <w:pPr>
        <w:adjustRightInd w:val="0"/>
        <w:snapToGrid w:val="0"/>
        <w:spacing w:before="144" w:beforeLines="25" w:after="144" w:afterLines="25" w:line="360" w:lineRule="auto"/>
        <w:ind w:firstLine="472" w:firstLineChars="200"/>
        <w:rPr>
          <w:rFonts w:ascii="Calibri" w:hAnsi="Calibri" w:eastAsia="宋体"/>
          <w:bCs/>
          <w:sz w:val="24"/>
          <w:highlight w:val="none"/>
        </w:rPr>
      </w:pPr>
    </w:p>
    <w:p>
      <w:pPr>
        <w:tabs>
          <w:tab w:val="left" w:pos="-1800"/>
          <w:tab w:val="left" w:pos="-1710"/>
          <w:tab w:val="left" w:pos="-1620"/>
          <w:tab w:val="left" w:pos="-1530"/>
        </w:tabs>
        <w:adjustRightInd w:val="0"/>
        <w:snapToGrid w:val="0"/>
        <w:spacing w:before="289" w:beforeLines="50" w:line="360" w:lineRule="auto"/>
        <w:ind w:firstLine="632" w:firstLineChars="200"/>
        <w:jc w:val="right"/>
        <w:rPr>
          <w:bCs/>
          <w:highlight w:val="none"/>
        </w:rPr>
      </w:pPr>
    </w:p>
    <w:p>
      <w:pPr>
        <w:tabs>
          <w:tab w:val="left" w:pos="-1800"/>
          <w:tab w:val="left" w:pos="-1710"/>
          <w:tab w:val="left" w:pos="-1620"/>
          <w:tab w:val="left" w:pos="-1530"/>
        </w:tabs>
        <w:adjustRightInd w:val="0"/>
        <w:snapToGrid w:val="0"/>
        <w:spacing w:before="289" w:beforeLines="50" w:line="360" w:lineRule="auto"/>
        <w:ind w:firstLine="632" w:firstLineChars="200"/>
        <w:jc w:val="right"/>
        <w:rPr>
          <w:bCs/>
          <w:highlight w:val="none"/>
        </w:rPr>
      </w:pPr>
    </w:p>
    <w:p>
      <w:pPr>
        <w:tabs>
          <w:tab w:val="left" w:pos="-1800"/>
          <w:tab w:val="left" w:pos="-1710"/>
          <w:tab w:val="left" w:pos="-1620"/>
          <w:tab w:val="left" w:pos="-1530"/>
        </w:tabs>
        <w:adjustRightInd w:val="0"/>
        <w:snapToGrid w:val="0"/>
        <w:spacing w:before="289" w:beforeLines="50" w:line="360" w:lineRule="auto"/>
        <w:ind w:firstLine="632" w:firstLineChars="200"/>
        <w:jc w:val="right"/>
        <w:rPr>
          <w:bCs/>
          <w:highlight w:val="none"/>
        </w:rPr>
      </w:pPr>
    </w:p>
    <w:p>
      <w:pPr>
        <w:tabs>
          <w:tab w:val="left" w:pos="-1800"/>
          <w:tab w:val="left" w:pos="-1710"/>
          <w:tab w:val="left" w:pos="-1620"/>
          <w:tab w:val="left" w:pos="-1530"/>
        </w:tabs>
        <w:adjustRightInd w:val="0"/>
        <w:snapToGrid w:val="0"/>
        <w:spacing w:before="289" w:beforeLines="50" w:line="360" w:lineRule="auto"/>
        <w:ind w:firstLine="472" w:firstLineChars="200"/>
        <w:jc w:val="right"/>
        <w:rPr>
          <w:bCs/>
          <w:highlight w:val="none"/>
        </w:rPr>
      </w:pPr>
      <w:r>
        <w:rPr>
          <w:rFonts w:hint="eastAsia" w:ascii="Calibri" w:hAnsi="Calibri" w:eastAsia="宋体"/>
          <w:bCs/>
          <w:sz w:val="24"/>
        </w:rPr>
        <w:drawing>
          <wp:anchor distT="0" distB="0" distL="114300" distR="114300" simplePos="0" relativeHeight="251660288" behindDoc="0" locked="1" layoutInCell="1" allowOverlap="1">
            <wp:simplePos x="0" y="0"/>
            <wp:positionH relativeFrom="column">
              <wp:posOffset>-1023620</wp:posOffset>
            </wp:positionH>
            <wp:positionV relativeFrom="paragraph">
              <wp:posOffset>-3648075</wp:posOffset>
            </wp:positionV>
            <wp:extent cx="7565390" cy="9190990"/>
            <wp:effectExtent l="0" t="0" r="8890"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rcRect b="14012"/>
                    <a:stretch>
                      <a:fillRect/>
                    </a:stretch>
                  </pic:blipFill>
                  <pic:spPr>
                    <a:xfrm>
                      <a:off x="0" y="0"/>
                      <a:ext cx="7565390" cy="9190990"/>
                    </a:xfrm>
                    <a:prstGeom prst="rect">
                      <a:avLst/>
                    </a:prstGeom>
                    <a:ln>
                      <a:noFill/>
                    </a:ln>
                  </pic:spPr>
                </pic:pic>
              </a:graphicData>
            </a:graphic>
          </wp:anchor>
        </w:drawing>
      </w:r>
    </w:p>
    <w:p>
      <w:pPr>
        <w:tabs>
          <w:tab w:val="left" w:pos="-1800"/>
          <w:tab w:val="left" w:pos="-1710"/>
          <w:tab w:val="left" w:pos="-1620"/>
          <w:tab w:val="left" w:pos="-1530"/>
        </w:tabs>
        <w:adjustRightInd w:val="0"/>
        <w:snapToGrid w:val="0"/>
        <w:spacing w:before="289" w:beforeLines="50" w:line="360" w:lineRule="auto"/>
        <w:ind w:firstLine="632" w:firstLineChars="200"/>
        <w:jc w:val="right"/>
        <w:rPr>
          <w:bCs/>
          <w:highlight w:val="none"/>
        </w:rPr>
      </w:pPr>
    </w:p>
    <w:p>
      <w:pPr>
        <w:tabs>
          <w:tab w:val="left" w:pos="-1800"/>
          <w:tab w:val="left" w:pos="-1710"/>
          <w:tab w:val="left" w:pos="-1620"/>
          <w:tab w:val="left" w:pos="-1530"/>
        </w:tabs>
        <w:adjustRightInd w:val="0"/>
        <w:snapToGrid w:val="0"/>
        <w:spacing w:before="289" w:beforeLines="50" w:line="360" w:lineRule="auto"/>
        <w:ind w:firstLine="632" w:firstLineChars="200"/>
        <w:jc w:val="right"/>
        <w:rPr>
          <w:bCs/>
          <w:highlight w:val="none"/>
        </w:rPr>
      </w:pPr>
    </w:p>
    <w:p>
      <w:pPr>
        <w:tabs>
          <w:tab w:val="left" w:pos="-1800"/>
          <w:tab w:val="left" w:pos="-1710"/>
          <w:tab w:val="left" w:pos="-1620"/>
          <w:tab w:val="left" w:pos="-1530"/>
        </w:tabs>
        <w:adjustRightInd w:val="0"/>
        <w:snapToGrid w:val="0"/>
        <w:spacing w:before="289" w:beforeLines="50" w:line="360" w:lineRule="auto"/>
        <w:ind w:firstLine="632" w:firstLineChars="200"/>
        <w:jc w:val="right"/>
        <w:rPr>
          <w:bCs/>
          <w:highlight w:val="none"/>
        </w:rPr>
      </w:pPr>
    </w:p>
    <w:p>
      <w:pPr>
        <w:tabs>
          <w:tab w:val="left" w:pos="-1800"/>
          <w:tab w:val="left" w:pos="-1710"/>
          <w:tab w:val="left" w:pos="-1620"/>
          <w:tab w:val="left" w:pos="-1530"/>
        </w:tabs>
        <w:adjustRightInd w:val="0"/>
        <w:snapToGrid w:val="0"/>
        <w:spacing w:before="289" w:beforeLines="50" w:line="360" w:lineRule="auto"/>
        <w:ind w:firstLine="632" w:firstLineChars="200"/>
        <w:jc w:val="right"/>
        <w:rPr>
          <w:bCs/>
          <w:highlight w:val="none"/>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r>
        <w:rPr>
          <w:rFonts w:hint="eastAsia" w:ascii="Calibri" w:hAnsi="Calibri" w:eastAsia="宋体"/>
          <w:bCs/>
          <w:sz w:val="24"/>
          <w:highlight w:val="none"/>
        </w:rPr>
        <w:t>三友联众集团股份有限公司</w:t>
      </w: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r>
        <w:rPr>
          <w:rFonts w:hint="eastAsia" w:ascii="Calibri" w:hAnsi="Calibri" w:eastAsia="宋体"/>
          <w:bCs/>
          <w:sz w:val="24"/>
          <w:highlight w:val="none"/>
        </w:rPr>
        <w:t>年   月   日</w:t>
      </w:r>
    </w:p>
    <w:p>
      <w:pPr>
        <w:rPr>
          <w:rFonts w:ascii="Calibri" w:hAnsi="Calibri" w:eastAsia="宋体"/>
          <w:bCs/>
          <w:sz w:val="24"/>
          <w:highlight w:val="none"/>
        </w:rPr>
      </w:pPr>
      <w:r>
        <w:rPr>
          <w:rFonts w:hint="eastAsia" w:ascii="Calibri" w:hAnsi="Calibri" w:eastAsia="宋体"/>
          <w:bCs/>
          <w:sz w:val="24"/>
          <w:highlight w:val="none"/>
        </w:rPr>
        <w:br w:type="page"/>
      </w:r>
    </w:p>
    <w:p>
      <w:pPr>
        <w:adjustRightInd w:val="0"/>
        <w:snapToGrid w:val="0"/>
        <w:spacing w:before="144" w:beforeLines="25" w:after="144" w:afterLines="25" w:line="360" w:lineRule="auto"/>
        <w:ind w:firstLine="472" w:firstLineChars="200"/>
        <w:rPr>
          <w:rFonts w:ascii="Calibri" w:hAnsi="Calibri" w:eastAsia="宋体"/>
          <w:bCs/>
          <w:sz w:val="24"/>
          <w:highlight w:val="none"/>
        </w:rPr>
      </w:pPr>
      <w:r>
        <w:rPr>
          <w:rFonts w:hint="eastAsia" w:ascii="Calibri" w:hAnsi="Calibri" w:eastAsia="宋体"/>
          <w:bCs/>
          <w:sz w:val="24"/>
        </w:rPr>
        <w:drawing>
          <wp:anchor distT="0" distB="0" distL="114300" distR="114300" simplePos="0" relativeHeight="251659264" behindDoc="0" locked="0" layoutInCell="1" allowOverlap="1">
            <wp:simplePos x="0" y="0"/>
            <wp:positionH relativeFrom="column">
              <wp:posOffset>-962025</wp:posOffset>
            </wp:positionH>
            <wp:positionV relativeFrom="paragraph">
              <wp:posOffset>-1048385</wp:posOffset>
            </wp:positionV>
            <wp:extent cx="7520305" cy="9459595"/>
            <wp:effectExtent l="0" t="0" r="8255"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rcRect b="11074"/>
                    <a:stretch>
                      <a:fillRect/>
                    </a:stretch>
                  </pic:blipFill>
                  <pic:spPr>
                    <a:xfrm>
                      <a:off x="0" y="0"/>
                      <a:ext cx="7520305" cy="9459595"/>
                    </a:xfrm>
                    <a:prstGeom prst="rect">
                      <a:avLst/>
                    </a:prstGeom>
                    <a:ln>
                      <a:noFill/>
                    </a:ln>
                  </pic:spPr>
                </pic:pic>
              </a:graphicData>
            </a:graphic>
          </wp:anchor>
        </w:drawing>
      </w:r>
      <w:r>
        <w:rPr>
          <w:rFonts w:hint="eastAsia" w:ascii="Calibri" w:hAnsi="Calibri" w:eastAsia="宋体"/>
          <w:bCs/>
          <w:sz w:val="24"/>
          <w:highlight w:val="none"/>
        </w:rPr>
        <w:t>（本页无正文，为信达证券股份有限公司《关于三友联众集团股份有限公司首次公开发行股票并在创业板上市发行注册环节反馈意见落实函的回复》之签署页）</w:t>
      </w:r>
    </w:p>
    <w:p>
      <w:pPr>
        <w:spacing w:line="360" w:lineRule="auto"/>
        <w:ind w:left="2948" w:hanging="2950" w:hangingChars="1250"/>
        <w:rPr>
          <w:sz w:val="24"/>
          <w:highlight w:val="none"/>
        </w:rPr>
      </w:pPr>
    </w:p>
    <w:p>
      <w:pPr>
        <w:spacing w:line="360" w:lineRule="auto"/>
        <w:ind w:left="2948" w:hanging="2950" w:hangingChars="1250"/>
        <w:rPr>
          <w:sz w:val="24"/>
          <w:highlight w:val="none"/>
        </w:rPr>
      </w:pPr>
    </w:p>
    <w:tbl>
      <w:tblPr>
        <w:tblStyle w:val="12"/>
        <w:tblW w:w="0" w:type="auto"/>
        <w:tblInd w:w="108" w:type="dxa"/>
        <w:tblLayout w:type="fixed"/>
        <w:tblCellMar>
          <w:top w:w="0" w:type="dxa"/>
          <w:left w:w="108" w:type="dxa"/>
          <w:bottom w:w="0" w:type="dxa"/>
          <w:right w:w="108" w:type="dxa"/>
        </w:tblCellMar>
      </w:tblPr>
      <w:tblGrid>
        <w:gridCol w:w="2763"/>
        <w:gridCol w:w="2184"/>
        <w:gridCol w:w="2328"/>
      </w:tblGrid>
      <w:tr>
        <w:tblPrEx>
          <w:tblCellMar>
            <w:top w:w="0" w:type="dxa"/>
            <w:left w:w="108" w:type="dxa"/>
            <w:bottom w:w="0" w:type="dxa"/>
            <w:right w:w="108" w:type="dxa"/>
          </w:tblCellMar>
        </w:tblPrEx>
        <w:trPr>
          <w:trHeight w:val="567" w:hRule="exact"/>
        </w:trPr>
        <w:tc>
          <w:tcPr>
            <w:tcW w:w="2763" w:type="dxa"/>
            <w:vAlign w:val="center"/>
          </w:tcPr>
          <w:p>
            <w:pPr>
              <w:adjustRightInd w:val="0"/>
              <w:snapToGrid w:val="0"/>
              <w:spacing w:before="144" w:beforeLines="25" w:after="144" w:afterLines="25" w:line="360" w:lineRule="auto"/>
              <w:ind w:firstLine="472" w:firstLineChars="200"/>
              <w:rPr>
                <w:rFonts w:ascii="Calibri" w:hAnsi="Calibri" w:eastAsia="宋体"/>
                <w:bCs/>
                <w:sz w:val="24"/>
                <w:highlight w:val="none"/>
              </w:rPr>
            </w:pPr>
            <w:r>
              <w:rPr>
                <w:rFonts w:hint="eastAsia" w:ascii="Calibri" w:hAnsi="Calibri" w:eastAsia="宋体"/>
                <w:bCs/>
                <w:sz w:val="24"/>
                <w:highlight w:val="none"/>
              </w:rPr>
              <w:t>保荐代表人：</w:t>
            </w:r>
          </w:p>
        </w:tc>
        <w:tc>
          <w:tcPr>
            <w:tcW w:w="2184" w:type="dxa"/>
            <w:vAlign w:val="center"/>
          </w:tcPr>
          <w:p>
            <w:pPr>
              <w:adjustRightInd w:val="0"/>
              <w:snapToGrid w:val="0"/>
              <w:spacing w:before="144" w:beforeLines="25" w:after="144" w:afterLines="25" w:line="360" w:lineRule="auto"/>
              <w:ind w:firstLine="472" w:firstLineChars="200"/>
              <w:jc w:val="center"/>
              <w:rPr>
                <w:rFonts w:ascii="Calibri" w:hAnsi="Calibri" w:eastAsia="宋体"/>
                <w:bCs/>
                <w:sz w:val="24"/>
                <w:highlight w:val="none"/>
              </w:rPr>
            </w:pPr>
            <w:r>
              <w:rPr>
                <w:rFonts w:hint="eastAsia" w:ascii="Calibri" w:hAnsi="Calibri" w:eastAsia="宋体"/>
                <w:bCs/>
                <w:sz w:val="24"/>
                <w:highlight w:val="none"/>
              </w:rPr>
              <w:t>__________</w:t>
            </w:r>
          </w:p>
        </w:tc>
        <w:tc>
          <w:tcPr>
            <w:tcW w:w="2328" w:type="dxa"/>
            <w:vAlign w:val="center"/>
          </w:tcPr>
          <w:p>
            <w:pPr>
              <w:adjustRightInd w:val="0"/>
              <w:snapToGrid w:val="0"/>
              <w:spacing w:before="144" w:beforeLines="25" w:after="144" w:afterLines="25" w:line="360" w:lineRule="auto"/>
              <w:ind w:firstLine="472" w:firstLineChars="200"/>
              <w:jc w:val="center"/>
              <w:rPr>
                <w:rFonts w:ascii="Calibri" w:hAnsi="Calibri" w:eastAsia="宋体"/>
                <w:bCs/>
                <w:sz w:val="24"/>
                <w:highlight w:val="none"/>
              </w:rPr>
            </w:pPr>
            <w:r>
              <w:rPr>
                <w:rFonts w:hint="eastAsia" w:ascii="Calibri" w:hAnsi="Calibri" w:eastAsia="宋体"/>
                <w:bCs/>
                <w:sz w:val="24"/>
                <w:highlight w:val="none"/>
              </w:rPr>
              <w:t>__________</w:t>
            </w:r>
          </w:p>
        </w:tc>
      </w:tr>
      <w:tr>
        <w:tblPrEx>
          <w:tblCellMar>
            <w:top w:w="0" w:type="dxa"/>
            <w:left w:w="108" w:type="dxa"/>
            <w:bottom w:w="0" w:type="dxa"/>
            <w:right w:w="108" w:type="dxa"/>
          </w:tblCellMar>
        </w:tblPrEx>
        <w:trPr>
          <w:trHeight w:val="567" w:hRule="exact"/>
        </w:trPr>
        <w:tc>
          <w:tcPr>
            <w:tcW w:w="2763" w:type="dxa"/>
            <w:vAlign w:val="center"/>
          </w:tcPr>
          <w:p>
            <w:pPr>
              <w:spacing w:before="289" w:beforeLines="50" w:after="289" w:afterLines="50"/>
              <w:ind w:firstLine="472" w:firstLineChars="200"/>
              <w:rPr>
                <w:color w:val="000000"/>
                <w:kern w:val="0"/>
                <w:sz w:val="24"/>
                <w:szCs w:val="20"/>
                <w:highlight w:val="none"/>
              </w:rPr>
            </w:pPr>
          </w:p>
        </w:tc>
        <w:tc>
          <w:tcPr>
            <w:tcW w:w="2184" w:type="dxa"/>
          </w:tcPr>
          <w:p>
            <w:pPr>
              <w:adjustRightInd w:val="0"/>
              <w:snapToGrid w:val="0"/>
              <w:spacing w:before="144" w:beforeLines="25" w:after="144" w:afterLines="25" w:line="360" w:lineRule="auto"/>
              <w:ind w:firstLine="472" w:firstLineChars="200"/>
              <w:jc w:val="center"/>
              <w:rPr>
                <w:rFonts w:ascii="Calibri" w:hAnsi="Calibri" w:eastAsia="宋体"/>
                <w:bCs/>
                <w:sz w:val="24"/>
                <w:highlight w:val="none"/>
              </w:rPr>
            </w:pPr>
            <w:r>
              <w:rPr>
                <w:rFonts w:hint="eastAsia" w:ascii="Calibri" w:hAnsi="Calibri" w:eastAsia="宋体"/>
                <w:bCs/>
                <w:sz w:val="24"/>
                <w:highlight w:val="none"/>
              </w:rPr>
              <w:t>曾维佳</w:t>
            </w:r>
          </w:p>
        </w:tc>
        <w:tc>
          <w:tcPr>
            <w:tcW w:w="2328" w:type="dxa"/>
          </w:tcPr>
          <w:p>
            <w:pPr>
              <w:adjustRightInd w:val="0"/>
              <w:snapToGrid w:val="0"/>
              <w:spacing w:before="144" w:beforeLines="25" w:after="144" w:afterLines="25" w:line="360" w:lineRule="auto"/>
              <w:ind w:firstLine="472" w:firstLineChars="200"/>
              <w:jc w:val="center"/>
              <w:rPr>
                <w:rFonts w:ascii="Calibri" w:hAnsi="Calibri" w:eastAsia="宋体"/>
                <w:bCs/>
                <w:sz w:val="24"/>
                <w:highlight w:val="none"/>
              </w:rPr>
            </w:pPr>
            <w:r>
              <w:rPr>
                <w:rFonts w:hint="eastAsia" w:ascii="Calibri" w:hAnsi="Calibri" w:eastAsia="宋体"/>
                <w:bCs/>
                <w:sz w:val="24"/>
                <w:highlight w:val="none"/>
              </w:rPr>
              <w:t>王  卿</w:t>
            </w:r>
          </w:p>
        </w:tc>
      </w:tr>
      <w:tr>
        <w:tblPrEx>
          <w:tblCellMar>
            <w:top w:w="0" w:type="dxa"/>
            <w:left w:w="108" w:type="dxa"/>
            <w:bottom w:w="0" w:type="dxa"/>
            <w:right w:w="108" w:type="dxa"/>
          </w:tblCellMar>
        </w:tblPrEx>
        <w:trPr>
          <w:trHeight w:val="567" w:hRule="exact"/>
        </w:trPr>
        <w:tc>
          <w:tcPr>
            <w:tcW w:w="2763" w:type="dxa"/>
            <w:vAlign w:val="center"/>
          </w:tcPr>
          <w:p>
            <w:pPr>
              <w:spacing w:before="289" w:beforeLines="50" w:after="289" w:afterLines="50"/>
              <w:ind w:firstLine="472" w:firstLineChars="200"/>
              <w:rPr>
                <w:color w:val="000000"/>
                <w:kern w:val="0"/>
                <w:sz w:val="24"/>
                <w:szCs w:val="20"/>
                <w:highlight w:val="none"/>
              </w:rPr>
            </w:pPr>
          </w:p>
        </w:tc>
        <w:tc>
          <w:tcPr>
            <w:tcW w:w="2184" w:type="dxa"/>
          </w:tcPr>
          <w:p>
            <w:pPr>
              <w:spacing w:before="289" w:beforeLines="50" w:after="289" w:afterLines="50"/>
              <w:jc w:val="center"/>
              <w:rPr>
                <w:color w:val="000000"/>
                <w:kern w:val="0"/>
                <w:sz w:val="24"/>
                <w:szCs w:val="20"/>
                <w:highlight w:val="none"/>
              </w:rPr>
            </w:pPr>
          </w:p>
        </w:tc>
        <w:tc>
          <w:tcPr>
            <w:tcW w:w="2328" w:type="dxa"/>
          </w:tcPr>
          <w:p>
            <w:pPr>
              <w:spacing w:before="289" w:beforeLines="50" w:after="289" w:afterLines="50"/>
              <w:jc w:val="center"/>
              <w:rPr>
                <w:color w:val="000000"/>
                <w:kern w:val="0"/>
                <w:sz w:val="24"/>
                <w:szCs w:val="20"/>
                <w:highlight w:val="none"/>
              </w:rPr>
            </w:pPr>
          </w:p>
        </w:tc>
      </w:tr>
      <w:tr>
        <w:tblPrEx>
          <w:tblCellMar>
            <w:top w:w="0" w:type="dxa"/>
            <w:left w:w="108" w:type="dxa"/>
            <w:bottom w:w="0" w:type="dxa"/>
            <w:right w:w="108" w:type="dxa"/>
          </w:tblCellMar>
        </w:tblPrEx>
        <w:trPr>
          <w:trHeight w:val="567" w:hRule="exact"/>
        </w:trPr>
        <w:tc>
          <w:tcPr>
            <w:tcW w:w="2763" w:type="dxa"/>
            <w:vAlign w:val="center"/>
          </w:tcPr>
          <w:p>
            <w:pPr>
              <w:spacing w:before="289" w:beforeLines="50" w:after="289" w:afterLines="50"/>
              <w:rPr>
                <w:color w:val="000000"/>
                <w:kern w:val="0"/>
                <w:sz w:val="24"/>
                <w:szCs w:val="20"/>
                <w:highlight w:val="none"/>
              </w:rPr>
            </w:pPr>
          </w:p>
        </w:tc>
        <w:tc>
          <w:tcPr>
            <w:tcW w:w="2184" w:type="dxa"/>
            <w:vAlign w:val="center"/>
          </w:tcPr>
          <w:p>
            <w:pPr>
              <w:spacing w:before="289" w:beforeLines="50" w:after="289" w:afterLines="50"/>
              <w:jc w:val="center"/>
              <w:rPr>
                <w:color w:val="000000"/>
                <w:kern w:val="0"/>
                <w:sz w:val="24"/>
                <w:szCs w:val="20"/>
                <w:highlight w:val="none"/>
              </w:rPr>
            </w:pPr>
          </w:p>
        </w:tc>
        <w:tc>
          <w:tcPr>
            <w:tcW w:w="2328" w:type="dxa"/>
            <w:vAlign w:val="center"/>
          </w:tcPr>
          <w:p>
            <w:pPr>
              <w:spacing w:before="289" w:beforeLines="50" w:after="289" w:afterLines="50"/>
              <w:jc w:val="center"/>
              <w:rPr>
                <w:color w:val="000000"/>
                <w:kern w:val="0"/>
                <w:sz w:val="24"/>
                <w:szCs w:val="20"/>
                <w:highlight w:val="none"/>
              </w:rPr>
            </w:pPr>
          </w:p>
        </w:tc>
      </w:tr>
    </w:tbl>
    <w:p>
      <w:pPr>
        <w:spacing w:line="360" w:lineRule="auto"/>
        <w:ind w:left="2948" w:hanging="2950" w:hangingChars="1250"/>
        <w:rPr>
          <w:sz w:val="24"/>
          <w:highlight w:val="none"/>
        </w:rPr>
      </w:pPr>
    </w:p>
    <w:p>
      <w:pPr>
        <w:spacing w:line="360" w:lineRule="auto"/>
        <w:ind w:left="2948" w:hanging="2950" w:hangingChars="1250"/>
        <w:rPr>
          <w:sz w:val="24"/>
          <w:highlight w:val="none"/>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lang w:val="zh-CN"/>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lang w:val="zh-CN"/>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lang w:val="zh-CN"/>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lang w:val="zh-CN"/>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lang w:val="zh-CN"/>
        </w:rPr>
      </w:pPr>
      <w:r>
        <w:rPr>
          <w:rFonts w:hint="eastAsia" w:ascii="Calibri" w:hAnsi="Calibri" w:eastAsia="宋体"/>
          <w:bCs/>
          <w:sz w:val="24"/>
          <w:highlight w:val="none"/>
        </w:rPr>
        <w:t>信达证券股份有限公司</w:t>
      </w: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r>
        <w:rPr>
          <w:rFonts w:hint="eastAsia" w:ascii="Calibri" w:hAnsi="Calibri" w:eastAsia="宋体"/>
          <w:bCs/>
          <w:sz w:val="24"/>
          <w:highlight w:val="none"/>
        </w:rPr>
        <w:t xml:space="preserve">                                     年    月    日</w:t>
      </w: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p>
    <w:p>
      <w:pPr>
        <w:pStyle w:val="3"/>
        <w:spacing w:line="360" w:lineRule="auto"/>
        <w:ind w:firstLine="480"/>
        <w:jc w:val="center"/>
        <w:rPr>
          <w:rFonts w:ascii="黑体" w:hAnsi="黑体" w:eastAsia="黑体" w:cs="黑体"/>
          <w:b/>
          <w:szCs w:val="32"/>
          <w:highlight w:val="none"/>
        </w:rPr>
      </w:pPr>
      <w:r>
        <w:rPr>
          <w:rFonts w:hint="eastAsia" w:ascii="黑体" w:hAnsi="黑体" w:eastAsia="黑体" w:cs="黑体"/>
          <w:szCs w:val="32"/>
          <w:highlight w:val="none"/>
        </w:rPr>
        <w:t>保荐</w:t>
      </w:r>
      <w:r>
        <w:rPr>
          <w:rFonts w:hint="eastAsia" w:ascii="黑体" w:hAnsi="黑体" w:eastAsia="黑体" w:cs="黑体"/>
          <w:b/>
          <w:szCs w:val="32"/>
          <w:highlight w:val="none"/>
        </w:rPr>
        <w:t>机构总经理声明</w:t>
      </w:r>
    </w:p>
    <w:p>
      <w:pPr>
        <w:adjustRightInd w:val="0"/>
        <w:snapToGrid w:val="0"/>
        <w:spacing w:before="144" w:beforeLines="25" w:after="144" w:afterLines="25" w:line="360" w:lineRule="auto"/>
        <w:ind w:firstLine="472" w:firstLineChars="200"/>
        <w:rPr>
          <w:rFonts w:ascii="Calibri" w:hAnsi="Calibri" w:eastAsia="宋体"/>
          <w:bCs/>
          <w:sz w:val="24"/>
          <w:highlight w:val="none"/>
        </w:rPr>
      </w:pPr>
      <w:r>
        <w:rPr>
          <w:rFonts w:hint="eastAsia" w:ascii="Calibri" w:hAnsi="Calibri" w:eastAsia="宋体"/>
          <w:bCs/>
          <w:sz w:val="24"/>
          <w:highlight w:val="none"/>
        </w:rPr>
        <w:t>本人已认真阅读了《关于三友联众集团股份有限公司首次公开发行股票并在创业板上市发行注册环节反馈意见落实函的回复》</w:t>
      </w:r>
      <w:r>
        <w:rPr>
          <w:rFonts w:hint="eastAsia" w:ascii="Calibri" w:hAnsi="Calibri" w:eastAsia="宋体"/>
          <w:bCs/>
          <w:sz w:val="24"/>
        </w:rPr>
        <w:drawing>
          <wp:anchor distT="0" distB="0" distL="114300" distR="114300" simplePos="0" relativeHeight="251663360" behindDoc="0" locked="1" layoutInCell="1" allowOverlap="1">
            <wp:simplePos x="0" y="0"/>
            <wp:positionH relativeFrom="column">
              <wp:posOffset>-1008380</wp:posOffset>
            </wp:positionH>
            <wp:positionV relativeFrom="paragraph">
              <wp:posOffset>-1722755</wp:posOffset>
            </wp:positionV>
            <wp:extent cx="7519670" cy="9159240"/>
            <wp:effectExtent l="0" t="0" r="889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rcRect b="13893"/>
                    <a:stretch>
                      <a:fillRect/>
                    </a:stretch>
                  </pic:blipFill>
                  <pic:spPr>
                    <a:xfrm>
                      <a:off x="0" y="0"/>
                      <a:ext cx="7519670" cy="9159240"/>
                    </a:xfrm>
                    <a:prstGeom prst="rect">
                      <a:avLst/>
                    </a:prstGeom>
                    <a:ln>
                      <a:noFill/>
                    </a:ln>
                  </pic:spPr>
                </pic:pic>
              </a:graphicData>
            </a:graphic>
          </wp:anchor>
        </w:drawing>
      </w:r>
      <w:r>
        <w:rPr>
          <w:rFonts w:hint="eastAsia" w:ascii="Calibri" w:hAnsi="Calibri" w:eastAsia="宋体"/>
          <w:bCs/>
          <w:sz w:val="24"/>
          <w:highlight w:val="none"/>
        </w:rPr>
        <w:t>的全部内容，了解报告涉及问题的核查过程、本公司的内核和风险控制流程，确认本公司按照勤勉尽责原则履行核查程序，落实函回复报告不存在虚假记载、误导性陈述或者重大遗漏，并对上述文件的真实性、准确性、完整性承担相应法律责任。</w:t>
      </w:r>
    </w:p>
    <w:p>
      <w:pPr>
        <w:adjustRightInd w:val="0"/>
        <w:snapToGrid w:val="0"/>
        <w:spacing w:before="144" w:beforeLines="25" w:after="144" w:afterLines="25" w:line="360" w:lineRule="auto"/>
        <w:ind w:firstLine="472" w:firstLineChars="200"/>
        <w:rPr>
          <w:rFonts w:ascii="Calibri" w:hAnsi="Calibri" w:eastAsia="宋体"/>
          <w:bCs/>
          <w:sz w:val="24"/>
          <w:highlight w:val="none"/>
        </w:rPr>
      </w:pPr>
    </w:p>
    <w:p>
      <w:pPr>
        <w:pStyle w:val="3"/>
        <w:spacing w:line="360" w:lineRule="auto"/>
        <w:ind w:firstLine="480"/>
        <w:rPr>
          <w:sz w:val="24"/>
          <w:highlight w:val="none"/>
        </w:rPr>
      </w:pPr>
      <w:bookmarkStart w:id="10" w:name="_GoBack"/>
      <w:bookmarkEnd w:id="10"/>
    </w:p>
    <w:tbl>
      <w:tblPr>
        <w:tblStyle w:val="12"/>
        <w:tblW w:w="0" w:type="auto"/>
        <w:tblInd w:w="108" w:type="dxa"/>
        <w:tblLayout w:type="fixed"/>
        <w:tblCellMar>
          <w:top w:w="0" w:type="dxa"/>
          <w:left w:w="108" w:type="dxa"/>
          <w:bottom w:w="0" w:type="dxa"/>
          <w:right w:w="108" w:type="dxa"/>
        </w:tblCellMar>
      </w:tblPr>
      <w:tblGrid>
        <w:gridCol w:w="2763"/>
        <w:gridCol w:w="2766"/>
      </w:tblGrid>
      <w:tr>
        <w:tblPrEx>
          <w:tblCellMar>
            <w:top w:w="0" w:type="dxa"/>
            <w:left w:w="108" w:type="dxa"/>
            <w:bottom w:w="0" w:type="dxa"/>
            <w:right w:w="108" w:type="dxa"/>
          </w:tblCellMar>
        </w:tblPrEx>
        <w:trPr>
          <w:trHeight w:val="567" w:hRule="exact"/>
        </w:trPr>
        <w:tc>
          <w:tcPr>
            <w:tcW w:w="2763" w:type="dxa"/>
            <w:vAlign w:val="center"/>
          </w:tcPr>
          <w:p>
            <w:pPr>
              <w:adjustRightInd w:val="0"/>
              <w:snapToGrid w:val="0"/>
              <w:spacing w:before="144" w:beforeLines="25" w:after="144" w:afterLines="25" w:line="360" w:lineRule="auto"/>
              <w:ind w:firstLine="472" w:firstLineChars="200"/>
              <w:rPr>
                <w:rFonts w:ascii="Calibri" w:hAnsi="Calibri" w:eastAsia="宋体"/>
                <w:bCs/>
                <w:sz w:val="24"/>
                <w:highlight w:val="none"/>
              </w:rPr>
            </w:pPr>
            <w:r>
              <w:rPr>
                <w:rFonts w:hint="eastAsia" w:ascii="Calibri" w:hAnsi="Calibri" w:eastAsia="宋体"/>
                <w:bCs/>
                <w:sz w:val="24"/>
                <w:highlight w:val="none"/>
              </w:rPr>
              <w:t>保荐机构总经理：</w:t>
            </w:r>
          </w:p>
        </w:tc>
        <w:tc>
          <w:tcPr>
            <w:tcW w:w="2766" w:type="dxa"/>
            <w:vAlign w:val="center"/>
          </w:tcPr>
          <w:p>
            <w:pPr>
              <w:adjustRightInd w:val="0"/>
              <w:snapToGrid w:val="0"/>
              <w:spacing w:before="144" w:beforeLines="25" w:after="144" w:afterLines="25" w:line="360" w:lineRule="auto"/>
              <w:ind w:firstLine="472" w:firstLineChars="200"/>
              <w:jc w:val="center"/>
              <w:rPr>
                <w:rFonts w:ascii="Calibri" w:hAnsi="Calibri" w:eastAsia="宋体"/>
                <w:bCs/>
                <w:sz w:val="24"/>
                <w:highlight w:val="none"/>
              </w:rPr>
            </w:pPr>
            <w:r>
              <w:rPr>
                <w:rFonts w:hint="eastAsia" w:ascii="Calibri" w:hAnsi="Calibri" w:eastAsia="宋体"/>
                <w:bCs/>
                <w:sz w:val="24"/>
                <w:highlight w:val="none"/>
              </w:rPr>
              <w:t>_______________</w:t>
            </w:r>
          </w:p>
        </w:tc>
      </w:tr>
      <w:tr>
        <w:tblPrEx>
          <w:tblCellMar>
            <w:top w:w="0" w:type="dxa"/>
            <w:left w:w="108" w:type="dxa"/>
            <w:bottom w:w="0" w:type="dxa"/>
            <w:right w:w="108" w:type="dxa"/>
          </w:tblCellMar>
        </w:tblPrEx>
        <w:trPr>
          <w:trHeight w:val="567" w:hRule="exact"/>
        </w:trPr>
        <w:tc>
          <w:tcPr>
            <w:tcW w:w="2763" w:type="dxa"/>
            <w:vAlign w:val="center"/>
          </w:tcPr>
          <w:p>
            <w:pPr>
              <w:adjustRightInd w:val="0"/>
              <w:snapToGrid w:val="0"/>
              <w:spacing w:before="144" w:beforeLines="25" w:after="144" w:afterLines="25" w:line="360" w:lineRule="auto"/>
              <w:ind w:firstLine="472" w:firstLineChars="200"/>
              <w:rPr>
                <w:rFonts w:ascii="Calibri" w:hAnsi="Calibri" w:eastAsia="宋体"/>
                <w:bCs/>
                <w:sz w:val="24"/>
                <w:highlight w:val="none"/>
              </w:rPr>
            </w:pPr>
          </w:p>
        </w:tc>
        <w:tc>
          <w:tcPr>
            <w:tcW w:w="2766" w:type="dxa"/>
          </w:tcPr>
          <w:p>
            <w:pPr>
              <w:adjustRightInd w:val="0"/>
              <w:snapToGrid w:val="0"/>
              <w:spacing w:before="144" w:beforeLines="25" w:after="144" w:afterLines="25" w:line="360" w:lineRule="auto"/>
              <w:ind w:firstLine="472" w:firstLineChars="200"/>
              <w:jc w:val="center"/>
              <w:rPr>
                <w:rFonts w:ascii="Calibri" w:hAnsi="Calibri" w:eastAsia="宋体"/>
                <w:bCs/>
                <w:sz w:val="24"/>
                <w:highlight w:val="none"/>
              </w:rPr>
            </w:pPr>
            <w:r>
              <w:rPr>
                <w:rFonts w:hint="eastAsia" w:ascii="Calibri" w:hAnsi="Calibri" w:eastAsia="宋体"/>
                <w:bCs/>
                <w:sz w:val="24"/>
                <w:highlight w:val="none"/>
              </w:rPr>
              <w:t>祝瑞敏</w:t>
            </w:r>
          </w:p>
        </w:tc>
      </w:tr>
      <w:tr>
        <w:tblPrEx>
          <w:tblCellMar>
            <w:top w:w="0" w:type="dxa"/>
            <w:left w:w="108" w:type="dxa"/>
            <w:bottom w:w="0" w:type="dxa"/>
            <w:right w:w="108" w:type="dxa"/>
          </w:tblCellMar>
        </w:tblPrEx>
        <w:trPr>
          <w:trHeight w:val="567" w:hRule="exact"/>
        </w:trPr>
        <w:tc>
          <w:tcPr>
            <w:tcW w:w="2763" w:type="dxa"/>
            <w:vAlign w:val="center"/>
          </w:tcPr>
          <w:p>
            <w:pPr>
              <w:adjustRightInd w:val="0"/>
              <w:snapToGrid w:val="0"/>
              <w:spacing w:before="144" w:beforeLines="25" w:after="144" w:afterLines="25" w:line="360" w:lineRule="auto"/>
              <w:ind w:firstLine="472" w:firstLineChars="200"/>
              <w:rPr>
                <w:rFonts w:ascii="Calibri" w:hAnsi="Calibri" w:eastAsia="宋体"/>
                <w:bCs/>
                <w:sz w:val="24"/>
                <w:highlight w:val="none"/>
              </w:rPr>
            </w:pPr>
          </w:p>
        </w:tc>
        <w:tc>
          <w:tcPr>
            <w:tcW w:w="2766" w:type="dxa"/>
          </w:tcPr>
          <w:p>
            <w:pPr>
              <w:adjustRightInd w:val="0"/>
              <w:snapToGrid w:val="0"/>
              <w:spacing w:before="144" w:beforeLines="25" w:after="144" w:afterLines="25" w:line="360" w:lineRule="auto"/>
              <w:ind w:firstLine="472" w:firstLineChars="200"/>
              <w:rPr>
                <w:rFonts w:ascii="Calibri" w:hAnsi="Calibri" w:eastAsia="宋体"/>
                <w:bCs/>
                <w:sz w:val="24"/>
                <w:highlight w:val="none"/>
              </w:rPr>
            </w:pPr>
          </w:p>
        </w:tc>
      </w:tr>
      <w:tr>
        <w:tblPrEx>
          <w:tblCellMar>
            <w:top w:w="0" w:type="dxa"/>
            <w:left w:w="108" w:type="dxa"/>
            <w:bottom w:w="0" w:type="dxa"/>
            <w:right w:w="108" w:type="dxa"/>
          </w:tblCellMar>
        </w:tblPrEx>
        <w:trPr>
          <w:trHeight w:val="567" w:hRule="exact"/>
        </w:trPr>
        <w:tc>
          <w:tcPr>
            <w:tcW w:w="2763" w:type="dxa"/>
            <w:vAlign w:val="center"/>
          </w:tcPr>
          <w:p>
            <w:pPr>
              <w:adjustRightInd w:val="0"/>
              <w:snapToGrid w:val="0"/>
              <w:spacing w:before="144" w:beforeLines="25" w:after="144" w:afterLines="25" w:line="360" w:lineRule="auto"/>
              <w:ind w:firstLine="472" w:firstLineChars="200"/>
              <w:rPr>
                <w:rFonts w:ascii="Calibri" w:hAnsi="Calibri" w:eastAsia="宋体"/>
                <w:bCs/>
                <w:sz w:val="24"/>
                <w:highlight w:val="none"/>
              </w:rPr>
            </w:pPr>
          </w:p>
        </w:tc>
        <w:tc>
          <w:tcPr>
            <w:tcW w:w="2766" w:type="dxa"/>
            <w:vAlign w:val="center"/>
          </w:tcPr>
          <w:p>
            <w:pPr>
              <w:adjustRightInd w:val="0"/>
              <w:snapToGrid w:val="0"/>
              <w:spacing w:before="144" w:beforeLines="25" w:after="144" w:afterLines="25" w:line="360" w:lineRule="auto"/>
              <w:ind w:firstLine="472" w:firstLineChars="200"/>
              <w:rPr>
                <w:rFonts w:ascii="Calibri" w:hAnsi="Calibri" w:eastAsia="宋体"/>
                <w:bCs/>
                <w:sz w:val="24"/>
                <w:highlight w:val="none"/>
              </w:rPr>
            </w:pPr>
          </w:p>
        </w:tc>
      </w:tr>
    </w:tbl>
    <w:p>
      <w:pPr>
        <w:pStyle w:val="3"/>
        <w:spacing w:line="360" w:lineRule="auto"/>
        <w:ind w:firstLine="480"/>
        <w:rPr>
          <w:bCs/>
          <w:sz w:val="24"/>
          <w:highlight w:val="none"/>
        </w:rPr>
      </w:pPr>
    </w:p>
    <w:p>
      <w:pPr>
        <w:pStyle w:val="3"/>
        <w:spacing w:line="360" w:lineRule="auto"/>
        <w:ind w:firstLine="480"/>
        <w:rPr>
          <w:bCs/>
          <w:sz w:val="24"/>
          <w:highlight w:val="none"/>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r>
        <w:rPr>
          <w:rFonts w:hint="eastAsia" w:ascii="Calibri" w:hAnsi="Calibri" w:eastAsia="宋体"/>
          <w:bCs/>
          <w:sz w:val="24"/>
          <w:highlight w:val="none"/>
        </w:rPr>
        <w:t>信达证券股份有限公司</w:t>
      </w: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r>
        <w:rPr>
          <w:rFonts w:hint="eastAsia" w:ascii="Calibri" w:hAnsi="Calibri" w:eastAsia="宋体"/>
          <w:bCs/>
          <w:sz w:val="24"/>
          <w:highlight w:val="none"/>
        </w:rPr>
        <w:t>年    月    日</w:t>
      </w: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p>
    <w:p>
      <w:pPr>
        <w:adjustRightInd w:val="0"/>
        <w:snapToGrid w:val="0"/>
        <w:spacing w:before="144" w:beforeLines="25" w:after="144" w:afterLines="25" w:line="360" w:lineRule="auto"/>
        <w:ind w:firstLine="472" w:firstLineChars="200"/>
        <w:jc w:val="right"/>
        <w:rPr>
          <w:rFonts w:ascii="Calibri" w:hAnsi="Calibri" w:eastAsia="宋体"/>
          <w:bCs/>
          <w:sz w:val="24"/>
          <w:highlight w:val="none"/>
        </w:rPr>
      </w:pPr>
    </w:p>
    <w:p>
      <w:pPr>
        <w:adjustRightInd w:val="0"/>
        <w:snapToGrid w:val="0"/>
        <w:spacing w:before="144" w:beforeLines="25" w:after="144" w:afterLines="25" w:line="360" w:lineRule="auto"/>
        <w:ind w:firstLine="472" w:firstLineChars="200"/>
        <w:rPr>
          <w:rFonts w:ascii="Calibri" w:hAnsi="Calibri" w:eastAsia="宋体"/>
          <w:bCs/>
          <w:sz w:val="24"/>
          <w:highlight w:val="none"/>
        </w:rPr>
      </w:pPr>
    </w:p>
    <w:sectPr>
      <w:footerReference r:id="rId4" w:type="default"/>
      <w:pgSz w:w="11906" w:h="16838"/>
      <w:pgMar w:top="1701" w:right="1474" w:bottom="1418" w:left="1588" w:header="0"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296254"/>
    </w:sdtPr>
    <w:sdtContent>
      <w:p>
        <w:pPr>
          <w:pStyle w:val="6"/>
          <w:jc w:val="center"/>
        </w:pPr>
        <w:r>
          <w:rPr>
            <w:rFonts w:ascii="Times New Roman" w:hAnsi="Times New Roman" w:cs="Times New Roman"/>
            <w:sz w:val="21"/>
            <w:szCs w:val="21"/>
          </w:rPr>
          <w:t>1-</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rPr>
          <w:rFonts w:eastAsia="宋体"/>
        </w:rPr>
      </w:pPr>
      <w:r>
        <w:rPr>
          <w:rStyle w:val="17"/>
          <w:rFonts w:eastAsia="宋体"/>
        </w:rPr>
        <w:footnoteRef/>
      </w:r>
      <w:r>
        <w:rPr>
          <w:rFonts w:eastAsia="宋体"/>
        </w:rPr>
        <w:t xml:space="preserve"> Lakhs为印度卢比计量单位，1Lakhs为十万印度卢比</w:t>
      </w:r>
      <w:r>
        <w:rPr>
          <w:rFonts w:hint="eastAsia" w:eastAsia="宋体"/>
        </w:rPr>
        <w:t>，约为9千元人民币。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46"/>
    <w:rsid w:val="000007E8"/>
    <w:rsid w:val="000134E8"/>
    <w:rsid w:val="00021E2B"/>
    <w:rsid w:val="00027E0C"/>
    <w:rsid w:val="00030D57"/>
    <w:rsid w:val="00034201"/>
    <w:rsid w:val="0004090B"/>
    <w:rsid w:val="00047620"/>
    <w:rsid w:val="000614A2"/>
    <w:rsid w:val="00061BA9"/>
    <w:rsid w:val="00061EE3"/>
    <w:rsid w:val="0006528D"/>
    <w:rsid w:val="00066E8B"/>
    <w:rsid w:val="00085F3A"/>
    <w:rsid w:val="00092DEF"/>
    <w:rsid w:val="0009763A"/>
    <w:rsid w:val="000C46B9"/>
    <w:rsid w:val="000C708A"/>
    <w:rsid w:val="000D7C96"/>
    <w:rsid w:val="000E2777"/>
    <w:rsid w:val="000F4FD8"/>
    <w:rsid w:val="000F797E"/>
    <w:rsid w:val="00102E0D"/>
    <w:rsid w:val="00104B6E"/>
    <w:rsid w:val="0013340B"/>
    <w:rsid w:val="00136807"/>
    <w:rsid w:val="00137DCF"/>
    <w:rsid w:val="00140F78"/>
    <w:rsid w:val="0014307B"/>
    <w:rsid w:val="001436C5"/>
    <w:rsid w:val="00143A37"/>
    <w:rsid w:val="0017261E"/>
    <w:rsid w:val="00177E2C"/>
    <w:rsid w:val="001821A6"/>
    <w:rsid w:val="00184A64"/>
    <w:rsid w:val="00185CAD"/>
    <w:rsid w:val="00192514"/>
    <w:rsid w:val="00195A0C"/>
    <w:rsid w:val="001A1A6D"/>
    <w:rsid w:val="001A61D4"/>
    <w:rsid w:val="001A6E4C"/>
    <w:rsid w:val="001B4916"/>
    <w:rsid w:val="001B6BDD"/>
    <w:rsid w:val="001C3823"/>
    <w:rsid w:val="001C7EF8"/>
    <w:rsid w:val="001D3D67"/>
    <w:rsid w:val="001D4915"/>
    <w:rsid w:val="001F5120"/>
    <w:rsid w:val="001F605E"/>
    <w:rsid w:val="0020271C"/>
    <w:rsid w:val="0020392E"/>
    <w:rsid w:val="0020397E"/>
    <w:rsid w:val="00212496"/>
    <w:rsid w:val="0021720B"/>
    <w:rsid w:val="00225413"/>
    <w:rsid w:val="0026019F"/>
    <w:rsid w:val="00272D27"/>
    <w:rsid w:val="00274C6E"/>
    <w:rsid w:val="00285570"/>
    <w:rsid w:val="00286AAC"/>
    <w:rsid w:val="00293D85"/>
    <w:rsid w:val="00293DB4"/>
    <w:rsid w:val="002947F6"/>
    <w:rsid w:val="0029511B"/>
    <w:rsid w:val="00297C85"/>
    <w:rsid w:val="002A178F"/>
    <w:rsid w:val="002A4AB0"/>
    <w:rsid w:val="002B1632"/>
    <w:rsid w:val="002C756F"/>
    <w:rsid w:val="002D185B"/>
    <w:rsid w:val="002D569D"/>
    <w:rsid w:val="002F0D91"/>
    <w:rsid w:val="003029BA"/>
    <w:rsid w:val="0030314F"/>
    <w:rsid w:val="003061E4"/>
    <w:rsid w:val="00313EBB"/>
    <w:rsid w:val="0031458B"/>
    <w:rsid w:val="00354407"/>
    <w:rsid w:val="00362B78"/>
    <w:rsid w:val="00367C71"/>
    <w:rsid w:val="00394023"/>
    <w:rsid w:val="003C0CC5"/>
    <w:rsid w:val="003E17B8"/>
    <w:rsid w:val="00403D89"/>
    <w:rsid w:val="0044058E"/>
    <w:rsid w:val="00444C6D"/>
    <w:rsid w:val="00444D9B"/>
    <w:rsid w:val="0044622B"/>
    <w:rsid w:val="004524FD"/>
    <w:rsid w:val="0047151D"/>
    <w:rsid w:val="004744D7"/>
    <w:rsid w:val="00480291"/>
    <w:rsid w:val="00486B91"/>
    <w:rsid w:val="00487E1E"/>
    <w:rsid w:val="00494F84"/>
    <w:rsid w:val="004A5879"/>
    <w:rsid w:val="004B54EB"/>
    <w:rsid w:val="004D26D2"/>
    <w:rsid w:val="004D39E1"/>
    <w:rsid w:val="004E1523"/>
    <w:rsid w:val="004F11C7"/>
    <w:rsid w:val="004F3B90"/>
    <w:rsid w:val="004F6BD4"/>
    <w:rsid w:val="00502981"/>
    <w:rsid w:val="0051323E"/>
    <w:rsid w:val="005209F1"/>
    <w:rsid w:val="00523117"/>
    <w:rsid w:val="00527D58"/>
    <w:rsid w:val="005402CE"/>
    <w:rsid w:val="00543CF9"/>
    <w:rsid w:val="00547793"/>
    <w:rsid w:val="00572BAD"/>
    <w:rsid w:val="00574639"/>
    <w:rsid w:val="00575A2F"/>
    <w:rsid w:val="00576F56"/>
    <w:rsid w:val="00582258"/>
    <w:rsid w:val="00585951"/>
    <w:rsid w:val="00590489"/>
    <w:rsid w:val="005940DE"/>
    <w:rsid w:val="00594217"/>
    <w:rsid w:val="005B6BD5"/>
    <w:rsid w:val="005E33CF"/>
    <w:rsid w:val="005E4CEA"/>
    <w:rsid w:val="00607EFB"/>
    <w:rsid w:val="00610296"/>
    <w:rsid w:val="006369B1"/>
    <w:rsid w:val="00651682"/>
    <w:rsid w:val="00653923"/>
    <w:rsid w:val="006544A0"/>
    <w:rsid w:val="00655CB0"/>
    <w:rsid w:val="00660D46"/>
    <w:rsid w:val="0066201B"/>
    <w:rsid w:val="006812CC"/>
    <w:rsid w:val="0068572B"/>
    <w:rsid w:val="006941F9"/>
    <w:rsid w:val="006B36C5"/>
    <w:rsid w:val="006C1A2D"/>
    <w:rsid w:val="006E2D03"/>
    <w:rsid w:val="006E3B0A"/>
    <w:rsid w:val="006E7E1B"/>
    <w:rsid w:val="006F1A23"/>
    <w:rsid w:val="006F54BF"/>
    <w:rsid w:val="00706C51"/>
    <w:rsid w:val="00710778"/>
    <w:rsid w:val="007110A3"/>
    <w:rsid w:val="00717512"/>
    <w:rsid w:val="00730EDE"/>
    <w:rsid w:val="007521BF"/>
    <w:rsid w:val="00752C7D"/>
    <w:rsid w:val="0075714A"/>
    <w:rsid w:val="00785080"/>
    <w:rsid w:val="007864F5"/>
    <w:rsid w:val="007B028E"/>
    <w:rsid w:val="007B0AF1"/>
    <w:rsid w:val="007B3E8B"/>
    <w:rsid w:val="007C150C"/>
    <w:rsid w:val="007C3E4F"/>
    <w:rsid w:val="007F40D3"/>
    <w:rsid w:val="008010F3"/>
    <w:rsid w:val="00827471"/>
    <w:rsid w:val="0085425A"/>
    <w:rsid w:val="00857130"/>
    <w:rsid w:val="00866C10"/>
    <w:rsid w:val="00876D99"/>
    <w:rsid w:val="00894C3D"/>
    <w:rsid w:val="008959A9"/>
    <w:rsid w:val="008B0714"/>
    <w:rsid w:val="008B469A"/>
    <w:rsid w:val="008D18E5"/>
    <w:rsid w:val="008D2749"/>
    <w:rsid w:val="008D7107"/>
    <w:rsid w:val="008E52D8"/>
    <w:rsid w:val="008E6BCC"/>
    <w:rsid w:val="008F5FDC"/>
    <w:rsid w:val="0090727E"/>
    <w:rsid w:val="00926FC6"/>
    <w:rsid w:val="009336DE"/>
    <w:rsid w:val="00943B8E"/>
    <w:rsid w:val="00946E6F"/>
    <w:rsid w:val="00950B31"/>
    <w:rsid w:val="00953A4F"/>
    <w:rsid w:val="009565ED"/>
    <w:rsid w:val="0096285A"/>
    <w:rsid w:val="00976118"/>
    <w:rsid w:val="00977007"/>
    <w:rsid w:val="00994CC6"/>
    <w:rsid w:val="009A2964"/>
    <w:rsid w:val="009A3D7E"/>
    <w:rsid w:val="009C4E64"/>
    <w:rsid w:val="009D3C8B"/>
    <w:rsid w:val="009D4261"/>
    <w:rsid w:val="009D5142"/>
    <w:rsid w:val="009D53FC"/>
    <w:rsid w:val="009D5DDA"/>
    <w:rsid w:val="009E3D66"/>
    <w:rsid w:val="009E49F9"/>
    <w:rsid w:val="009F218C"/>
    <w:rsid w:val="009F4762"/>
    <w:rsid w:val="009F544B"/>
    <w:rsid w:val="00A03641"/>
    <w:rsid w:val="00A12D73"/>
    <w:rsid w:val="00A17ED1"/>
    <w:rsid w:val="00A24A60"/>
    <w:rsid w:val="00A30B6C"/>
    <w:rsid w:val="00A30CC1"/>
    <w:rsid w:val="00A31A51"/>
    <w:rsid w:val="00A42071"/>
    <w:rsid w:val="00A42C74"/>
    <w:rsid w:val="00A47D54"/>
    <w:rsid w:val="00A56BD7"/>
    <w:rsid w:val="00A6064A"/>
    <w:rsid w:val="00A77877"/>
    <w:rsid w:val="00A867AB"/>
    <w:rsid w:val="00AA0911"/>
    <w:rsid w:val="00AC3F26"/>
    <w:rsid w:val="00AD4EE9"/>
    <w:rsid w:val="00AE2871"/>
    <w:rsid w:val="00AE5486"/>
    <w:rsid w:val="00AF5BA6"/>
    <w:rsid w:val="00B21422"/>
    <w:rsid w:val="00B2584E"/>
    <w:rsid w:val="00B27A13"/>
    <w:rsid w:val="00B27C1A"/>
    <w:rsid w:val="00B41369"/>
    <w:rsid w:val="00B43927"/>
    <w:rsid w:val="00B45463"/>
    <w:rsid w:val="00B515D4"/>
    <w:rsid w:val="00B5655B"/>
    <w:rsid w:val="00B60391"/>
    <w:rsid w:val="00B74BA7"/>
    <w:rsid w:val="00B77F3E"/>
    <w:rsid w:val="00B81D63"/>
    <w:rsid w:val="00B835E6"/>
    <w:rsid w:val="00B85EFC"/>
    <w:rsid w:val="00B87C58"/>
    <w:rsid w:val="00B92942"/>
    <w:rsid w:val="00B95E41"/>
    <w:rsid w:val="00BA40D4"/>
    <w:rsid w:val="00BA54CE"/>
    <w:rsid w:val="00BC6BCD"/>
    <w:rsid w:val="00BD591A"/>
    <w:rsid w:val="00BD6D64"/>
    <w:rsid w:val="00BE2FF2"/>
    <w:rsid w:val="00BE3B9E"/>
    <w:rsid w:val="00BE6DE2"/>
    <w:rsid w:val="00BF0201"/>
    <w:rsid w:val="00BF20D4"/>
    <w:rsid w:val="00C20CBE"/>
    <w:rsid w:val="00C31507"/>
    <w:rsid w:val="00C34AB3"/>
    <w:rsid w:val="00C34B1C"/>
    <w:rsid w:val="00C53FC1"/>
    <w:rsid w:val="00C54996"/>
    <w:rsid w:val="00C55B0D"/>
    <w:rsid w:val="00C61C95"/>
    <w:rsid w:val="00C626A4"/>
    <w:rsid w:val="00C63B60"/>
    <w:rsid w:val="00C65D39"/>
    <w:rsid w:val="00C65E5D"/>
    <w:rsid w:val="00C6742D"/>
    <w:rsid w:val="00C777C2"/>
    <w:rsid w:val="00C77E9C"/>
    <w:rsid w:val="00C824E5"/>
    <w:rsid w:val="00C83BB3"/>
    <w:rsid w:val="00C93AA2"/>
    <w:rsid w:val="00CA1CDB"/>
    <w:rsid w:val="00CA3B66"/>
    <w:rsid w:val="00CC2F03"/>
    <w:rsid w:val="00CC346F"/>
    <w:rsid w:val="00CE56ED"/>
    <w:rsid w:val="00CF123A"/>
    <w:rsid w:val="00CF24AA"/>
    <w:rsid w:val="00CF6B5C"/>
    <w:rsid w:val="00D01BFC"/>
    <w:rsid w:val="00D10146"/>
    <w:rsid w:val="00D15B52"/>
    <w:rsid w:val="00D16196"/>
    <w:rsid w:val="00D2178D"/>
    <w:rsid w:val="00D32C0F"/>
    <w:rsid w:val="00D334A6"/>
    <w:rsid w:val="00D348C0"/>
    <w:rsid w:val="00D3518E"/>
    <w:rsid w:val="00D37C2D"/>
    <w:rsid w:val="00D4462B"/>
    <w:rsid w:val="00D603C4"/>
    <w:rsid w:val="00D61951"/>
    <w:rsid w:val="00D71B3A"/>
    <w:rsid w:val="00D773A3"/>
    <w:rsid w:val="00D8174F"/>
    <w:rsid w:val="00D81F59"/>
    <w:rsid w:val="00D97F5C"/>
    <w:rsid w:val="00DA0000"/>
    <w:rsid w:val="00DA4BCE"/>
    <w:rsid w:val="00DB79E5"/>
    <w:rsid w:val="00DC19B2"/>
    <w:rsid w:val="00DD3037"/>
    <w:rsid w:val="00DE59F3"/>
    <w:rsid w:val="00DE6F3A"/>
    <w:rsid w:val="00DF30BE"/>
    <w:rsid w:val="00E07673"/>
    <w:rsid w:val="00E10448"/>
    <w:rsid w:val="00E15444"/>
    <w:rsid w:val="00E21F45"/>
    <w:rsid w:val="00E35F53"/>
    <w:rsid w:val="00E37543"/>
    <w:rsid w:val="00E562AB"/>
    <w:rsid w:val="00E57066"/>
    <w:rsid w:val="00E661F2"/>
    <w:rsid w:val="00E7748D"/>
    <w:rsid w:val="00E86278"/>
    <w:rsid w:val="00E87540"/>
    <w:rsid w:val="00E938E1"/>
    <w:rsid w:val="00E952E5"/>
    <w:rsid w:val="00EA414B"/>
    <w:rsid w:val="00EC0ACE"/>
    <w:rsid w:val="00EC7783"/>
    <w:rsid w:val="00ED674B"/>
    <w:rsid w:val="00F0352A"/>
    <w:rsid w:val="00F36408"/>
    <w:rsid w:val="00F5386F"/>
    <w:rsid w:val="00F75CD8"/>
    <w:rsid w:val="00F76C8C"/>
    <w:rsid w:val="00F823D6"/>
    <w:rsid w:val="00F824BC"/>
    <w:rsid w:val="00F95732"/>
    <w:rsid w:val="00FA5BBB"/>
    <w:rsid w:val="00FC3A2B"/>
    <w:rsid w:val="00FC5D81"/>
    <w:rsid w:val="00FD0D2E"/>
    <w:rsid w:val="00FD540C"/>
    <w:rsid w:val="00FE051C"/>
    <w:rsid w:val="00FE1AD7"/>
    <w:rsid w:val="00FF60B9"/>
    <w:rsid w:val="00FF67A9"/>
    <w:rsid w:val="02390168"/>
    <w:rsid w:val="02A95152"/>
    <w:rsid w:val="0631496A"/>
    <w:rsid w:val="07782E08"/>
    <w:rsid w:val="07E66389"/>
    <w:rsid w:val="08D26BBE"/>
    <w:rsid w:val="0A17655E"/>
    <w:rsid w:val="0BF35123"/>
    <w:rsid w:val="0CB878FA"/>
    <w:rsid w:val="0D0529B3"/>
    <w:rsid w:val="0F7F5CCC"/>
    <w:rsid w:val="10CF7679"/>
    <w:rsid w:val="10D60E10"/>
    <w:rsid w:val="1333155F"/>
    <w:rsid w:val="149E32B5"/>
    <w:rsid w:val="14EC2124"/>
    <w:rsid w:val="1531311C"/>
    <w:rsid w:val="17305332"/>
    <w:rsid w:val="17C822F0"/>
    <w:rsid w:val="195B2CC3"/>
    <w:rsid w:val="1A0F7F84"/>
    <w:rsid w:val="1A442096"/>
    <w:rsid w:val="1A6A11C9"/>
    <w:rsid w:val="1C232866"/>
    <w:rsid w:val="1F36139C"/>
    <w:rsid w:val="1F712F40"/>
    <w:rsid w:val="20EB0ABD"/>
    <w:rsid w:val="225A0F01"/>
    <w:rsid w:val="225A49AA"/>
    <w:rsid w:val="23A77D18"/>
    <w:rsid w:val="24946530"/>
    <w:rsid w:val="252678D6"/>
    <w:rsid w:val="2541509E"/>
    <w:rsid w:val="28DC6AF4"/>
    <w:rsid w:val="296B70B2"/>
    <w:rsid w:val="29A83B81"/>
    <w:rsid w:val="2AFF6597"/>
    <w:rsid w:val="2B02475A"/>
    <w:rsid w:val="2BAD666A"/>
    <w:rsid w:val="2D8F0AA2"/>
    <w:rsid w:val="2DFB319A"/>
    <w:rsid w:val="2E4D2711"/>
    <w:rsid w:val="3039751F"/>
    <w:rsid w:val="317560FA"/>
    <w:rsid w:val="318C56E1"/>
    <w:rsid w:val="31EF1345"/>
    <w:rsid w:val="33636DDB"/>
    <w:rsid w:val="38726095"/>
    <w:rsid w:val="38B71C48"/>
    <w:rsid w:val="39B25ECD"/>
    <w:rsid w:val="3A667873"/>
    <w:rsid w:val="3AA31CA9"/>
    <w:rsid w:val="3AEC5479"/>
    <w:rsid w:val="3B3541E2"/>
    <w:rsid w:val="3B3F11A2"/>
    <w:rsid w:val="3B58397D"/>
    <w:rsid w:val="3C272837"/>
    <w:rsid w:val="3C4762D1"/>
    <w:rsid w:val="3ECD02CC"/>
    <w:rsid w:val="425752D0"/>
    <w:rsid w:val="4297107A"/>
    <w:rsid w:val="4463724B"/>
    <w:rsid w:val="48314341"/>
    <w:rsid w:val="4A2D5AD8"/>
    <w:rsid w:val="4E5B3ECA"/>
    <w:rsid w:val="5240187A"/>
    <w:rsid w:val="52E40B69"/>
    <w:rsid w:val="53F103C4"/>
    <w:rsid w:val="556930DB"/>
    <w:rsid w:val="56DC0BCB"/>
    <w:rsid w:val="57D635B9"/>
    <w:rsid w:val="58E06C98"/>
    <w:rsid w:val="5ABF3C1C"/>
    <w:rsid w:val="5BF927F3"/>
    <w:rsid w:val="5DB53E52"/>
    <w:rsid w:val="5DE37A46"/>
    <w:rsid w:val="5E443ED8"/>
    <w:rsid w:val="5EA31E9B"/>
    <w:rsid w:val="5F744926"/>
    <w:rsid w:val="5FC05C60"/>
    <w:rsid w:val="60450F40"/>
    <w:rsid w:val="6166767C"/>
    <w:rsid w:val="624B2390"/>
    <w:rsid w:val="62CD4898"/>
    <w:rsid w:val="637D2F0E"/>
    <w:rsid w:val="67AF5BB9"/>
    <w:rsid w:val="68570E8C"/>
    <w:rsid w:val="6ADA415F"/>
    <w:rsid w:val="6D8E104D"/>
    <w:rsid w:val="709B3560"/>
    <w:rsid w:val="726B1D7E"/>
    <w:rsid w:val="73F35E2F"/>
    <w:rsid w:val="74BD0214"/>
    <w:rsid w:val="756B3F6B"/>
    <w:rsid w:val="76DB518E"/>
    <w:rsid w:val="79400DD2"/>
    <w:rsid w:val="7E2607ED"/>
    <w:rsid w:val="7EC3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99"/>
    <w:pPr>
      <w:jc w:val="left"/>
    </w:pPr>
  </w:style>
  <w:style w:type="paragraph" w:styleId="3">
    <w:name w:val="Body Text"/>
    <w:basedOn w:val="1"/>
    <w:unhideWhenUsed/>
    <w:qFormat/>
    <w:uiPriority w:val="99"/>
    <w:pPr>
      <w:spacing w:after="120"/>
    </w:pPr>
  </w:style>
  <w:style w:type="paragraph" w:styleId="4">
    <w:name w:val="Plain Text"/>
    <w:basedOn w:val="1"/>
    <w:qFormat/>
    <w:uiPriority w:val="99"/>
    <w:pPr>
      <w:adjustRightInd w:val="0"/>
      <w:spacing w:after="120" w:line="300" w:lineRule="auto"/>
      <w:jc w:val="left"/>
      <w:textAlignment w:val="baseline"/>
    </w:pPr>
    <w:rPr>
      <w:rFonts w:ascii="Courier New" w:hAnsi="Courier New"/>
      <w:kern w:val="0"/>
    </w:rPr>
  </w:style>
  <w:style w:type="paragraph" w:styleId="5">
    <w:name w:val="Balloon Text"/>
    <w:basedOn w:val="1"/>
    <w:link w:val="18"/>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unhideWhenUsed/>
    <w:qFormat/>
    <w:uiPriority w:val="39"/>
    <w:pPr>
      <w:spacing w:line="360" w:lineRule="auto"/>
    </w:pPr>
    <w:rPr>
      <w:rFonts w:eastAsia="Times New Roman"/>
      <w:sz w:val="24"/>
    </w:rPr>
  </w:style>
  <w:style w:type="paragraph" w:styleId="9">
    <w:name w:val="Subtitle"/>
    <w:basedOn w:val="1"/>
    <w:next w:val="1"/>
    <w:qFormat/>
    <w:uiPriority w:val="11"/>
    <w:pPr>
      <w:spacing w:line="360" w:lineRule="auto"/>
      <w:ind w:firstLine="200" w:firstLineChars="200"/>
      <w:outlineLvl w:val="1"/>
    </w:pPr>
    <w:rPr>
      <w:rFonts w:ascii="黑体" w:hAnsi="宋体" w:eastAsia="黑体"/>
      <w:b/>
      <w:sz w:val="24"/>
      <w:szCs w:val="22"/>
    </w:rPr>
  </w:style>
  <w:style w:type="paragraph" w:styleId="10">
    <w:name w:val="footnote text"/>
    <w:basedOn w:val="1"/>
    <w:semiHidden/>
    <w:unhideWhenUsed/>
    <w:qFormat/>
    <w:uiPriority w:val="99"/>
    <w:pPr>
      <w:snapToGrid w:val="0"/>
      <w:jc w:val="left"/>
    </w:pPr>
    <w:rPr>
      <w:sz w:val="18"/>
      <w:szCs w:val="18"/>
    </w:rPr>
  </w:style>
  <w:style w:type="paragraph" w:styleId="11">
    <w:name w:val="annotation subject"/>
    <w:basedOn w:val="2"/>
    <w:next w:val="2"/>
    <w:link w:val="23"/>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qFormat/>
    <w:uiPriority w:val="99"/>
    <w:rPr>
      <w:sz w:val="21"/>
      <w:szCs w:val="21"/>
    </w:rPr>
  </w:style>
  <w:style w:type="character" w:styleId="17">
    <w:name w:val="footnote reference"/>
    <w:basedOn w:val="14"/>
    <w:semiHidden/>
    <w:unhideWhenUsed/>
    <w:qFormat/>
    <w:uiPriority w:val="99"/>
    <w:rPr>
      <w:vertAlign w:val="superscript"/>
    </w:rPr>
  </w:style>
  <w:style w:type="character" w:customStyle="1" w:styleId="18">
    <w:name w:val="批注框文本 Char"/>
    <w:basedOn w:val="14"/>
    <w:link w:val="5"/>
    <w:semiHidden/>
    <w:qFormat/>
    <w:uiPriority w:val="99"/>
    <w:rPr>
      <w:sz w:val="18"/>
      <w:szCs w:val="18"/>
    </w:rPr>
  </w:style>
  <w:style w:type="character" w:customStyle="1" w:styleId="19">
    <w:name w:val="页眉 Char"/>
    <w:basedOn w:val="14"/>
    <w:link w:val="7"/>
    <w:qFormat/>
    <w:uiPriority w:val="99"/>
    <w:rPr>
      <w:sz w:val="18"/>
      <w:szCs w:val="18"/>
    </w:rPr>
  </w:style>
  <w:style w:type="character" w:customStyle="1" w:styleId="20">
    <w:name w:val="页脚 Char"/>
    <w:basedOn w:val="14"/>
    <w:link w:val="6"/>
    <w:qFormat/>
    <w:uiPriority w:val="99"/>
    <w:rPr>
      <w:sz w:val="18"/>
      <w:szCs w:val="18"/>
    </w:rPr>
  </w:style>
  <w:style w:type="character" w:customStyle="1" w:styleId="21">
    <w:name w:val="批注文字 Char"/>
    <w:basedOn w:val="14"/>
    <w:link w:val="2"/>
    <w:qFormat/>
    <w:uiPriority w:val="99"/>
    <w:rPr>
      <w:rFonts w:ascii="Times New Roman" w:hAnsi="Times New Roman" w:eastAsia="仿宋" w:cs="Times New Roman"/>
      <w:sz w:val="32"/>
      <w:szCs w:val="24"/>
    </w:rPr>
  </w:style>
  <w:style w:type="character" w:styleId="22">
    <w:name w:val="Placeholder Text"/>
    <w:basedOn w:val="14"/>
    <w:semiHidden/>
    <w:qFormat/>
    <w:uiPriority w:val="99"/>
    <w:rPr>
      <w:color w:val="808080"/>
    </w:rPr>
  </w:style>
  <w:style w:type="character" w:customStyle="1" w:styleId="23">
    <w:name w:val="批注主题 Char"/>
    <w:basedOn w:val="21"/>
    <w:link w:val="11"/>
    <w:semiHidden/>
    <w:qFormat/>
    <w:uiPriority w:val="99"/>
    <w:rPr>
      <w:rFonts w:ascii="Times New Roman" w:hAnsi="Times New Roman" w:eastAsia="仿宋" w:cs="Times New Roman"/>
      <w:b/>
      <w:bCs/>
      <w:sz w:val="32"/>
      <w:szCs w:val="24"/>
    </w:rPr>
  </w:style>
  <w:style w:type="character" w:customStyle="1" w:styleId="24">
    <w:name w:val="样式 (西文) 宋体 小四"/>
    <w:qFormat/>
    <w:uiPriority w:val="0"/>
    <w:rPr>
      <w:rFonts w:ascii="Times New Roman" w:hAnsi="Times New Roman"/>
      <w:sz w:val="24"/>
    </w:rPr>
  </w:style>
  <w:style w:type="paragraph" w:customStyle="1" w:styleId="25">
    <w:name w:val="样式 小四 行距: 1.5 倍行距 首行缩进:  2 字符"/>
    <w:basedOn w:val="1"/>
    <w:qFormat/>
    <w:uiPriority w:val="0"/>
    <w:pPr>
      <w:spacing w:line="360" w:lineRule="auto"/>
      <w:ind w:firstLine="480" w:firstLineChars="200"/>
    </w:pPr>
    <w:rPr>
      <w:rFonts w:eastAsia="宋体" w:cs="宋体"/>
      <w:sz w:val="24"/>
      <w:szCs w:val="20"/>
    </w:rPr>
  </w:style>
  <w:style w:type="paragraph" w:customStyle="1" w:styleId="26">
    <w:name w:val="002"/>
    <w:basedOn w:val="1"/>
    <w:qFormat/>
    <w:uiPriority w:val="0"/>
    <w:pPr>
      <w:spacing w:before="50" w:beforeLines="50" w:after="50" w:afterLines="50" w:line="360" w:lineRule="auto"/>
      <w:ind w:firstLine="200" w:firstLineChars="200"/>
      <w:outlineLvl w:val="1"/>
    </w:pPr>
    <w:rPr>
      <w:rFonts w:eastAsia="黑体"/>
      <w:b/>
      <w:sz w:val="24"/>
    </w:rPr>
  </w:style>
  <w:style w:type="paragraph" w:styleId="27">
    <w:name w:val="No Spacing"/>
    <w:qFormat/>
    <w:uiPriority w:val="1"/>
    <w:pPr>
      <w:widowControl w:val="0"/>
      <w:suppressAutoHyphens/>
      <w:jc w:val="both"/>
    </w:pPr>
    <w:rPr>
      <w:rFonts w:ascii="Times New Roman" w:hAnsi="Times New Roman" w:eastAsia="宋体" w:cs="Times New Roman"/>
      <w:kern w:val="1"/>
      <w:sz w:val="21"/>
      <w:szCs w:val="24"/>
      <w:lang w:val="en-US" w:eastAsia="ar-SA" w:bidi="ar-SA"/>
    </w:rPr>
  </w:style>
  <w:style w:type="character" w:customStyle="1" w:styleId="28">
    <w:name w:val="font41"/>
    <w:basedOn w:val="14"/>
    <w:qFormat/>
    <w:uiPriority w:val="0"/>
    <w:rPr>
      <w:rFonts w:hint="default" w:ascii="Times New Roman" w:hAnsi="Times New Roman" w:cs="Times New Roman"/>
      <w:b/>
      <w:color w:val="000000"/>
      <w:sz w:val="21"/>
      <w:szCs w:val="21"/>
      <w:u w:val="none"/>
    </w:rPr>
  </w:style>
  <w:style w:type="character" w:customStyle="1" w:styleId="29">
    <w:name w:val="font11"/>
    <w:basedOn w:val="14"/>
    <w:qFormat/>
    <w:uiPriority w:val="0"/>
    <w:rPr>
      <w:rFonts w:hint="eastAsia" w:ascii="宋体" w:hAnsi="宋体" w:eastAsia="宋体" w:cs="宋体"/>
      <w:color w:val="000000"/>
      <w:sz w:val="21"/>
      <w:szCs w:val="21"/>
      <w:u w:val="none"/>
    </w:rPr>
  </w:style>
  <w:style w:type="character" w:customStyle="1" w:styleId="30">
    <w:name w:val="font31"/>
    <w:basedOn w:val="14"/>
    <w:qFormat/>
    <w:uiPriority w:val="0"/>
    <w:rPr>
      <w:rFonts w:hint="default" w:ascii="Times New Roman" w:hAnsi="Times New Roman" w:cs="Times New Roman"/>
      <w:color w:val="000000"/>
      <w:sz w:val="21"/>
      <w:szCs w:val="21"/>
      <w:u w:val="none"/>
    </w:rPr>
  </w:style>
  <w:style w:type="character" w:customStyle="1" w:styleId="31">
    <w:name w:val="font01"/>
    <w:basedOn w:val="14"/>
    <w:qFormat/>
    <w:uiPriority w:val="0"/>
    <w:rPr>
      <w:rFonts w:hint="eastAsia" w:ascii="宋体" w:hAnsi="宋体" w:eastAsia="宋体" w:cs="宋体"/>
      <w:color w:val="000000"/>
      <w:sz w:val="22"/>
      <w:szCs w:val="22"/>
      <w:u w:val="none"/>
    </w:rPr>
  </w:style>
  <w:style w:type="character" w:customStyle="1" w:styleId="32">
    <w:name w:val="font21"/>
    <w:basedOn w:val="1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6FA50-7A1E-4499-9209-6FF4A030E264}">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4437</Words>
  <Characters>25294</Characters>
  <Lines>210</Lines>
  <Paragraphs>59</Paragraphs>
  <TotalTime>0</TotalTime>
  <ScaleCrop>false</ScaleCrop>
  <LinksUpToDate>false</LinksUpToDate>
  <CharactersWithSpaces>29672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2020-10-29T05:36:00Z</dcterms:created>
  <dc:creator>LocalAccount</dc:creator>
  <cp:lastModifiedBy>xeeboo</cp:lastModifiedBy>
  <cp:lastPrinted>2020-10-14T01:22:00Z</cp:lastPrinted>
  <dcterms:modified xsi:type="dcterms:W3CDTF">2020-11-02T12:15:43Z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