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bookmarkStart w:id="0" w:name="chaosong"/>
      <w:bookmarkEnd w:id="0"/>
      <w:r>
        <w:rPr>
          <w:rFonts w:hint="eastAsia" w:ascii="黑体" w:eastAsia="黑体" w:cs="黑体"/>
          <w:sz w:val="28"/>
          <w:szCs w:val="28"/>
          <w:lang w:val="en-US" w:eastAsia="zh-CN"/>
        </w:rPr>
        <w:t>2024年</w:t>
      </w:r>
      <w:r>
        <w:rPr>
          <w:rFonts w:hint="eastAsia" w:ascii="黑体" w:eastAsia="黑体" w:cs="黑体"/>
          <w:sz w:val="28"/>
          <w:szCs w:val="28"/>
          <w:lang w:eastAsia="zh-CN"/>
        </w:rPr>
        <w:t>超长期特别</w:t>
      </w:r>
      <w:r>
        <w:rPr>
          <w:rFonts w:hint="eastAsia" w:ascii="黑体" w:eastAsia="黑体" w:cs="黑体"/>
          <w:sz w:val="28"/>
          <w:szCs w:val="28"/>
        </w:rPr>
        <w:t>国债债权托管应急申请书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</w:rPr>
      </w:pPr>
      <w:bookmarkStart w:id="1" w:name="_GoBack"/>
      <w:bookmarkEnd w:id="1"/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480" w:firstLineChars="200"/>
        <w:textAlignment w:val="auto"/>
        <w:rPr>
          <w:rFonts w:ascii="宋体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超长期特别国债（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发行</w:t>
      </w:r>
      <w:r>
        <w:rPr>
          <w:rFonts w:hint="default" w:ascii="宋体" w:hAnsi="宋体" w:cs="宋体"/>
          <w:sz w:val="24"/>
          <w:szCs w:val="24"/>
          <w:lang w:val="en"/>
        </w:rPr>
        <w:t>/</w:t>
      </w:r>
      <w:r>
        <w:rPr>
          <w:rFonts w:hint="eastAsia" w:ascii="宋体" w:hAnsi="宋体" w:cs="宋体"/>
          <w:sz w:val="24"/>
          <w:szCs w:val="24"/>
          <w:lang w:eastAsia="zh-CN"/>
        </w:rPr>
        <w:t>第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lang w:eastAsia="zh-CN"/>
        </w:rPr>
        <w:t>次续</w:t>
      </w:r>
      <w:r>
        <w:rPr>
          <w:rFonts w:hint="eastAsia" w:ascii="宋体" w:hAnsi="宋体" w:cs="宋体"/>
          <w:sz w:val="24"/>
          <w:szCs w:val="24"/>
        </w:rPr>
        <w:t>发行</w:t>
      </w:r>
      <w:r>
        <w:rPr>
          <w:rFonts w:hint="eastAsia" w:ascii="宋体" w:hAnsi="宋体" w:eastAsia="宋体" w:cs="宋体"/>
          <w:sz w:val="24"/>
          <w:szCs w:val="24"/>
        </w:rPr>
        <w:t>债权托管应急申请书</w:t>
      </w:r>
      <w:r>
        <w:rPr>
          <w:rFonts w:hint="eastAsia" w:ascii="宋体" w:hAnsi="宋体" w:cs="宋体"/>
          <w:sz w:val="24"/>
        </w:rPr>
        <w:t>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申请日期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5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2" w:firstLineChars="30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托管机构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国债公司【要素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证券登记公司（上海）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证券登记公司（深圳）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合计【要素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4"/>
        <w:spacing w:before="62" w:beforeLines="20" w:after="0"/>
        <w:rPr>
          <w:rFonts w:hint="eastAsia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hint="eastAsia" w:eastAsia="楷体_GB2312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rFonts w:hint="eastAsia"/>
          <w:b/>
          <w:bCs/>
          <w:spacing w:val="-40"/>
          <w:sz w:val="21"/>
          <w:szCs w:val="21"/>
          <w:lang w:eastAsia="zh-CN"/>
        </w:rPr>
        <w:t>（</w:t>
      </w:r>
      <w:r>
        <w:rPr>
          <w:b/>
          <w:bCs/>
          <w:spacing w:val="-40"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pStyle w:val="4"/>
        <w:spacing w:before="62" w:beforeLines="20" w:after="0"/>
        <w:rPr>
          <w:sz w:val="21"/>
          <w:szCs w:val="21"/>
        </w:rPr>
      </w:pP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注意事项：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1、债权托管应急申请书填写须清晰，不得涂改。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2、本债权托管应急申请书进行电子密押计算时共有4项要素，其中要素1在电子密押器中已默认显示，如与债权托管应急申请书不符时，请手工修正密押器的要素1；要素2-4按债权托管应急申请书所填内容顺序输入密押器，输入内容与债权托管应急申请书填写内容必须完全一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spacing w:val="-10"/>
          <w:kern w:val="2"/>
          <w:sz w:val="24"/>
          <w:szCs w:val="24"/>
        </w:rPr>
        <w:t>招标室电话：010-63889930、9931   招标室传真：010-63889923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24"/>
          <w:szCs w:val="24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3E5A"/>
    <w:rsid w:val="0BF121EA"/>
    <w:rsid w:val="18F720B9"/>
    <w:rsid w:val="6BFF594F"/>
    <w:rsid w:val="6FFDEF51"/>
    <w:rsid w:val="73DD2EB2"/>
    <w:rsid w:val="79DB3E5A"/>
    <w:rsid w:val="7CFA6C53"/>
    <w:rsid w:val="BBF36C6E"/>
    <w:rsid w:val="EE7FCA22"/>
    <w:rsid w:val="EFB63EEA"/>
    <w:rsid w:val="FDB769C2"/>
    <w:rsid w:val="FF7CD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2022-08-27T16:13:00Z</dcterms:created>
  <dc:creator>mengze</dc:creator>
  <cp:lastModifiedBy>fengxue</cp:lastModifiedBy>
  <dcterms:modified xsi:type="dcterms:W3CDTF">2024-05-15T17:13:36Z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