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宋体" w:eastAsia="黑体"/>
          <w:b/>
          <w:sz w:val="30"/>
          <w:szCs w:val="30"/>
          <w:highlight w:val="none"/>
        </w:rPr>
      </w:pPr>
      <w:r>
        <w:rPr>
          <w:rFonts w:hint="eastAsia" w:ascii="黑体" w:eastAsia="黑体"/>
          <w:kern w:val="0"/>
          <w:sz w:val="32"/>
          <w:szCs w:val="32"/>
          <w:highlight w:val="none"/>
        </w:rPr>
        <w:t>附件3</w:t>
      </w:r>
    </w:p>
    <w:p>
      <w:pPr>
        <w:spacing w:line="360" w:lineRule="auto"/>
        <w:jc w:val="center"/>
        <w:rPr>
          <w:rFonts w:ascii="华文中宋" w:hAnsi="华文中宋" w:eastAsia="华文中宋"/>
          <w:b/>
          <w:sz w:val="32"/>
          <w:szCs w:val="32"/>
          <w:highlight w:val="none"/>
        </w:rPr>
      </w:pPr>
    </w:p>
    <w:p>
      <w:pPr>
        <w:spacing w:line="360" w:lineRule="auto"/>
        <w:jc w:val="center"/>
        <w:rPr>
          <w:rFonts w:ascii="华文中宋" w:hAnsi="华文中宋" w:eastAsia="华文中宋"/>
          <w:b/>
          <w:sz w:val="32"/>
          <w:szCs w:val="32"/>
          <w:highlight w:val="none"/>
        </w:rPr>
      </w:pPr>
    </w:p>
    <w:p>
      <w:pPr>
        <w:spacing w:line="360" w:lineRule="auto"/>
        <w:jc w:val="center"/>
        <w:rPr>
          <w:rFonts w:ascii="华文中宋" w:hAnsi="华文中宋" w:eastAsia="华文中宋"/>
          <w:b/>
          <w:bCs/>
          <w:sz w:val="32"/>
          <w:szCs w:val="32"/>
          <w:highlight w:val="none"/>
        </w:rPr>
      </w:pPr>
    </w:p>
    <w:p>
      <w:pPr>
        <w:spacing w:line="360" w:lineRule="auto"/>
        <w:jc w:val="center"/>
        <w:rPr>
          <w:rFonts w:hAnsi="华文中宋" w:eastAsia="华文中宋"/>
          <w:b/>
          <w:sz w:val="48"/>
          <w:szCs w:val="48"/>
          <w:highlight w:val="none"/>
        </w:rPr>
      </w:pPr>
      <w:r>
        <w:rPr>
          <w:rFonts w:hint="eastAsia" w:ascii="华文中宋" w:hAnsi="华文中宋" w:eastAsia="华文中宋"/>
          <w:b/>
          <w:bCs/>
          <w:sz w:val="48"/>
          <w:szCs w:val="48"/>
          <w:highlight w:val="none"/>
        </w:rPr>
        <w:t>202</w:t>
      </w:r>
      <w:r>
        <w:rPr>
          <w:rFonts w:hint="eastAsia" w:ascii="华文中宋" w:hAnsi="华文中宋" w:eastAsia="华文中宋"/>
          <w:b/>
          <w:bCs/>
          <w:sz w:val="48"/>
          <w:szCs w:val="48"/>
          <w:highlight w:val="none"/>
          <w:lang w:val="en-US" w:eastAsia="zh-CN"/>
        </w:rPr>
        <w:t>4</w:t>
      </w:r>
      <w:r>
        <w:rPr>
          <w:rFonts w:hint="eastAsia" w:ascii="华文中宋" w:hAnsi="华文中宋" w:eastAsia="华文中宋"/>
          <w:b/>
          <w:bCs/>
          <w:sz w:val="48"/>
          <w:szCs w:val="48"/>
          <w:highlight w:val="none"/>
        </w:rPr>
        <w:t>—202</w:t>
      </w:r>
      <w:r>
        <w:rPr>
          <w:rFonts w:hint="eastAsia" w:ascii="华文中宋" w:hAnsi="华文中宋" w:eastAsia="华文中宋"/>
          <w:b/>
          <w:bCs/>
          <w:sz w:val="48"/>
          <w:szCs w:val="48"/>
          <w:highlight w:val="none"/>
          <w:lang w:val="en-US" w:eastAsia="zh-CN"/>
        </w:rPr>
        <w:t>6</w:t>
      </w:r>
      <w:r>
        <w:rPr>
          <w:rFonts w:hint="eastAsia" w:ascii="华文中宋" w:hAnsi="华文中宋" w:eastAsia="华文中宋"/>
          <w:b/>
          <w:bCs/>
          <w:sz w:val="48"/>
          <w:szCs w:val="48"/>
          <w:highlight w:val="none"/>
        </w:rPr>
        <w:t>年</w:t>
      </w:r>
      <w:r>
        <w:rPr>
          <w:rFonts w:hint="eastAsia" w:hAnsi="华文中宋" w:eastAsia="华文中宋"/>
          <w:b/>
          <w:sz w:val="48"/>
          <w:szCs w:val="48"/>
          <w:highlight w:val="none"/>
        </w:rPr>
        <w:t>大连</w:t>
      </w:r>
      <w:r>
        <w:rPr>
          <w:rFonts w:hAnsi="华文中宋" w:eastAsia="华文中宋"/>
          <w:b/>
          <w:sz w:val="48"/>
          <w:szCs w:val="48"/>
          <w:highlight w:val="none"/>
        </w:rPr>
        <w:t>市政府</w:t>
      </w:r>
      <w:r>
        <w:rPr>
          <w:rFonts w:hint="eastAsia" w:hAnsi="华文中宋" w:eastAsia="华文中宋"/>
          <w:b/>
          <w:sz w:val="48"/>
          <w:szCs w:val="48"/>
          <w:highlight w:val="none"/>
        </w:rPr>
        <w:t>债券</w:t>
      </w:r>
    </w:p>
    <w:p>
      <w:pPr>
        <w:spacing w:line="360" w:lineRule="auto"/>
        <w:jc w:val="center"/>
        <w:rPr>
          <w:rFonts w:hAnsi="华文中宋" w:eastAsia="华文中宋"/>
          <w:b/>
          <w:sz w:val="48"/>
          <w:szCs w:val="48"/>
          <w:highlight w:val="none"/>
        </w:rPr>
      </w:pPr>
      <w:r>
        <w:rPr>
          <w:rFonts w:hint="eastAsia" w:hAnsi="华文中宋" w:eastAsia="华文中宋"/>
          <w:b/>
          <w:sz w:val="48"/>
          <w:szCs w:val="48"/>
          <w:highlight w:val="none"/>
        </w:rPr>
        <w:t>通过</w:t>
      </w:r>
      <w:r>
        <w:rPr>
          <w:rFonts w:hint="eastAsia" w:ascii="华文中宋" w:hAnsi="华文中宋" w:eastAsia="华文中宋"/>
          <w:b/>
          <w:bCs/>
          <w:sz w:val="48"/>
          <w:szCs w:val="48"/>
          <w:highlight w:val="none"/>
        </w:rPr>
        <w:t>商业银行柜台市场发行分销协议（范本）</w:t>
      </w:r>
    </w:p>
    <w:p>
      <w:pPr>
        <w:spacing w:line="360" w:lineRule="exact"/>
        <w:jc w:val="center"/>
        <w:rPr>
          <w:rFonts w:ascii="黑体" w:hAnsi="宋体" w:eastAsia="黑体"/>
          <w:b/>
          <w:sz w:val="30"/>
          <w:szCs w:val="30"/>
          <w:highlight w:val="none"/>
        </w:rPr>
      </w:pPr>
    </w:p>
    <w:p>
      <w:pPr>
        <w:spacing w:line="360" w:lineRule="exact"/>
        <w:jc w:val="center"/>
        <w:rPr>
          <w:rFonts w:ascii="黑体" w:hAnsi="宋体" w:eastAsia="黑体"/>
          <w:b/>
          <w:sz w:val="30"/>
          <w:szCs w:val="30"/>
          <w:highlight w:val="none"/>
        </w:rPr>
      </w:pPr>
    </w:p>
    <w:p>
      <w:pPr>
        <w:spacing w:line="360" w:lineRule="exact"/>
        <w:jc w:val="center"/>
        <w:rPr>
          <w:rFonts w:ascii="黑体" w:hAnsi="宋体" w:eastAsia="黑体"/>
          <w:b/>
          <w:sz w:val="30"/>
          <w:szCs w:val="30"/>
          <w:highlight w:val="none"/>
        </w:rPr>
      </w:pPr>
    </w:p>
    <w:p>
      <w:pPr>
        <w:spacing w:line="360" w:lineRule="exact"/>
        <w:jc w:val="center"/>
        <w:rPr>
          <w:rFonts w:ascii="黑体" w:hAnsi="宋体" w:eastAsia="黑体"/>
          <w:b/>
          <w:sz w:val="30"/>
          <w:szCs w:val="30"/>
          <w:highlight w:val="none"/>
        </w:rPr>
      </w:pPr>
    </w:p>
    <w:p>
      <w:pPr>
        <w:spacing w:line="360" w:lineRule="exact"/>
        <w:jc w:val="center"/>
        <w:rPr>
          <w:rFonts w:ascii="黑体" w:hAnsi="宋体" w:eastAsia="黑体"/>
          <w:b/>
          <w:sz w:val="30"/>
          <w:szCs w:val="30"/>
          <w:highlight w:val="none"/>
        </w:rPr>
      </w:pPr>
    </w:p>
    <w:p>
      <w:pPr>
        <w:spacing w:line="360" w:lineRule="exact"/>
        <w:jc w:val="center"/>
        <w:rPr>
          <w:rFonts w:ascii="黑体" w:hAnsi="宋体" w:eastAsia="黑体"/>
          <w:b/>
          <w:sz w:val="30"/>
          <w:szCs w:val="30"/>
          <w:highlight w:val="none"/>
        </w:rPr>
      </w:pPr>
    </w:p>
    <w:p>
      <w:pPr>
        <w:spacing w:line="360" w:lineRule="exact"/>
        <w:jc w:val="center"/>
        <w:rPr>
          <w:rFonts w:ascii="黑体" w:hAnsi="宋体" w:eastAsia="黑体"/>
          <w:b/>
          <w:sz w:val="30"/>
          <w:szCs w:val="30"/>
          <w:highlight w:val="none"/>
        </w:rPr>
      </w:pPr>
    </w:p>
    <w:p>
      <w:pPr>
        <w:spacing w:line="360" w:lineRule="exact"/>
        <w:jc w:val="center"/>
        <w:rPr>
          <w:rFonts w:ascii="黑体" w:hAnsi="宋体" w:eastAsia="黑体"/>
          <w:b/>
          <w:sz w:val="30"/>
          <w:szCs w:val="30"/>
          <w:highlight w:val="none"/>
        </w:rPr>
      </w:pPr>
    </w:p>
    <w:p>
      <w:pPr>
        <w:spacing w:line="360" w:lineRule="exact"/>
        <w:jc w:val="center"/>
        <w:rPr>
          <w:rFonts w:ascii="黑体" w:hAnsi="宋体" w:eastAsia="黑体"/>
          <w:b/>
          <w:sz w:val="30"/>
          <w:szCs w:val="30"/>
          <w:highlight w:val="none"/>
        </w:rPr>
      </w:pPr>
    </w:p>
    <w:p>
      <w:pPr>
        <w:spacing w:line="360" w:lineRule="exact"/>
        <w:jc w:val="center"/>
        <w:rPr>
          <w:rFonts w:ascii="黑体" w:hAnsi="宋体" w:eastAsia="黑体"/>
          <w:b/>
          <w:sz w:val="30"/>
          <w:szCs w:val="30"/>
          <w:highlight w:val="none"/>
        </w:rPr>
      </w:pPr>
    </w:p>
    <w:p>
      <w:pPr>
        <w:spacing w:line="360" w:lineRule="exact"/>
        <w:jc w:val="center"/>
        <w:rPr>
          <w:rFonts w:ascii="黑体" w:hAnsi="宋体" w:eastAsia="黑体"/>
          <w:b/>
          <w:sz w:val="30"/>
          <w:szCs w:val="30"/>
          <w:highlight w:val="none"/>
        </w:rPr>
      </w:pPr>
    </w:p>
    <w:p>
      <w:pPr>
        <w:spacing w:line="360" w:lineRule="exact"/>
        <w:jc w:val="center"/>
        <w:rPr>
          <w:rFonts w:ascii="黑体" w:hAnsi="宋体" w:eastAsia="黑体"/>
          <w:b/>
          <w:sz w:val="30"/>
          <w:szCs w:val="30"/>
          <w:highlight w:val="none"/>
        </w:rPr>
      </w:pPr>
    </w:p>
    <w:p>
      <w:pPr>
        <w:jc w:val="center"/>
        <w:rPr>
          <w:rFonts w:ascii="Times New Roman" w:eastAsia="华文中宋"/>
          <w:b/>
          <w:bCs/>
          <w:sz w:val="32"/>
          <w:highlight w:val="none"/>
        </w:rPr>
      </w:pPr>
      <w:r>
        <w:rPr>
          <w:rFonts w:ascii="Times New Roman" w:eastAsia="华文中宋"/>
          <w:b/>
          <w:bCs/>
          <w:sz w:val="32"/>
          <w:highlight w:val="none"/>
        </w:rPr>
        <w:t>二〇二</w:t>
      </w:r>
      <w:r>
        <w:rPr>
          <w:rFonts w:hint="eastAsia" w:ascii="Times New Roman" w:eastAsia="华文中宋"/>
          <w:b/>
          <w:bCs/>
          <w:sz w:val="32"/>
          <w:highlight w:val="none"/>
          <w:lang w:eastAsia="zh-CN"/>
        </w:rPr>
        <w:t>四</w:t>
      </w:r>
      <w:r>
        <w:rPr>
          <w:rFonts w:ascii="Times New Roman" w:eastAsia="华文中宋"/>
          <w:b/>
          <w:bCs/>
          <w:sz w:val="32"/>
          <w:highlight w:val="none"/>
        </w:rPr>
        <w:t>年</w:t>
      </w:r>
      <w:r>
        <w:rPr>
          <w:rFonts w:hint="eastAsia" w:ascii="Times New Roman" w:eastAsia="华文中宋"/>
          <w:b/>
          <w:bCs/>
          <w:sz w:val="32"/>
          <w:highlight w:val="none"/>
        </w:rPr>
        <w:t xml:space="preserve">   </w:t>
      </w:r>
      <w:r>
        <w:rPr>
          <w:rFonts w:ascii="Times New Roman" w:eastAsia="华文中宋"/>
          <w:b/>
          <w:bCs/>
          <w:sz w:val="32"/>
          <w:highlight w:val="none"/>
        </w:rPr>
        <w:t>月</w:t>
      </w:r>
    </w:p>
    <w:p>
      <w:pPr>
        <w:spacing w:line="360" w:lineRule="exact"/>
        <w:jc w:val="center"/>
        <w:rPr>
          <w:rFonts w:ascii="黑体" w:hAnsi="宋体" w:eastAsia="黑体"/>
          <w:b/>
          <w:sz w:val="30"/>
          <w:szCs w:val="30"/>
          <w:highlight w:val="none"/>
        </w:rPr>
      </w:pPr>
    </w:p>
    <w:p>
      <w:pPr>
        <w:spacing w:line="360" w:lineRule="exact"/>
        <w:jc w:val="center"/>
        <w:rPr>
          <w:rFonts w:ascii="黑体" w:hAnsi="宋体" w:eastAsia="黑体"/>
          <w:b/>
          <w:sz w:val="30"/>
          <w:szCs w:val="30"/>
          <w:highlight w:val="none"/>
        </w:rPr>
      </w:pPr>
    </w:p>
    <w:p>
      <w:pPr>
        <w:spacing w:line="360" w:lineRule="exact"/>
        <w:jc w:val="center"/>
        <w:rPr>
          <w:rFonts w:ascii="黑体" w:hAnsi="宋体" w:eastAsia="黑体"/>
          <w:b/>
          <w:sz w:val="30"/>
          <w:szCs w:val="30"/>
          <w:highlight w:val="none"/>
        </w:rPr>
      </w:pPr>
    </w:p>
    <w:p>
      <w:pPr>
        <w:jc w:val="left"/>
        <w:rPr>
          <w:rFonts w:ascii="仿宋_GB2312" w:hAnsi="楷体" w:eastAsia="仿宋_GB2312"/>
          <w:sz w:val="32"/>
          <w:szCs w:val="32"/>
          <w:highlight w:val="none"/>
        </w:rPr>
      </w:pPr>
    </w:p>
    <w:p>
      <w:pPr>
        <w:jc w:val="left"/>
        <w:rPr>
          <w:rFonts w:ascii="仿宋_GB2312" w:hAnsi="楷体" w:eastAsia="仿宋_GB2312"/>
          <w:sz w:val="32"/>
          <w:szCs w:val="32"/>
          <w:highlight w:val="none"/>
        </w:rPr>
      </w:pPr>
    </w:p>
    <w:p>
      <w:pPr>
        <w:jc w:val="left"/>
        <w:rPr>
          <w:rFonts w:ascii="仿宋_GB2312" w:hAnsi="楷体" w:eastAsia="仿宋_GB2312"/>
          <w:sz w:val="32"/>
          <w:szCs w:val="32"/>
          <w:highlight w:val="none"/>
        </w:rPr>
      </w:pPr>
    </w:p>
    <w:p>
      <w:pPr>
        <w:jc w:val="left"/>
        <w:rPr>
          <w:rFonts w:ascii="仿宋_GB2312" w:hAnsi="楷体" w:eastAsia="仿宋_GB2312"/>
          <w:sz w:val="32"/>
          <w:szCs w:val="32"/>
          <w:highlight w:val="none"/>
        </w:rPr>
      </w:pPr>
    </w:p>
    <w:p>
      <w:pPr>
        <w:rPr>
          <w:highlight w:val="none"/>
        </w:rPr>
      </w:pPr>
    </w:p>
    <w:p>
      <w:pPr>
        <w:spacing w:line="300" w:lineRule="auto"/>
        <w:jc w:val="center"/>
        <w:rPr>
          <w:rFonts w:ascii="黑体" w:hAnsi="黑体" w:eastAsia="黑体" w:cs="黑体"/>
          <w:bCs/>
          <w:sz w:val="36"/>
          <w:szCs w:val="36"/>
          <w:highlight w:val="none"/>
        </w:rPr>
      </w:pPr>
      <w:r>
        <w:rPr>
          <w:rFonts w:hint="eastAsia" w:ascii="黑体" w:hAnsi="宋体" w:eastAsia="黑体"/>
          <w:bCs/>
          <w:sz w:val="36"/>
          <w:szCs w:val="36"/>
          <w:highlight w:val="none"/>
        </w:rPr>
        <w:t>202</w:t>
      </w:r>
      <w:r>
        <w:rPr>
          <w:rFonts w:hint="eastAsia" w:ascii="黑体" w:hAnsi="宋体" w:eastAsia="黑体"/>
          <w:bCs/>
          <w:sz w:val="36"/>
          <w:szCs w:val="36"/>
          <w:highlight w:val="none"/>
          <w:lang w:val="en-US" w:eastAsia="zh-CN"/>
        </w:rPr>
        <w:t>4</w:t>
      </w:r>
      <w:r>
        <w:rPr>
          <w:rFonts w:hint="eastAsia" w:ascii="黑体" w:hAnsi="宋体" w:eastAsia="黑体"/>
          <w:bCs/>
          <w:sz w:val="36"/>
          <w:szCs w:val="36"/>
          <w:highlight w:val="none"/>
        </w:rPr>
        <w:t>—202</w:t>
      </w:r>
      <w:r>
        <w:rPr>
          <w:rFonts w:hint="eastAsia" w:ascii="黑体" w:hAnsi="宋体" w:eastAsia="黑体"/>
          <w:bCs/>
          <w:sz w:val="36"/>
          <w:szCs w:val="36"/>
          <w:highlight w:val="none"/>
          <w:lang w:val="en-US" w:eastAsia="zh-CN"/>
        </w:rPr>
        <w:t>6</w:t>
      </w:r>
      <w:r>
        <w:rPr>
          <w:rFonts w:hint="eastAsia" w:ascii="黑体" w:hAnsi="宋体" w:eastAsia="黑体"/>
          <w:bCs/>
          <w:sz w:val="36"/>
          <w:szCs w:val="36"/>
          <w:highlight w:val="none"/>
        </w:rPr>
        <w:t>年</w:t>
      </w:r>
      <w:r>
        <w:rPr>
          <w:rFonts w:hint="eastAsia" w:ascii="黑体" w:hAnsi="黑体" w:eastAsia="黑体" w:cs="黑体"/>
          <w:bCs/>
          <w:sz w:val="36"/>
          <w:szCs w:val="36"/>
          <w:highlight w:val="none"/>
        </w:rPr>
        <w:t>大</w:t>
      </w:r>
      <w:r>
        <w:rPr>
          <w:rFonts w:ascii="黑体" w:hAnsi="黑体" w:eastAsia="黑体" w:cs="黑体"/>
          <w:bCs/>
          <w:sz w:val="36"/>
          <w:szCs w:val="36"/>
          <w:highlight w:val="none"/>
        </w:rPr>
        <w:t>连市</w:t>
      </w:r>
      <w:r>
        <w:rPr>
          <w:rFonts w:hint="eastAsia" w:ascii="黑体" w:hAnsi="黑体" w:eastAsia="黑体" w:cs="黑体"/>
          <w:bCs/>
          <w:sz w:val="36"/>
          <w:szCs w:val="36"/>
          <w:highlight w:val="none"/>
        </w:rPr>
        <w:t>政府债券通过</w:t>
      </w:r>
    </w:p>
    <w:p>
      <w:pPr>
        <w:spacing w:line="300" w:lineRule="auto"/>
        <w:jc w:val="center"/>
        <w:rPr>
          <w:rFonts w:ascii="黑体" w:hAnsi="黑体" w:eastAsia="黑体" w:cs="黑体"/>
          <w:bCs/>
          <w:sz w:val="36"/>
          <w:szCs w:val="36"/>
          <w:highlight w:val="none"/>
        </w:rPr>
      </w:pPr>
      <w:r>
        <w:rPr>
          <w:rFonts w:hint="eastAsia" w:ascii="黑体" w:hAnsi="黑体" w:eastAsia="黑体" w:cs="黑体"/>
          <w:bCs/>
          <w:sz w:val="36"/>
          <w:szCs w:val="36"/>
          <w:highlight w:val="none"/>
        </w:rPr>
        <w:t>商业银行柜台市场发行</w:t>
      </w:r>
      <w:r>
        <w:rPr>
          <w:rFonts w:hint="eastAsia" w:ascii="黑体" w:hAnsi="宋体" w:eastAsia="黑体"/>
          <w:bCs/>
          <w:sz w:val="36"/>
          <w:szCs w:val="36"/>
          <w:highlight w:val="none"/>
        </w:rPr>
        <w:t>分销协议</w:t>
      </w:r>
    </w:p>
    <w:p>
      <w:pPr>
        <w:spacing w:line="360" w:lineRule="exact"/>
        <w:jc w:val="center"/>
        <w:rPr>
          <w:rFonts w:ascii="黑体" w:hAnsi="宋体" w:eastAsia="黑体"/>
          <w:b/>
          <w:sz w:val="30"/>
          <w:szCs w:val="30"/>
          <w:highlight w:val="none"/>
        </w:rPr>
      </w:pPr>
    </w:p>
    <w:p>
      <w:pPr>
        <w:spacing w:line="360" w:lineRule="exact"/>
        <w:jc w:val="center"/>
        <w:rPr>
          <w:rFonts w:ascii="黑体" w:hAnsi="宋体" w:eastAsia="黑体"/>
          <w:b/>
          <w:sz w:val="30"/>
          <w:szCs w:val="30"/>
          <w:highlight w:val="none"/>
        </w:rPr>
      </w:pPr>
    </w:p>
    <w:p>
      <w:pPr>
        <w:spacing w:line="360" w:lineRule="exact"/>
        <w:rPr>
          <w:rFonts w:ascii="仿宋_GB2312" w:hAnsi="宋体" w:eastAsia="仿宋_GB2312"/>
          <w:sz w:val="24"/>
          <w:highlight w:val="none"/>
        </w:rPr>
      </w:pPr>
      <w:r>
        <w:rPr>
          <w:rFonts w:hint="eastAsia" w:ascii="仿宋_GB2312" w:hAnsi="宋体" w:eastAsia="仿宋_GB2312"/>
          <w:sz w:val="24"/>
          <w:highlight w:val="none"/>
        </w:rPr>
        <w:t xml:space="preserve">                                                                                                                                                                                                                                                                                                                                                                                                                                                                                                                                                                                                                                                                                                                                                                                                                                                                                                                                                                                                                                                                           </w:t>
      </w:r>
    </w:p>
    <w:p>
      <w:pPr>
        <w:snapToGrid w:val="0"/>
        <w:spacing w:line="360" w:lineRule="auto"/>
        <w:rPr>
          <w:rFonts w:ascii="仿宋_GB2312" w:hAnsi="宋体" w:eastAsia="仿宋_GB2312"/>
          <w:sz w:val="30"/>
          <w:szCs w:val="30"/>
          <w:highlight w:val="none"/>
        </w:rPr>
      </w:pPr>
      <w:r>
        <w:rPr>
          <w:rFonts w:hint="eastAsia" w:ascii="仿宋_GB2312" w:hAnsi="宋体" w:eastAsia="仿宋_GB2312"/>
          <w:sz w:val="30"/>
          <w:szCs w:val="30"/>
          <w:highlight w:val="none"/>
        </w:rPr>
        <w:t>债券发行人（以下称甲方）：大连</w:t>
      </w:r>
      <w:r>
        <w:rPr>
          <w:rFonts w:ascii="仿宋_GB2312" w:hAnsi="宋体" w:eastAsia="仿宋_GB2312"/>
          <w:sz w:val="30"/>
          <w:szCs w:val="30"/>
          <w:highlight w:val="none"/>
        </w:rPr>
        <w:t>市财政局</w:t>
      </w:r>
    </w:p>
    <w:p>
      <w:pPr>
        <w:snapToGrid w:val="0"/>
        <w:spacing w:line="360" w:lineRule="auto"/>
        <w:rPr>
          <w:rFonts w:ascii="仿宋_GB2312" w:hAnsi="宋体" w:eastAsia="仿宋_GB2312"/>
          <w:sz w:val="30"/>
          <w:szCs w:val="30"/>
          <w:highlight w:val="none"/>
        </w:rPr>
      </w:pPr>
      <w:r>
        <w:rPr>
          <w:rFonts w:hint="eastAsia" w:ascii="仿宋_GB2312" w:hAnsi="宋体" w:eastAsia="仿宋_GB2312"/>
          <w:sz w:val="30"/>
          <w:szCs w:val="30"/>
          <w:highlight w:val="none"/>
        </w:rPr>
        <w:t>柜台债券承办银行（以下称乙方）：</w:t>
      </w:r>
    </w:p>
    <w:p>
      <w:pPr>
        <w:spacing w:line="360" w:lineRule="exact"/>
        <w:rPr>
          <w:rFonts w:ascii="仿宋_GB2312" w:hAnsi="宋体" w:eastAsia="仿宋_GB2312"/>
          <w:sz w:val="30"/>
          <w:szCs w:val="30"/>
          <w:highlight w:val="none"/>
        </w:rPr>
      </w:pPr>
    </w:p>
    <w:p>
      <w:pPr>
        <w:spacing w:line="360" w:lineRule="exact"/>
        <w:ind w:firstLine="600" w:firstLineChars="200"/>
        <w:rPr>
          <w:rFonts w:ascii="仿宋_GB2312" w:hAnsi="宋体" w:eastAsia="仿宋_GB2312"/>
          <w:sz w:val="30"/>
          <w:szCs w:val="30"/>
          <w:highlight w:val="none"/>
        </w:rPr>
      </w:pP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甲方根据《中华人民共和国预算法》《国务院关于加强地方政府性债务管理的意见》（国发〔2014〕43号）、《全国银行间债券市场柜台业务管理办法》（中国人民银行公告〔2016〕第2号，以下简称《办法》）、</w:t>
      </w:r>
      <w:r>
        <w:rPr>
          <w:rFonts w:hint="eastAsia" w:ascii="仿宋_GB2312" w:hAnsi="微软雅黑" w:eastAsia="仿宋_GB2312"/>
          <w:sz w:val="30"/>
          <w:szCs w:val="30"/>
          <w:highlight w:val="none"/>
        </w:rPr>
        <w:t>《</w:t>
      </w:r>
      <w:r>
        <w:rPr>
          <w:rFonts w:hint="eastAsia" w:ascii="仿宋_GB2312" w:hAnsi="宋体" w:eastAsia="仿宋_GB2312"/>
          <w:sz w:val="30"/>
          <w:szCs w:val="30"/>
          <w:highlight w:val="none"/>
        </w:rPr>
        <w:t>中国人民银行 财政部 中国银行保险监督管理委员会关于在全</w:t>
      </w:r>
      <w:r>
        <w:rPr>
          <w:rFonts w:hint="eastAsia" w:ascii="仿宋_GB2312" w:hAnsi="微软雅黑" w:eastAsia="仿宋_GB2312"/>
          <w:sz w:val="30"/>
          <w:szCs w:val="30"/>
          <w:highlight w:val="none"/>
        </w:rPr>
        <w:t>国银行间债券市场开展地方政府债券柜台业务的通知》（银发</w:t>
      </w:r>
      <w:r>
        <w:rPr>
          <w:rFonts w:hint="eastAsia" w:ascii="仿宋_GB2312" w:hAnsi="宋体" w:eastAsia="仿宋_GB2312"/>
          <w:sz w:val="30"/>
          <w:szCs w:val="30"/>
          <w:highlight w:val="none"/>
        </w:rPr>
        <w:t>〔</w:t>
      </w:r>
      <w:r>
        <w:rPr>
          <w:rFonts w:hint="eastAsia" w:ascii="仿宋_GB2312" w:hAnsi="微软雅黑" w:eastAsia="仿宋_GB2312"/>
          <w:sz w:val="30"/>
          <w:szCs w:val="30"/>
          <w:highlight w:val="none"/>
        </w:rPr>
        <w:t>2018</w:t>
      </w:r>
      <w:r>
        <w:rPr>
          <w:rFonts w:hint="eastAsia" w:ascii="仿宋_GB2312" w:hAnsi="宋体" w:eastAsia="仿宋_GB2312"/>
          <w:sz w:val="30"/>
          <w:szCs w:val="30"/>
          <w:highlight w:val="none"/>
        </w:rPr>
        <w:t>〕</w:t>
      </w:r>
      <w:r>
        <w:rPr>
          <w:rFonts w:hint="eastAsia" w:ascii="仿宋_GB2312" w:hAnsi="微软雅黑" w:eastAsia="仿宋_GB2312"/>
          <w:sz w:val="30"/>
          <w:szCs w:val="30"/>
          <w:highlight w:val="none"/>
        </w:rPr>
        <w:t>283号）</w:t>
      </w:r>
      <w:r>
        <w:rPr>
          <w:rFonts w:hint="eastAsia" w:ascii="仿宋_GB2312" w:hAnsi="宋体" w:eastAsia="仿宋_GB2312"/>
          <w:sz w:val="30"/>
          <w:szCs w:val="30"/>
          <w:highlight w:val="none"/>
        </w:rPr>
        <w:t>、《财政部关于开展通过商业银行柜台市场发行地方政府债券工作的通知》（财库〔2019〕11号）和《财政部关于进一步做好地方政府债券柜台发行工作的通知》（财库〔2020〕49号）的要求，通过商业银行柜台市场发行 “大连</w:t>
      </w:r>
      <w:r>
        <w:rPr>
          <w:rFonts w:ascii="仿宋_GB2312" w:hAnsi="宋体" w:eastAsia="仿宋_GB2312"/>
          <w:sz w:val="30"/>
          <w:szCs w:val="30"/>
          <w:highlight w:val="none"/>
        </w:rPr>
        <w:t>市</w:t>
      </w:r>
      <w:r>
        <w:rPr>
          <w:rFonts w:hint="eastAsia" w:ascii="仿宋_GB2312" w:hAnsi="宋体" w:eastAsia="仿宋_GB2312"/>
          <w:sz w:val="30"/>
          <w:szCs w:val="30"/>
          <w:highlight w:val="none"/>
        </w:rPr>
        <w:t>政府债券”（以下简称“债券”），并负责债券通过柜台业务开办机构向柜台投资者发行的组织工作；乙方自愿成为柜台渠道分销商，承诺参与柜台债券投标、分销和交易柜台债券，履行相应的义务并享有相应的权利。为进一步明确甲乙双方在柜台分销业务中的权利与义务，经甲乙双方协商一致，签订本协议。</w:t>
      </w:r>
    </w:p>
    <w:p>
      <w:pPr>
        <w:snapToGrid w:val="0"/>
        <w:spacing w:line="360" w:lineRule="auto"/>
        <w:ind w:firstLine="602" w:firstLineChars="200"/>
        <w:rPr>
          <w:rFonts w:ascii="仿宋_GB2312" w:hAnsi="宋体" w:eastAsia="仿宋_GB2312"/>
          <w:b/>
          <w:sz w:val="30"/>
          <w:szCs w:val="30"/>
          <w:highlight w:val="none"/>
        </w:rPr>
      </w:pPr>
      <w:r>
        <w:rPr>
          <w:rFonts w:hint="eastAsia" w:ascii="仿宋_GB2312" w:hAnsi="宋体" w:eastAsia="仿宋_GB2312"/>
          <w:b/>
          <w:sz w:val="30"/>
          <w:szCs w:val="30"/>
          <w:highlight w:val="none"/>
        </w:rPr>
        <w:t>第一条</w:t>
      </w:r>
      <w:r>
        <w:rPr>
          <w:rFonts w:ascii="仿宋_GB2312" w:hAnsi="宋体" w:eastAsia="仿宋_GB2312"/>
          <w:b/>
          <w:sz w:val="30"/>
          <w:szCs w:val="30"/>
          <w:highlight w:val="none"/>
        </w:rPr>
        <w:t xml:space="preserve"> </w:t>
      </w:r>
      <w:r>
        <w:rPr>
          <w:rFonts w:hint="eastAsia" w:ascii="仿宋_GB2312" w:hAnsi="宋体" w:eastAsia="仿宋_GB2312"/>
          <w:b/>
          <w:sz w:val="30"/>
          <w:szCs w:val="30"/>
          <w:highlight w:val="none"/>
        </w:rPr>
        <w:t>债券及柜台债券的定义</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本协议项下债券指甲方公开发行的大连</w:t>
      </w:r>
      <w:r>
        <w:rPr>
          <w:rFonts w:ascii="仿宋_GB2312" w:hAnsi="宋体" w:eastAsia="仿宋_GB2312"/>
          <w:sz w:val="30"/>
          <w:szCs w:val="30"/>
          <w:highlight w:val="none"/>
        </w:rPr>
        <w:t>市</w:t>
      </w:r>
      <w:r>
        <w:rPr>
          <w:rFonts w:hint="eastAsia" w:ascii="仿宋_GB2312" w:hAnsi="宋体" w:eastAsia="仿宋_GB2312"/>
          <w:sz w:val="30"/>
          <w:szCs w:val="30"/>
          <w:highlight w:val="none"/>
        </w:rPr>
        <w:t>政府债券（含一般债券及专项债券）。</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大连</w:t>
      </w:r>
      <w:r>
        <w:rPr>
          <w:rFonts w:ascii="仿宋_GB2312" w:hAnsi="宋体" w:eastAsia="仿宋_GB2312"/>
          <w:sz w:val="30"/>
          <w:szCs w:val="30"/>
          <w:highlight w:val="none"/>
        </w:rPr>
        <w:t>市</w:t>
      </w:r>
      <w:r>
        <w:rPr>
          <w:rFonts w:hint="eastAsia" w:ascii="仿宋_GB2312" w:hAnsi="宋体" w:eastAsia="仿宋_GB2312"/>
          <w:sz w:val="30"/>
          <w:szCs w:val="30"/>
          <w:highlight w:val="none"/>
        </w:rPr>
        <w:t>政府债券，是指以大连</w:t>
      </w:r>
      <w:r>
        <w:rPr>
          <w:rFonts w:ascii="仿宋_GB2312" w:hAnsi="宋体" w:eastAsia="仿宋_GB2312"/>
          <w:sz w:val="30"/>
          <w:szCs w:val="30"/>
          <w:highlight w:val="none"/>
        </w:rPr>
        <w:t>市</w:t>
      </w:r>
      <w:r>
        <w:rPr>
          <w:rFonts w:hint="eastAsia" w:ascii="仿宋_GB2312" w:hAnsi="宋体" w:eastAsia="仿宋_GB2312"/>
          <w:sz w:val="30"/>
          <w:szCs w:val="30"/>
          <w:highlight w:val="none"/>
        </w:rPr>
        <w:t>人民政府为债务人承担按期支付利息和归还本金责任，由大连</w:t>
      </w:r>
      <w:r>
        <w:rPr>
          <w:rFonts w:ascii="仿宋_GB2312" w:hAnsi="宋体" w:eastAsia="仿宋_GB2312"/>
          <w:sz w:val="30"/>
          <w:szCs w:val="30"/>
          <w:highlight w:val="none"/>
        </w:rPr>
        <w:t>市财政局</w:t>
      </w:r>
      <w:r>
        <w:rPr>
          <w:rFonts w:hint="eastAsia" w:ascii="仿宋_GB2312" w:hAnsi="宋体" w:eastAsia="仿宋_GB2312"/>
          <w:sz w:val="30"/>
          <w:szCs w:val="30"/>
          <w:highlight w:val="none"/>
        </w:rPr>
        <w:t>具体办理债券发行、支付利息和偿还本金等事项的记账式债券。</w:t>
      </w:r>
    </w:p>
    <w:p>
      <w:pPr>
        <w:snapToGrid w:val="0"/>
        <w:spacing w:line="360" w:lineRule="auto"/>
        <w:ind w:firstLine="600" w:firstLineChars="200"/>
        <w:rPr>
          <w:rFonts w:ascii="仿宋_GB2312" w:hAnsi="宋体" w:eastAsia="仿宋_GB2312"/>
          <w:color w:val="FF0000"/>
          <w:sz w:val="30"/>
          <w:szCs w:val="30"/>
          <w:highlight w:val="none"/>
        </w:rPr>
      </w:pPr>
      <w:r>
        <w:rPr>
          <w:rFonts w:hint="eastAsia" w:ascii="仿宋_GB2312" w:hAnsi="宋体" w:eastAsia="仿宋_GB2312"/>
          <w:sz w:val="30"/>
          <w:szCs w:val="30"/>
          <w:highlight w:val="none"/>
        </w:rPr>
        <w:t>柜台债券是指甲方在相关债券发行文件中允许通过乙方柜台营业渠道分销的债券。</w:t>
      </w:r>
    </w:p>
    <w:p>
      <w:pPr>
        <w:snapToGrid w:val="0"/>
        <w:spacing w:line="360" w:lineRule="auto"/>
        <w:ind w:firstLine="480"/>
        <w:rPr>
          <w:rFonts w:ascii="仿宋_GB2312" w:hAnsi="宋体" w:eastAsia="仿宋_GB2312"/>
          <w:b/>
          <w:sz w:val="30"/>
          <w:szCs w:val="30"/>
          <w:highlight w:val="none"/>
        </w:rPr>
      </w:pPr>
      <w:r>
        <w:rPr>
          <w:rFonts w:hint="eastAsia" w:ascii="仿宋_GB2312" w:hAnsi="宋体" w:eastAsia="仿宋_GB2312"/>
          <w:b/>
          <w:sz w:val="30"/>
          <w:szCs w:val="30"/>
          <w:highlight w:val="none"/>
        </w:rPr>
        <w:t xml:space="preserve">第二条 分销方式 </w:t>
      </w:r>
    </w:p>
    <w:p>
      <w:pPr>
        <w:snapToGrid w:val="0"/>
        <w:spacing w:line="360" w:lineRule="auto"/>
        <w:ind w:firstLine="480"/>
        <w:rPr>
          <w:rFonts w:ascii="仿宋_GB2312" w:hAnsi="宋体" w:eastAsia="仿宋_GB2312"/>
          <w:sz w:val="30"/>
          <w:szCs w:val="30"/>
          <w:highlight w:val="none"/>
        </w:rPr>
      </w:pPr>
      <w:r>
        <w:rPr>
          <w:rFonts w:hint="eastAsia" w:ascii="仿宋_GB2312" w:hAnsi="宋体" w:eastAsia="仿宋_GB2312"/>
          <w:sz w:val="30"/>
          <w:szCs w:val="30"/>
          <w:highlight w:val="none"/>
        </w:rPr>
        <w:t>甲方发行的债券，可以选择通过柜台开办机构向柜台投资者进行分销。乙方根据其柜台中标额度，在柜台债券分销期内，按照本协议及当期债券发行文件约定，向个人、企业、金融机构等《办法》中规定的柜台投资者进行分销。分销期结束后，按照有关规定，乙方柜台做市债券可以在银行间市场流通交易。</w:t>
      </w:r>
    </w:p>
    <w:p>
      <w:pPr>
        <w:snapToGrid w:val="0"/>
        <w:spacing w:line="360" w:lineRule="auto"/>
        <w:ind w:firstLine="480"/>
        <w:rPr>
          <w:rFonts w:ascii="仿宋_GB2312" w:hAnsi="宋体" w:eastAsia="仿宋_GB2312"/>
          <w:b/>
          <w:sz w:val="30"/>
          <w:szCs w:val="30"/>
          <w:highlight w:val="none"/>
        </w:rPr>
      </w:pPr>
      <w:r>
        <w:rPr>
          <w:rFonts w:hint="eastAsia" w:ascii="仿宋_GB2312" w:hAnsi="宋体" w:eastAsia="仿宋_GB2312"/>
          <w:b/>
          <w:sz w:val="30"/>
          <w:szCs w:val="30"/>
          <w:highlight w:val="none"/>
        </w:rPr>
        <w:t>第三条</w:t>
      </w:r>
      <w:r>
        <w:rPr>
          <w:rFonts w:ascii="仿宋_GB2312" w:hAnsi="宋体" w:eastAsia="仿宋_GB2312"/>
          <w:b/>
          <w:sz w:val="30"/>
          <w:szCs w:val="30"/>
          <w:highlight w:val="none"/>
        </w:rPr>
        <w:t xml:space="preserve"> </w:t>
      </w:r>
      <w:r>
        <w:rPr>
          <w:rFonts w:hint="eastAsia" w:ascii="仿宋_GB2312" w:hAnsi="宋体" w:eastAsia="仿宋_GB2312"/>
          <w:b/>
          <w:sz w:val="30"/>
          <w:szCs w:val="30"/>
          <w:highlight w:val="none"/>
        </w:rPr>
        <w:t>分销期</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柜台债券分销期是指全国银行间债券市场（以下简称“银行间市场”）招标日后一工作日至甲方发行文件中确定的柜台债券缴款日前一工作日的时间。</w:t>
      </w:r>
    </w:p>
    <w:p>
      <w:pPr>
        <w:snapToGrid w:val="0"/>
        <w:spacing w:line="360" w:lineRule="auto"/>
        <w:ind w:firstLine="602" w:firstLineChars="200"/>
        <w:rPr>
          <w:rFonts w:ascii="仿宋_GB2312" w:hAnsi="宋体" w:eastAsia="仿宋_GB2312"/>
          <w:b/>
          <w:sz w:val="30"/>
          <w:szCs w:val="30"/>
          <w:highlight w:val="none"/>
        </w:rPr>
      </w:pPr>
      <w:r>
        <w:rPr>
          <w:rFonts w:hint="eastAsia" w:ascii="仿宋_GB2312" w:hAnsi="宋体" w:eastAsia="仿宋_GB2312"/>
          <w:b/>
          <w:sz w:val="30"/>
          <w:szCs w:val="30"/>
          <w:highlight w:val="none"/>
        </w:rPr>
        <w:t>第四条</w:t>
      </w:r>
      <w:r>
        <w:rPr>
          <w:rFonts w:ascii="仿宋_GB2312" w:hAnsi="宋体" w:eastAsia="仿宋_GB2312"/>
          <w:b/>
          <w:sz w:val="30"/>
          <w:szCs w:val="30"/>
          <w:highlight w:val="none"/>
        </w:rPr>
        <w:t xml:space="preserve"> </w:t>
      </w:r>
      <w:r>
        <w:rPr>
          <w:rFonts w:hint="eastAsia" w:ascii="仿宋_GB2312" w:hAnsi="宋体" w:eastAsia="仿宋_GB2312"/>
          <w:b/>
          <w:sz w:val="30"/>
          <w:szCs w:val="30"/>
          <w:highlight w:val="none"/>
        </w:rPr>
        <w:t>柜台债券发行利率（或价格）及计划分销额的确定</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根据财政部相关规定，柜台债券票面利率按照首场公开发行利率（或价格）确定，各承办机构计划分销额度通过数量招标方式确定。具体方案见当期债券发行文件。</w:t>
      </w:r>
    </w:p>
    <w:p>
      <w:pPr>
        <w:snapToGrid w:val="0"/>
        <w:spacing w:line="360" w:lineRule="auto"/>
        <w:ind w:firstLine="602" w:firstLineChars="200"/>
        <w:rPr>
          <w:rFonts w:ascii="仿宋_GB2312" w:hAnsi="宋体" w:eastAsia="仿宋_GB2312"/>
          <w:b/>
          <w:sz w:val="30"/>
          <w:szCs w:val="30"/>
          <w:highlight w:val="none"/>
        </w:rPr>
      </w:pPr>
      <w:r>
        <w:rPr>
          <w:rFonts w:hint="eastAsia" w:ascii="仿宋_GB2312" w:hAnsi="宋体" w:eastAsia="仿宋_GB2312"/>
          <w:b/>
          <w:sz w:val="30"/>
          <w:szCs w:val="30"/>
          <w:highlight w:val="none"/>
        </w:rPr>
        <w:t>第五条 柜台债券计划分销最高限额及未分销部分处理方式</w:t>
      </w:r>
    </w:p>
    <w:p>
      <w:pPr>
        <w:snapToGrid w:val="0"/>
        <w:spacing w:line="360" w:lineRule="auto"/>
        <w:ind w:firstLine="600" w:firstLineChars="200"/>
        <w:rPr>
          <w:rFonts w:ascii="仿宋_GB2312" w:hAnsi="宋体" w:eastAsia="仿宋_GB2312"/>
          <w:bCs/>
          <w:sz w:val="30"/>
          <w:szCs w:val="30"/>
          <w:highlight w:val="none"/>
        </w:rPr>
      </w:pPr>
      <w:r>
        <w:rPr>
          <w:rFonts w:hint="eastAsia" w:ascii="仿宋_GB2312" w:hAnsi="宋体" w:eastAsia="仿宋_GB2312"/>
          <w:bCs/>
          <w:sz w:val="30"/>
          <w:szCs w:val="30"/>
          <w:highlight w:val="none"/>
        </w:rPr>
        <w:t>一、柜台债券计划分销最高限额</w:t>
      </w:r>
    </w:p>
    <w:p>
      <w:pPr>
        <w:snapToGrid w:val="0"/>
        <w:spacing w:line="360" w:lineRule="auto"/>
        <w:ind w:firstLine="600" w:firstLineChars="200"/>
        <w:rPr>
          <w:rFonts w:ascii="仿宋_GB2312" w:hAnsi="宋体" w:eastAsia="仿宋_GB2312"/>
          <w:bCs/>
          <w:sz w:val="30"/>
          <w:szCs w:val="30"/>
          <w:highlight w:val="none"/>
        </w:rPr>
      </w:pPr>
      <w:r>
        <w:rPr>
          <w:rFonts w:hint="eastAsia" w:ascii="仿宋_GB2312" w:hAnsi="宋体" w:eastAsia="仿宋_GB2312"/>
          <w:bCs/>
          <w:sz w:val="30"/>
          <w:szCs w:val="30"/>
          <w:highlight w:val="none"/>
        </w:rPr>
        <w:t>柜台债券计划分销最高限额为甲方在发行文件中确定的</w:t>
      </w:r>
      <w:r>
        <w:rPr>
          <w:rFonts w:hint="eastAsia" w:ascii="Times New Roman" w:hAnsi="Times New Roman" w:eastAsia="仿宋_GB2312" w:cs="仿宋_GB2312"/>
          <w:sz w:val="30"/>
          <w:szCs w:val="30"/>
          <w:highlight w:val="none"/>
        </w:rPr>
        <w:t>乙方被允许</w:t>
      </w:r>
      <w:r>
        <w:rPr>
          <w:rFonts w:hint="eastAsia" w:ascii="仿宋_GB2312" w:hAnsi="宋体" w:eastAsia="仿宋_GB2312"/>
          <w:bCs/>
          <w:sz w:val="30"/>
          <w:szCs w:val="30"/>
          <w:highlight w:val="none"/>
        </w:rPr>
        <w:t>在柜台市场分销的柜台债券最</w:t>
      </w:r>
      <w:r>
        <w:rPr>
          <w:rFonts w:hint="eastAsia" w:ascii="Times New Roman" w:hAnsi="Times New Roman" w:eastAsia="仿宋_GB2312" w:cs="仿宋_GB2312"/>
          <w:sz w:val="30"/>
          <w:szCs w:val="30"/>
          <w:highlight w:val="none"/>
        </w:rPr>
        <w:t>高额度</w:t>
      </w:r>
      <w:r>
        <w:rPr>
          <w:rFonts w:hint="eastAsia" w:ascii="仿宋_GB2312" w:hAnsi="宋体" w:eastAsia="仿宋_GB2312"/>
          <w:bCs/>
          <w:sz w:val="30"/>
          <w:szCs w:val="30"/>
          <w:highlight w:val="none"/>
        </w:rPr>
        <w:t>。</w:t>
      </w:r>
    </w:p>
    <w:p>
      <w:pPr>
        <w:snapToGrid w:val="0"/>
        <w:spacing w:line="360" w:lineRule="auto"/>
        <w:ind w:firstLine="600" w:firstLineChars="200"/>
        <w:rPr>
          <w:rFonts w:ascii="仿宋_GB2312" w:hAnsi="宋体" w:eastAsia="仿宋_GB2312"/>
          <w:bCs/>
          <w:sz w:val="30"/>
          <w:szCs w:val="30"/>
          <w:highlight w:val="none"/>
        </w:rPr>
      </w:pPr>
      <w:r>
        <w:rPr>
          <w:rFonts w:hint="eastAsia" w:ascii="仿宋_GB2312" w:hAnsi="宋体" w:eastAsia="仿宋_GB2312"/>
          <w:bCs/>
          <w:sz w:val="30"/>
          <w:szCs w:val="30"/>
          <w:highlight w:val="none"/>
        </w:rPr>
        <w:t>二、未分销部分处理方式</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柜台债券向投资者实际分销数额与计划分销额之间的差额，由乙方包销。</w:t>
      </w:r>
    </w:p>
    <w:p>
      <w:pPr>
        <w:snapToGrid w:val="0"/>
        <w:spacing w:line="360" w:lineRule="auto"/>
        <w:ind w:firstLine="602" w:firstLineChars="200"/>
        <w:rPr>
          <w:rFonts w:ascii="仿宋_GB2312" w:hAnsi="宋体" w:eastAsia="仿宋_GB2312"/>
          <w:b/>
          <w:sz w:val="30"/>
          <w:szCs w:val="30"/>
          <w:highlight w:val="none"/>
        </w:rPr>
      </w:pPr>
      <w:r>
        <w:rPr>
          <w:rFonts w:hint="eastAsia" w:ascii="仿宋_GB2312" w:hAnsi="宋体" w:eastAsia="仿宋_GB2312"/>
          <w:b/>
          <w:sz w:val="30"/>
          <w:szCs w:val="30"/>
          <w:highlight w:val="none"/>
        </w:rPr>
        <w:t>第六条</w:t>
      </w:r>
      <w:r>
        <w:rPr>
          <w:rFonts w:ascii="仿宋_GB2312" w:hAnsi="宋体" w:eastAsia="仿宋_GB2312"/>
          <w:b/>
          <w:sz w:val="30"/>
          <w:szCs w:val="30"/>
          <w:highlight w:val="none"/>
        </w:rPr>
        <w:t xml:space="preserve"> </w:t>
      </w:r>
      <w:r>
        <w:rPr>
          <w:rFonts w:hint="eastAsia" w:ascii="仿宋_GB2312" w:hAnsi="宋体" w:eastAsia="仿宋_GB2312"/>
          <w:b/>
          <w:sz w:val="30"/>
          <w:szCs w:val="30"/>
          <w:highlight w:val="none"/>
        </w:rPr>
        <w:t>柜台分销款的支付</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每期柜台债券分销期满，乙方应按甲方发出的关于缴款的相关文件、当期债券发行文件，将柜台债券分销款</w:t>
      </w:r>
      <w:r>
        <w:rPr>
          <w:rFonts w:hint="eastAsia" w:ascii="仿宋_GB2312" w:hAnsi="微软雅黑" w:eastAsia="仿宋_GB2312"/>
          <w:sz w:val="30"/>
          <w:szCs w:val="30"/>
          <w:highlight w:val="none"/>
        </w:rPr>
        <w:t>（含包销部分，下同）</w:t>
      </w:r>
      <w:r>
        <w:rPr>
          <w:rFonts w:hint="eastAsia" w:ascii="仿宋_GB2312" w:hAnsi="宋体" w:eastAsia="仿宋_GB2312"/>
          <w:sz w:val="30"/>
          <w:szCs w:val="30"/>
          <w:highlight w:val="none"/>
        </w:rPr>
        <w:t>及时足额划入甲方指定的银行账户。柜台债券分销款到账后第二个工作日，债券持有人与甲方之间的债权债务关系成立。乙方延迟或提前支付分销的柜台债券款，按照本协议中违约责任条款处理。</w:t>
      </w:r>
    </w:p>
    <w:p>
      <w:pPr>
        <w:snapToGrid w:val="0"/>
        <w:spacing w:line="360" w:lineRule="auto"/>
        <w:ind w:firstLine="590" w:firstLineChars="196"/>
        <w:rPr>
          <w:rFonts w:hint="eastAsia" w:ascii="仿宋_GB2312" w:hAnsi="宋体" w:eastAsia="仿宋_GB2312"/>
          <w:b/>
          <w:sz w:val="30"/>
          <w:szCs w:val="30"/>
          <w:highlight w:val="none"/>
          <w:lang w:eastAsia="zh-CN"/>
        </w:rPr>
      </w:pPr>
      <w:r>
        <w:rPr>
          <w:rFonts w:hint="eastAsia" w:ascii="仿宋_GB2312" w:hAnsi="宋体" w:eastAsia="仿宋_GB2312"/>
          <w:b/>
          <w:sz w:val="30"/>
          <w:szCs w:val="30"/>
          <w:highlight w:val="none"/>
        </w:rPr>
        <w:t>第七条</w:t>
      </w:r>
      <w:r>
        <w:rPr>
          <w:rFonts w:ascii="仿宋_GB2312" w:hAnsi="宋体" w:eastAsia="仿宋_GB2312"/>
          <w:b/>
          <w:sz w:val="30"/>
          <w:szCs w:val="30"/>
          <w:highlight w:val="none"/>
        </w:rPr>
        <w:t xml:space="preserve">  </w:t>
      </w:r>
      <w:r>
        <w:rPr>
          <w:rFonts w:hint="eastAsia" w:ascii="仿宋_GB2312" w:hAnsi="宋体" w:eastAsia="仿宋_GB2312"/>
          <w:b/>
          <w:sz w:val="30"/>
          <w:szCs w:val="30"/>
          <w:highlight w:val="none"/>
        </w:rPr>
        <w:t>分销</w:t>
      </w:r>
      <w:r>
        <w:rPr>
          <w:rFonts w:hint="eastAsia" w:ascii="仿宋_GB2312" w:hAnsi="宋体" w:eastAsia="仿宋_GB2312"/>
          <w:b/>
          <w:sz w:val="30"/>
          <w:szCs w:val="30"/>
          <w:highlight w:val="none"/>
          <w:lang w:eastAsia="zh-CN"/>
        </w:rPr>
        <w:t>费用</w:t>
      </w:r>
    </w:p>
    <w:p>
      <w:pPr>
        <w:snapToGrid w:val="0"/>
        <w:spacing w:line="360" w:lineRule="auto"/>
        <w:ind w:firstLine="600" w:firstLineChars="200"/>
        <w:rPr>
          <w:rFonts w:ascii="仿宋_GB2312" w:hAnsi="微软雅黑" w:eastAsia="仿宋_GB2312"/>
          <w:sz w:val="30"/>
          <w:szCs w:val="30"/>
          <w:highlight w:val="none"/>
        </w:rPr>
      </w:pPr>
      <w:r>
        <w:rPr>
          <w:rFonts w:hint="eastAsia" w:ascii="仿宋_GB2312" w:hAnsi="宋体" w:eastAsia="仿宋_GB2312"/>
          <w:sz w:val="30"/>
          <w:szCs w:val="30"/>
          <w:highlight w:val="none"/>
        </w:rPr>
        <w:t>乙方通过</w:t>
      </w:r>
      <w:r>
        <w:rPr>
          <w:rFonts w:hint="eastAsia" w:ascii="Times New Roman" w:hAnsi="Times New Roman" w:eastAsia="仿宋_GB2312" w:cs="仿宋_GB2312"/>
          <w:sz w:val="30"/>
          <w:szCs w:val="30"/>
          <w:highlight w:val="none"/>
        </w:rPr>
        <w:t>其</w:t>
      </w:r>
      <w:r>
        <w:rPr>
          <w:rFonts w:hint="eastAsia" w:ascii="仿宋_GB2312" w:hAnsi="宋体" w:eastAsia="仿宋_GB2312"/>
          <w:sz w:val="30"/>
          <w:szCs w:val="30"/>
          <w:highlight w:val="none"/>
        </w:rPr>
        <w:t>柜台市场</w:t>
      </w:r>
      <w:r>
        <w:rPr>
          <w:rFonts w:hint="eastAsia" w:ascii="Times New Roman" w:hAnsi="Times New Roman" w:eastAsia="仿宋_GB2312" w:cs="仿宋_GB2312"/>
          <w:sz w:val="30"/>
          <w:szCs w:val="30"/>
          <w:highlight w:val="none"/>
        </w:rPr>
        <w:t>营业渠道</w:t>
      </w:r>
      <w:r>
        <w:rPr>
          <w:rFonts w:hint="eastAsia" w:ascii="仿宋_GB2312" w:hAnsi="宋体" w:eastAsia="仿宋_GB2312"/>
          <w:sz w:val="30"/>
          <w:szCs w:val="30"/>
          <w:highlight w:val="none"/>
        </w:rPr>
        <w:t>分销</w:t>
      </w:r>
      <w:r>
        <w:rPr>
          <w:rFonts w:hint="eastAsia" w:ascii="Times New Roman" w:hAnsi="Times New Roman" w:eastAsia="仿宋_GB2312" w:cs="仿宋_GB2312"/>
          <w:sz w:val="30"/>
          <w:szCs w:val="30"/>
          <w:highlight w:val="none"/>
        </w:rPr>
        <w:t>甲方债券</w:t>
      </w:r>
      <w:r>
        <w:rPr>
          <w:rFonts w:hint="eastAsia" w:ascii="仿宋_GB2312" w:hAnsi="宋体" w:eastAsia="仿宋_GB2312"/>
          <w:sz w:val="30"/>
          <w:szCs w:val="30"/>
          <w:highlight w:val="none"/>
        </w:rPr>
        <w:t>，由甲方支付以下分销</w:t>
      </w:r>
      <w:r>
        <w:rPr>
          <w:rFonts w:hint="eastAsia" w:ascii="仿宋_GB2312" w:hAnsi="宋体" w:eastAsia="仿宋_GB2312"/>
          <w:sz w:val="30"/>
          <w:szCs w:val="30"/>
          <w:highlight w:val="none"/>
          <w:lang w:eastAsia="zh-CN"/>
        </w:rPr>
        <w:t>费用</w:t>
      </w:r>
      <w:r>
        <w:rPr>
          <w:rFonts w:hint="eastAsia" w:ascii="仿宋_GB2312" w:hAnsi="微软雅黑" w:eastAsia="仿宋_GB2312"/>
          <w:sz w:val="30"/>
          <w:szCs w:val="30"/>
          <w:highlight w:val="none"/>
        </w:rPr>
        <w:t>（含包销部分，下同）：</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乙方通过其柜台市场营业渠道分销甲方债券，由甲方向乙方支付商业银行柜台专项分销费</w:t>
      </w:r>
      <w:r>
        <w:rPr>
          <w:rFonts w:hint="eastAsia" w:ascii="仿宋_GB2312" w:hAnsi="宋体" w:eastAsia="仿宋_GB2312"/>
          <w:sz w:val="30"/>
          <w:szCs w:val="30"/>
          <w:highlight w:val="none"/>
          <w:lang w:eastAsia="zh-CN"/>
        </w:rPr>
        <w:t>用</w:t>
      </w:r>
      <w:r>
        <w:rPr>
          <w:rFonts w:hint="eastAsia" w:ascii="仿宋_GB2312" w:hAnsi="宋体" w:eastAsia="仿宋_GB2312"/>
          <w:sz w:val="30"/>
          <w:szCs w:val="30"/>
          <w:highlight w:val="none"/>
        </w:rPr>
        <w:t>（含税价格）。付费基数为柜台债券计划分销数额，</w:t>
      </w:r>
      <w:r>
        <w:rPr>
          <w:rFonts w:hint="eastAsia" w:ascii="Times New Roman" w:hAnsi="Times New Roman" w:eastAsia="仿宋_GB2312" w:cs="仿宋_GB2312"/>
          <w:sz w:val="30"/>
          <w:szCs w:val="30"/>
          <w:highlight w:val="none"/>
        </w:rPr>
        <w:t>分销费率在当期债券发行文件中规定。</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甲方将根据中央国债登记结算有限责任公司提供的上一年度柜台债券认购数据，对乙方进行年度考核：如乙方上一年度柜台实际分销比例（柜台实际分销额除以总计划分销额）低于70%，且低于与甲方签约的所有柜台业务开办机构的平均分销比例，本年分销费率在上一年分销费率基础上下调10个基点。如乙方连续两年柜台实际分销比例低于70%，且低于与甲方签约的所有柜台业务开办机构的平均分销比例，甲方有权终止执行与乙方签订的柜台债券分销协议，同时</w:t>
      </w:r>
      <w:r>
        <w:rPr>
          <w:rFonts w:hint="eastAsia" w:ascii="仿宋_GB2312" w:hAnsi="宋体" w:eastAsia="仿宋_GB2312"/>
          <w:sz w:val="30"/>
          <w:szCs w:val="30"/>
          <w:highlight w:val="none"/>
          <w:lang w:eastAsia="zh-CN"/>
        </w:rPr>
        <w:t>，</w:t>
      </w:r>
      <w:r>
        <w:rPr>
          <w:rFonts w:hint="eastAsia" w:ascii="仿宋_GB2312" w:hAnsi="宋体" w:eastAsia="仿宋_GB2312"/>
          <w:sz w:val="30"/>
          <w:szCs w:val="30"/>
          <w:highlight w:val="none"/>
        </w:rPr>
        <w:t>乙方不得承办下年大连</w:t>
      </w:r>
      <w:r>
        <w:rPr>
          <w:rFonts w:ascii="仿宋_GB2312" w:hAnsi="宋体" w:eastAsia="仿宋_GB2312"/>
          <w:sz w:val="30"/>
          <w:szCs w:val="30"/>
          <w:highlight w:val="none"/>
        </w:rPr>
        <w:t>市</w:t>
      </w:r>
      <w:r>
        <w:rPr>
          <w:rFonts w:hint="eastAsia" w:ascii="仿宋_GB2312" w:hAnsi="宋体" w:eastAsia="仿宋_GB2312"/>
          <w:sz w:val="30"/>
          <w:szCs w:val="30"/>
          <w:highlight w:val="none"/>
        </w:rPr>
        <w:t>政府债券柜台业务。</w:t>
      </w:r>
    </w:p>
    <w:p>
      <w:pPr>
        <w:snapToGrid w:val="0"/>
        <w:spacing w:line="360" w:lineRule="auto"/>
        <w:ind w:firstLine="590" w:firstLineChars="196"/>
        <w:rPr>
          <w:rFonts w:ascii="仿宋_GB2312" w:hAnsi="宋体" w:eastAsia="仿宋_GB2312"/>
          <w:b/>
          <w:sz w:val="30"/>
          <w:szCs w:val="30"/>
          <w:highlight w:val="none"/>
        </w:rPr>
      </w:pPr>
      <w:r>
        <w:rPr>
          <w:rFonts w:hint="eastAsia" w:ascii="仿宋_GB2312" w:hAnsi="宋体" w:eastAsia="仿宋_GB2312"/>
          <w:b/>
          <w:sz w:val="30"/>
          <w:szCs w:val="30"/>
          <w:highlight w:val="none"/>
        </w:rPr>
        <w:t>第八条</w:t>
      </w:r>
      <w:r>
        <w:rPr>
          <w:rFonts w:ascii="仿宋_GB2312" w:hAnsi="宋体" w:eastAsia="仿宋_GB2312"/>
          <w:b/>
          <w:sz w:val="30"/>
          <w:szCs w:val="30"/>
          <w:highlight w:val="none"/>
        </w:rPr>
        <w:t xml:space="preserve">  </w:t>
      </w:r>
      <w:r>
        <w:rPr>
          <w:rFonts w:hint="eastAsia" w:ascii="仿宋_GB2312" w:hAnsi="宋体" w:eastAsia="仿宋_GB2312"/>
          <w:b/>
          <w:sz w:val="30"/>
          <w:szCs w:val="30"/>
          <w:highlight w:val="none"/>
        </w:rPr>
        <w:t>分销</w:t>
      </w:r>
      <w:r>
        <w:rPr>
          <w:rFonts w:hint="eastAsia" w:ascii="仿宋_GB2312" w:hAnsi="宋体" w:eastAsia="仿宋_GB2312"/>
          <w:b/>
          <w:sz w:val="30"/>
          <w:szCs w:val="30"/>
          <w:highlight w:val="none"/>
          <w:lang w:eastAsia="zh-CN"/>
        </w:rPr>
        <w:t>费用</w:t>
      </w:r>
      <w:r>
        <w:rPr>
          <w:rFonts w:hint="eastAsia" w:ascii="仿宋_GB2312" w:hAnsi="宋体" w:eastAsia="仿宋_GB2312"/>
          <w:b/>
          <w:sz w:val="30"/>
          <w:szCs w:val="30"/>
          <w:highlight w:val="none"/>
        </w:rPr>
        <w:t>的支付</w:t>
      </w:r>
    </w:p>
    <w:p>
      <w:pPr>
        <w:snapToGrid w:val="0"/>
        <w:spacing w:line="360" w:lineRule="auto"/>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甲方在指定账户足额收到乙方柜台债券分销款后5个工作日内</w:t>
      </w:r>
      <w:r>
        <w:rPr>
          <w:rFonts w:hint="eastAsia" w:ascii="仿宋_GB2312" w:hAnsi="仿宋_GB2312" w:eastAsia="仿宋_GB2312" w:cs="仿宋_GB2312"/>
          <w:color w:val="000000"/>
          <w:sz w:val="30"/>
          <w:szCs w:val="30"/>
          <w:highlight w:val="none"/>
        </w:rPr>
        <w:t>（含第5个工作日）</w:t>
      </w:r>
      <w:r>
        <w:rPr>
          <w:rFonts w:hint="eastAsia" w:ascii="仿宋_GB2312" w:hAnsi="仿宋_GB2312" w:eastAsia="仿宋_GB2312" w:cs="仿宋_GB2312"/>
          <w:sz w:val="30"/>
          <w:szCs w:val="30"/>
          <w:highlight w:val="none"/>
        </w:rPr>
        <w:t>，按当期（次）债券发行通知等有关文件规定委托中央国债登记结算有限责任公司向乙方支付分销</w:t>
      </w:r>
      <w:r>
        <w:rPr>
          <w:rFonts w:hint="eastAsia" w:ascii="仿宋_GB2312" w:hAnsi="仿宋_GB2312" w:eastAsia="仿宋_GB2312" w:cs="仿宋_GB2312"/>
          <w:sz w:val="30"/>
          <w:szCs w:val="30"/>
          <w:highlight w:val="none"/>
          <w:lang w:eastAsia="zh-CN"/>
        </w:rPr>
        <w:t>费用</w:t>
      </w:r>
      <w:r>
        <w:rPr>
          <w:rFonts w:hint="eastAsia" w:ascii="仿宋_GB2312" w:hAnsi="仿宋_GB2312" w:eastAsia="仿宋_GB2312" w:cs="仿宋_GB2312"/>
          <w:sz w:val="30"/>
          <w:szCs w:val="30"/>
          <w:highlight w:val="none"/>
        </w:rPr>
        <w:t>。</w:t>
      </w:r>
    </w:p>
    <w:p>
      <w:pPr>
        <w:snapToGrid w:val="0"/>
        <w:spacing w:line="360" w:lineRule="auto"/>
        <w:ind w:firstLine="602" w:firstLineChars="200"/>
        <w:rPr>
          <w:rFonts w:ascii="仿宋_GB2312" w:hAnsi="宋体" w:eastAsia="仿宋_GB2312"/>
          <w:b/>
          <w:sz w:val="30"/>
          <w:szCs w:val="30"/>
          <w:highlight w:val="none"/>
        </w:rPr>
      </w:pPr>
      <w:r>
        <w:rPr>
          <w:rFonts w:hint="eastAsia" w:ascii="仿宋_GB2312" w:hAnsi="宋体" w:eastAsia="仿宋_GB2312"/>
          <w:b/>
          <w:sz w:val="30"/>
          <w:szCs w:val="30"/>
          <w:highlight w:val="none"/>
        </w:rPr>
        <w:t>第九条  付息和兑付</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 xml:space="preserve">甲方委托中央国债登记结算有限责任公司代为拨付柜台债券本息款。中央国债登记结算有限责任公司在足额收到甲方的委托款项后，不迟于柜台债券付息/兑付日前一个工作日，向乙方支付其客户持有柜台债券的付息资金或付息资金加到期本金（视该日为利息支付日或本息支付日决定）。乙方应当于债券付息日或者到期日一次、足额将兑付资金划入柜台投资者资金账户。 </w:t>
      </w:r>
    </w:p>
    <w:p>
      <w:pPr>
        <w:snapToGrid w:val="0"/>
        <w:spacing w:line="360" w:lineRule="auto"/>
        <w:ind w:firstLine="590" w:firstLineChars="196"/>
        <w:rPr>
          <w:rFonts w:ascii="仿宋_GB2312" w:hAnsi="宋体" w:eastAsia="仿宋_GB2312"/>
          <w:b/>
          <w:sz w:val="30"/>
          <w:szCs w:val="30"/>
          <w:highlight w:val="none"/>
        </w:rPr>
      </w:pPr>
      <w:r>
        <w:rPr>
          <w:rFonts w:hint="eastAsia" w:ascii="仿宋_GB2312" w:hAnsi="宋体" w:eastAsia="仿宋_GB2312"/>
          <w:b/>
          <w:sz w:val="30"/>
          <w:szCs w:val="30"/>
          <w:highlight w:val="none"/>
        </w:rPr>
        <w:t>第十条</w:t>
      </w:r>
      <w:r>
        <w:rPr>
          <w:rFonts w:ascii="仿宋_GB2312" w:hAnsi="宋体" w:eastAsia="仿宋_GB2312"/>
          <w:b/>
          <w:sz w:val="30"/>
          <w:szCs w:val="30"/>
          <w:highlight w:val="none"/>
        </w:rPr>
        <w:t xml:space="preserve">  </w:t>
      </w:r>
      <w:r>
        <w:rPr>
          <w:rFonts w:hint="eastAsia" w:ascii="仿宋_GB2312" w:hAnsi="宋体" w:eastAsia="仿宋_GB2312"/>
          <w:b/>
          <w:sz w:val="30"/>
          <w:szCs w:val="30"/>
          <w:highlight w:val="none"/>
        </w:rPr>
        <w:t>登记托管</w:t>
      </w:r>
    </w:p>
    <w:p>
      <w:pPr>
        <w:snapToGrid w:val="0"/>
        <w:spacing w:line="360" w:lineRule="auto"/>
        <w:ind w:firstLine="470"/>
        <w:rPr>
          <w:rFonts w:ascii="仿宋_GB2312" w:hAnsi="宋体" w:eastAsia="仿宋_GB2312"/>
          <w:b/>
          <w:sz w:val="30"/>
          <w:szCs w:val="30"/>
          <w:highlight w:val="none"/>
        </w:rPr>
      </w:pPr>
      <w:r>
        <w:rPr>
          <w:rFonts w:hint="eastAsia" w:ascii="仿宋_GB2312" w:hAnsi="宋体" w:eastAsia="仿宋_GB2312"/>
          <w:sz w:val="30"/>
          <w:szCs w:val="30"/>
          <w:highlight w:val="none"/>
        </w:rPr>
        <w:t>按照有关规定，柜台债券实行两级托管体制。中央国债登记结算有限责任公司为柜台债券的一级托管人，乙方为柜台债券的二级托管人。</w:t>
      </w:r>
    </w:p>
    <w:p>
      <w:pPr>
        <w:snapToGrid w:val="0"/>
        <w:spacing w:line="360" w:lineRule="auto"/>
        <w:ind w:firstLine="590" w:firstLineChars="196"/>
        <w:rPr>
          <w:rFonts w:ascii="仿宋_GB2312" w:hAnsi="宋体" w:eastAsia="仿宋_GB2312"/>
          <w:b/>
          <w:sz w:val="30"/>
          <w:szCs w:val="30"/>
          <w:highlight w:val="none"/>
        </w:rPr>
      </w:pPr>
      <w:r>
        <w:rPr>
          <w:rFonts w:hint="eastAsia" w:ascii="仿宋_GB2312" w:hAnsi="宋体" w:eastAsia="仿宋_GB2312"/>
          <w:b/>
          <w:sz w:val="30"/>
          <w:szCs w:val="30"/>
          <w:highlight w:val="none"/>
        </w:rPr>
        <w:t>第十一条</w:t>
      </w:r>
      <w:r>
        <w:rPr>
          <w:rFonts w:ascii="仿宋_GB2312" w:hAnsi="宋体" w:eastAsia="仿宋_GB2312"/>
          <w:b/>
          <w:sz w:val="30"/>
          <w:szCs w:val="30"/>
          <w:highlight w:val="none"/>
        </w:rPr>
        <w:t xml:space="preserve">  </w:t>
      </w:r>
      <w:r>
        <w:rPr>
          <w:rFonts w:hint="eastAsia" w:ascii="仿宋_GB2312" w:hAnsi="宋体" w:eastAsia="仿宋_GB2312"/>
          <w:b/>
          <w:sz w:val="30"/>
          <w:szCs w:val="30"/>
          <w:highlight w:val="none"/>
        </w:rPr>
        <w:t>信息披露</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一、甲方应按照监管机构相关规定做好柜台债券发行的信息披露工作。甲方应向市场发布发行办法、招投标书及发行公告等相关发行文件。</w:t>
      </w:r>
    </w:p>
    <w:p>
      <w:pPr>
        <w:snapToGrid w:val="0"/>
        <w:spacing w:line="360" w:lineRule="auto"/>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rPr>
        <w:t>（一）甲方应在债券发行文件中载明是否允许在柜台市场分销债券及柜台债券计划分销最高限额。</w:t>
      </w:r>
    </w:p>
    <w:p>
      <w:pPr>
        <w:snapToGrid w:val="0"/>
        <w:spacing w:line="360" w:lineRule="auto"/>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rPr>
        <w:t>（二）甲方应在债券发行文件中载明适用于柜台债券的投资者范围，包括个人、企业、金融机构等符合《办法》中规定的柜台投资者进行分销。</w:t>
      </w:r>
    </w:p>
    <w:p>
      <w:pPr>
        <w:snapToGrid w:val="0"/>
        <w:spacing w:line="360" w:lineRule="auto"/>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rPr>
        <w:t>（三）甲方应在债券发行文件中载明本协议约定需载明的及适用于柜台债券的特殊事项。</w:t>
      </w:r>
    </w:p>
    <w:p>
      <w:pPr>
        <w:snapToGrid w:val="0"/>
        <w:spacing w:line="360" w:lineRule="auto"/>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rPr>
        <w:t>（四）除非另行书面说明，甲方对于银行间市场的债券信息披露义务亦适用于柜台债券。</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二、乙方应按照监管机构相关规定做好柜台分销和交易债券的信息披露工作，包括但不限于及时披露可能影响柜台债券投资人权益的相关信息。</w:t>
      </w:r>
    </w:p>
    <w:p>
      <w:pPr>
        <w:snapToGrid w:val="0"/>
        <w:spacing w:line="360" w:lineRule="auto"/>
        <w:ind w:firstLine="590" w:firstLineChars="196"/>
        <w:rPr>
          <w:rFonts w:ascii="仿宋_GB2312" w:hAnsi="宋体" w:eastAsia="仿宋_GB2312"/>
          <w:b/>
          <w:sz w:val="30"/>
          <w:szCs w:val="30"/>
          <w:highlight w:val="none"/>
        </w:rPr>
      </w:pPr>
      <w:r>
        <w:rPr>
          <w:rFonts w:hint="eastAsia" w:ascii="仿宋_GB2312" w:hAnsi="宋体" w:eastAsia="仿宋_GB2312"/>
          <w:b/>
          <w:sz w:val="30"/>
          <w:szCs w:val="30"/>
          <w:highlight w:val="none"/>
        </w:rPr>
        <w:t>第十二条</w:t>
      </w:r>
      <w:r>
        <w:rPr>
          <w:rFonts w:ascii="仿宋_GB2312" w:hAnsi="宋体" w:eastAsia="仿宋_GB2312"/>
          <w:b/>
          <w:sz w:val="30"/>
          <w:szCs w:val="30"/>
          <w:highlight w:val="none"/>
        </w:rPr>
        <w:t xml:space="preserve">   </w:t>
      </w:r>
      <w:r>
        <w:rPr>
          <w:rFonts w:hint="eastAsia" w:ascii="仿宋_GB2312" w:hAnsi="宋体" w:eastAsia="仿宋_GB2312"/>
          <w:b/>
          <w:sz w:val="30"/>
          <w:szCs w:val="30"/>
          <w:highlight w:val="none"/>
        </w:rPr>
        <w:t>甲方权利和义务</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一、甲方权利：</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（一）有权根据柜台债券计划发行总量，自主决定乙方柜台债券计划分销最高限额。</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（二）有权与乙方协商确定适用于当期柜台债券的发行条件、程序和方式等。</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（三）按照国家政策及财政部、监管机构相关文件和发行文件要求，甲方自主运用发债资金。</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（四）如遇发行环境发生重大变化</w:t>
      </w:r>
      <w:r>
        <w:rPr>
          <w:rFonts w:ascii="仿宋_GB2312" w:hAnsi="宋体" w:eastAsia="仿宋_GB2312"/>
          <w:sz w:val="30"/>
          <w:szCs w:val="30"/>
          <w:highlight w:val="none"/>
        </w:rPr>
        <w:t>,</w:t>
      </w:r>
      <w:r>
        <w:rPr>
          <w:rFonts w:hint="eastAsia" w:ascii="仿宋_GB2312" w:hAnsi="宋体" w:eastAsia="仿宋_GB2312"/>
          <w:sz w:val="30"/>
          <w:szCs w:val="30"/>
          <w:highlight w:val="none"/>
        </w:rPr>
        <w:t>甲方有权在分销期开始前（乙方未开展预售或销售前）决定取消/减少柜台债券在柜台市场的分销或变更相关发行要素。</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（五）有权根据</w:t>
      </w:r>
      <w:r>
        <w:rPr>
          <w:rFonts w:hint="eastAsia" w:ascii="仿宋_GB2312" w:eastAsia="仿宋_GB2312"/>
          <w:sz w:val="30"/>
          <w:szCs w:val="30"/>
          <w:highlight w:val="none"/>
        </w:rPr>
        <w:t>债券发行需要和柜台业务开展情况，选择、增补或调整承办银行。</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（六）如乙方不再是202</w:t>
      </w:r>
      <w:r>
        <w:rPr>
          <w:rFonts w:hint="eastAsia" w:ascii="仿宋_GB2312" w:hAnsi="宋体" w:eastAsia="仿宋_GB2312"/>
          <w:sz w:val="30"/>
          <w:szCs w:val="30"/>
          <w:highlight w:val="none"/>
          <w:lang w:val="en-US" w:eastAsia="zh-CN"/>
        </w:rPr>
        <w:t>4</w:t>
      </w:r>
      <w:r>
        <w:rPr>
          <w:rFonts w:hint="eastAsia" w:ascii="仿宋_GB2312" w:hAnsi="宋体" w:eastAsia="仿宋_GB2312"/>
          <w:sz w:val="30"/>
          <w:szCs w:val="30"/>
          <w:highlight w:val="none"/>
        </w:rPr>
        <w:t>-202</w:t>
      </w:r>
      <w:r>
        <w:rPr>
          <w:rFonts w:hint="eastAsia" w:ascii="仿宋_GB2312" w:hAnsi="宋体" w:eastAsia="仿宋_GB2312"/>
          <w:sz w:val="30"/>
          <w:szCs w:val="30"/>
          <w:highlight w:val="none"/>
          <w:lang w:val="en-US" w:eastAsia="zh-CN"/>
        </w:rPr>
        <w:t>6</w:t>
      </w:r>
      <w:r>
        <w:rPr>
          <w:rFonts w:hint="eastAsia" w:ascii="仿宋_GB2312" w:hAnsi="宋体" w:eastAsia="仿宋_GB2312"/>
          <w:sz w:val="30"/>
          <w:szCs w:val="30"/>
          <w:highlight w:val="none"/>
        </w:rPr>
        <w:t>年大</w:t>
      </w:r>
      <w:r>
        <w:rPr>
          <w:rFonts w:ascii="仿宋_GB2312" w:hAnsi="宋体" w:eastAsia="仿宋_GB2312"/>
          <w:sz w:val="30"/>
          <w:szCs w:val="30"/>
          <w:highlight w:val="none"/>
        </w:rPr>
        <w:t>连市</w:t>
      </w:r>
      <w:r>
        <w:rPr>
          <w:rFonts w:hint="eastAsia" w:ascii="仿宋_GB2312" w:hAnsi="宋体" w:eastAsia="仿宋_GB2312"/>
          <w:sz w:val="30"/>
          <w:szCs w:val="30"/>
          <w:highlight w:val="none"/>
        </w:rPr>
        <w:t>政府债券公开发行承销团成员，甲方有权终止与乙方的柜台债券分销合作关系。</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二、甲方义务：</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（一）依约履行足额偿付到期柜台债券本息的义务。</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（二）按本协议及各期债券发行文件的规定向乙方支付柜台分销费</w:t>
      </w:r>
      <w:r>
        <w:rPr>
          <w:rFonts w:hint="eastAsia" w:ascii="仿宋_GB2312" w:hAnsi="宋体" w:eastAsia="仿宋_GB2312"/>
          <w:sz w:val="30"/>
          <w:szCs w:val="30"/>
          <w:highlight w:val="none"/>
          <w:lang w:eastAsia="zh-CN"/>
        </w:rPr>
        <w:t>用</w:t>
      </w:r>
      <w:r>
        <w:rPr>
          <w:rFonts w:hint="eastAsia" w:ascii="仿宋_GB2312" w:hAnsi="宋体" w:eastAsia="仿宋_GB2312"/>
          <w:sz w:val="30"/>
          <w:szCs w:val="30"/>
          <w:highlight w:val="none"/>
        </w:rPr>
        <w:t>。</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（三）保证其采用的柜台债券发行方式符合财政部有关规定。</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（四）按本协议约定及时披露信息，并保证所披露信息的合法性、真实性、准确性和完备性。</w:t>
      </w:r>
    </w:p>
    <w:p>
      <w:pPr>
        <w:snapToGrid w:val="0"/>
        <w:spacing w:line="360" w:lineRule="auto"/>
        <w:ind w:firstLine="590" w:firstLineChars="196"/>
        <w:rPr>
          <w:rFonts w:ascii="仿宋_GB2312" w:hAnsi="宋体" w:eastAsia="仿宋_GB2312"/>
          <w:b/>
          <w:sz w:val="30"/>
          <w:szCs w:val="30"/>
          <w:highlight w:val="none"/>
        </w:rPr>
      </w:pPr>
      <w:r>
        <w:rPr>
          <w:rFonts w:hint="eastAsia" w:ascii="仿宋_GB2312" w:hAnsi="宋体" w:eastAsia="仿宋_GB2312"/>
          <w:b/>
          <w:sz w:val="30"/>
          <w:szCs w:val="30"/>
          <w:highlight w:val="none"/>
        </w:rPr>
        <w:t>第十三条</w:t>
      </w:r>
      <w:r>
        <w:rPr>
          <w:rFonts w:ascii="仿宋_GB2312" w:hAnsi="宋体" w:eastAsia="仿宋_GB2312"/>
          <w:b/>
          <w:sz w:val="30"/>
          <w:szCs w:val="30"/>
          <w:highlight w:val="none"/>
        </w:rPr>
        <w:t xml:space="preserve"> </w:t>
      </w:r>
      <w:r>
        <w:rPr>
          <w:rFonts w:hint="eastAsia" w:ascii="仿宋_GB2312" w:hAnsi="宋体" w:eastAsia="仿宋_GB2312"/>
          <w:b/>
          <w:sz w:val="30"/>
          <w:szCs w:val="30"/>
          <w:highlight w:val="none"/>
        </w:rPr>
        <w:t>乙方权利和义务</w:t>
      </w:r>
    </w:p>
    <w:p>
      <w:pPr>
        <w:snapToGrid w:val="0"/>
        <w:spacing w:line="360" w:lineRule="auto"/>
        <w:ind w:firstLine="588" w:firstLineChars="196"/>
        <w:rPr>
          <w:rFonts w:ascii="仿宋_GB2312" w:hAnsi="宋体" w:eastAsia="仿宋_GB2312"/>
          <w:sz w:val="30"/>
          <w:szCs w:val="30"/>
          <w:highlight w:val="none"/>
        </w:rPr>
      </w:pPr>
      <w:r>
        <w:rPr>
          <w:rFonts w:hint="eastAsia" w:ascii="仿宋_GB2312" w:hAnsi="宋体" w:eastAsia="仿宋_GB2312"/>
          <w:sz w:val="30"/>
          <w:szCs w:val="30"/>
          <w:highlight w:val="none"/>
        </w:rPr>
        <w:t>一、乙方权利：</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（一）有权按照本协议约定参与本协议有效期内甲方各期柜台债券的分销。</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（二）向甲方收取其持有柜台债券的到期本金和利息，并代客户向甲方收取客户持有的柜台债券的到期本金和利息。</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（三）有权通过乙方渠道，按照甲方的债券发行文件，向个人、企业、金融机构等《办法》中规定的柜台投资者分销柜台债券。</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（四）按甲方的债券发行文件，向甲方收取柜台分销</w:t>
      </w:r>
      <w:r>
        <w:rPr>
          <w:rFonts w:hint="eastAsia" w:ascii="仿宋_GB2312" w:hAnsi="宋体" w:eastAsia="仿宋_GB2312"/>
          <w:sz w:val="30"/>
          <w:szCs w:val="30"/>
          <w:highlight w:val="none"/>
          <w:lang w:eastAsia="zh-CN"/>
        </w:rPr>
        <w:t>费用</w:t>
      </w:r>
      <w:r>
        <w:rPr>
          <w:rFonts w:hint="eastAsia" w:ascii="仿宋_GB2312" w:hAnsi="宋体" w:eastAsia="仿宋_GB2312"/>
          <w:sz w:val="30"/>
          <w:szCs w:val="30"/>
          <w:highlight w:val="none"/>
        </w:rPr>
        <w:t>。</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（五）对于甲方发行的各期柜台债券，乙方有权选择是否参与当期柜台债券分销。</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（六）有权终止与甲方的柜台债券分销合作关系，但须提前十个工作日书面通知甲方并征得甲方同意（以甲方收到书面通知之日起算）。</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（七）有权获得本协议项下柜台债券发行有关的所有应依法公告的信息。</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（八）在其他相关业务宣传及合作中，可使用“202</w:t>
      </w:r>
      <w:r>
        <w:rPr>
          <w:rFonts w:hint="eastAsia" w:ascii="仿宋_GB2312" w:hAnsi="宋体" w:eastAsia="仿宋_GB2312"/>
          <w:sz w:val="30"/>
          <w:szCs w:val="30"/>
          <w:highlight w:val="none"/>
          <w:lang w:val="en-US" w:eastAsia="zh-CN"/>
        </w:rPr>
        <w:t>4</w:t>
      </w:r>
      <w:r>
        <w:rPr>
          <w:rFonts w:hint="eastAsia" w:ascii="仿宋_GB2312" w:hAnsi="宋体" w:eastAsia="仿宋_GB2312"/>
          <w:sz w:val="30"/>
          <w:szCs w:val="30"/>
          <w:highlight w:val="none"/>
        </w:rPr>
        <w:t>—202</w:t>
      </w:r>
      <w:r>
        <w:rPr>
          <w:rFonts w:hint="eastAsia" w:ascii="仿宋_GB2312" w:hAnsi="宋体" w:eastAsia="仿宋_GB2312"/>
          <w:sz w:val="30"/>
          <w:szCs w:val="30"/>
          <w:highlight w:val="none"/>
          <w:lang w:val="en-US" w:eastAsia="zh-CN"/>
        </w:rPr>
        <w:t>6</w:t>
      </w:r>
      <w:bookmarkStart w:id="0" w:name="_GoBack"/>
      <w:bookmarkEnd w:id="0"/>
      <w:r>
        <w:rPr>
          <w:rFonts w:hint="eastAsia" w:ascii="仿宋_GB2312" w:hAnsi="宋体" w:eastAsia="仿宋_GB2312"/>
          <w:sz w:val="30"/>
          <w:szCs w:val="30"/>
          <w:highlight w:val="none"/>
        </w:rPr>
        <w:t>年大连</w:t>
      </w:r>
      <w:r>
        <w:rPr>
          <w:rFonts w:ascii="仿宋_GB2312" w:hAnsi="宋体" w:eastAsia="仿宋_GB2312"/>
          <w:sz w:val="30"/>
          <w:szCs w:val="30"/>
          <w:highlight w:val="none"/>
        </w:rPr>
        <w:t>市</w:t>
      </w:r>
      <w:r>
        <w:rPr>
          <w:rFonts w:hint="eastAsia" w:ascii="仿宋_GB2312" w:hAnsi="宋体" w:eastAsia="仿宋_GB2312"/>
          <w:sz w:val="30"/>
          <w:szCs w:val="30"/>
          <w:highlight w:val="none"/>
        </w:rPr>
        <w:t>政府债券柜台业务承办银行”这一称谓。</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二、乙方义务：</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（一）具备法律法规和人民银行规定的从事柜台债券业务的资格条件。</w:t>
      </w:r>
    </w:p>
    <w:p>
      <w:pPr>
        <w:snapToGrid w:val="0"/>
        <w:spacing w:line="360" w:lineRule="auto"/>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rPr>
        <w:t>（二）按时足额将柜台债券分销款项划入甲方指定的银行账户。甲方收</w:t>
      </w:r>
      <w:r>
        <w:rPr>
          <w:rFonts w:ascii="仿宋_GB2312" w:hAnsi="宋体" w:eastAsia="仿宋_GB2312"/>
          <w:sz w:val="30"/>
          <w:szCs w:val="30"/>
          <w:highlight w:val="none"/>
        </w:rPr>
        <w:t>取发行款的账户为：</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收款户名：大连市财政局</w:t>
      </w:r>
    </w:p>
    <w:p>
      <w:pPr>
        <w:snapToGrid w:val="0"/>
        <w:spacing w:line="360" w:lineRule="auto"/>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rPr>
        <w:t>收款</w:t>
      </w:r>
      <w:r>
        <w:rPr>
          <w:rFonts w:ascii="仿宋_GB2312" w:hAnsi="宋体" w:eastAsia="仿宋_GB2312"/>
          <w:sz w:val="30"/>
          <w:szCs w:val="30"/>
          <w:highlight w:val="none"/>
        </w:rPr>
        <w:t>账号：</w:t>
      </w:r>
      <w:r>
        <w:rPr>
          <w:rFonts w:hint="eastAsia" w:ascii="仿宋_GB2312" w:hAnsi="宋体" w:eastAsia="仿宋_GB2312"/>
          <w:sz w:val="30"/>
          <w:szCs w:val="30"/>
          <w:highlight w:val="none"/>
        </w:rPr>
        <w:t>350100000003271001</w:t>
      </w:r>
    </w:p>
    <w:p>
      <w:pPr>
        <w:snapToGrid w:val="0"/>
        <w:spacing w:line="360" w:lineRule="auto"/>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rPr>
        <w:t>开户银行：国家金库大连市分库</w:t>
      </w:r>
    </w:p>
    <w:p>
      <w:pPr>
        <w:snapToGrid w:val="0"/>
        <w:spacing w:line="360" w:lineRule="auto"/>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rPr>
        <w:t>收款行行号：011222002115</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（三）在甲方及时、足额向乙方划转债券本息资金后，乙方应及时、足额向乙方客户（甲方柜台债券持有人）划转柜台债券到期本金和利息，乙方没有义务垫付上述本金或利息。</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（四）积极组织和宣传向柜台投资者的分销工作，并严格按照中标的柜台债券计划分销额进行分销，不得超额销售。</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（五）应按照相关规定，做好甲方柜台债券分销工作和交易价格的报送工作。</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（六）乙方应将联络地址、电话、柜台债券分销和交易经办部门、授权代理人及其变更等情况及时书面通知甲方。</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（七）乙方应按照柜台市场债券做市有关管理规定，通过其柜台、网银等营业渠道向个人、企业、金融机构及人民银行在《办法》中规定的其他投资者开展双边报价做市。</w:t>
      </w:r>
    </w:p>
    <w:p>
      <w:pPr>
        <w:snapToGrid w:val="0"/>
        <w:spacing w:line="360" w:lineRule="auto"/>
        <w:ind w:firstLine="590" w:firstLineChars="196"/>
        <w:rPr>
          <w:rFonts w:ascii="仿宋_GB2312" w:hAnsi="宋体" w:eastAsia="仿宋_GB2312"/>
          <w:b/>
          <w:sz w:val="30"/>
          <w:szCs w:val="30"/>
          <w:highlight w:val="none"/>
        </w:rPr>
      </w:pPr>
      <w:r>
        <w:rPr>
          <w:rFonts w:hint="eastAsia" w:ascii="仿宋_GB2312" w:hAnsi="宋体" w:eastAsia="仿宋_GB2312"/>
          <w:b/>
          <w:sz w:val="30"/>
          <w:szCs w:val="30"/>
          <w:highlight w:val="none"/>
        </w:rPr>
        <w:t>第十四条</w:t>
      </w:r>
      <w:r>
        <w:rPr>
          <w:rFonts w:ascii="仿宋_GB2312" w:hAnsi="宋体" w:eastAsia="仿宋_GB2312"/>
          <w:b/>
          <w:sz w:val="30"/>
          <w:szCs w:val="30"/>
          <w:highlight w:val="none"/>
        </w:rPr>
        <w:t xml:space="preserve"> </w:t>
      </w:r>
      <w:r>
        <w:rPr>
          <w:rFonts w:hint="eastAsia" w:ascii="仿宋_GB2312" w:hAnsi="宋体" w:eastAsia="仿宋_GB2312"/>
          <w:b/>
          <w:sz w:val="30"/>
          <w:szCs w:val="30"/>
          <w:highlight w:val="none"/>
        </w:rPr>
        <w:t>违约责任</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一、乙方如超额向甲方划付资金，必须向甲方递交多划资金退款申请，甲方在收到乙方退款申请</w:t>
      </w:r>
      <w:r>
        <w:rPr>
          <w:rFonts w:hint="eastAsia" w:ascii="Times New Roman" w:hAnsi="Times New Roman" w:eastAsia="仿宋_GB2312" w:cs="仿宋_GB2312"/>
          <w:sz w:val="30"/>
          <w:szCs w:val="30"/>
          <w:highlight w:val="none"/>
        </w:rPr>
        <w:t>并予以确认</w:t>
      </w:r>
      <w:r>
        <w:rPr>
          <w:rFonts w:hint="eastAsia" w:ascii="仿宋_GB2312" w:hAnsi="宋体" w:eastAsia="仿宋_GB2312"/>
          <w:sz w:val="30"/>
          <w:szCs w:val="30"/>
          <w:highlight w:val="none"/>
        </w:rPr>
        <w:t>后3个工作日内将多划资金退还乙方，对于多划资金滞留期间的利息，甲方不再返还；乙方如提前向甲方划付资金，必须向甲方递交退款申请，甲方在收到乙方退款申请后3个工作日内将资金退还乙方，对于该笔资金滞留期间的利息，甲方不再返还。</w:t>
      </w:r>
    </w:p>
    <w:p>
      <w:pPr>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二、甲方如未依约履行柜台债券还本付息义务或未按约定的时间支付柜台分销</w:t>
      </w:r>
      <w:r>
        <w:rPr>
          <w:rFonts w:hint="eastAsia" w:ascii="仿宋_GB2312" w:hAnsi="宋体" w:eastAsia="仿宋_GB2312"/>
          <w:sz w:val="30"/>
          <w:szCs w:val="30"/>
          <w:highlight w:val="none"/>
          <w:lang w:eastAsia="zh-CN"/>
        </w:rPr>
        <w:t>费用</w:t>
      </w:r>
      <w:r>
        <w:rPr>
          <w:rFonts w:hint="eastAsia" w:ascii="仿宋_GB2312" w:hAnsi="宋体" w:eastAsia="仿宋_GB2312"/>
          <w:sz w:val="30"/>
          <w:szCs w:val="30"/>
          <w:highlight w:val="none"/>
        </w:rPr>
        <w:t>，应立即足额向乙方补划有关款项；付款逾期一个工作日（不含）以上，</w:t>
      </w:r>
      <w:r>
        <w:rPr>
          <w:rFonts w:hint="eastAsia" w:ascii="Times New Roman" w:hAnsi="Times New Roman" w:eastAsia="仿宋_GB2312" w:cs="仿宋_GB2312"/>
          <w:sz w:val="30"/>
          <w:szCs w:val="30"/>
          <w:highlight w:val="none"/>
        </w:rPr>
        <w:t>未付部分应按当期柜台债券票面利率的两倍折成日利率，从应支付截止日起，至实际支付日止（不含实际支付日）计算，向乙方支付违约金。</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三、乙方如借分销柜台债券之机超额分销债券，超额分销部分甲方不予确认，责任由乙方承担。</w:t>
      </w:r>
    </w:p>
    <w:p>
      <w:pPr>
        <w:spacing w:line="360" w:lineRule="auto"/>
        <w:ind w:firstLine="600" w:firstLineChars="200"/>
        <w:rPr>
          <w:rFonts w:ascii="Times New Roman" w:hAnsi="Times New Roman" w:eastAsia="仿宋_GB2312" w:cs="仿宋_GB2312"/>
          <w:sz w:val="30"/>
          <w:szCs w:val="30"/>
          <w:highlight w:val="none"/>
        </w:rPr>
      </w:pPr>
      <w:r>
        <w:rPr>
          <w:rFonts w:hint="eastAsia" w:ascii="仿宋_GB2312" w:hAnsi="宋体" w:eastAsia="仿宋_GB2312"/>
          <w:sz w:val="30"/>
          <w:szCs w:val="30"/>
          <w:highlight w:val="none"/>
        </w:rPr>
        <w:t>四、</w:t>
      </w:r>
      <w:r>
        <w:rPr>
          <w:rFonts w:hint="eastAsia" w:ascii="Times New Roman" w:hAnsi="Times New Roman" w:eastAsia="仿宋_GB2312" w:cs="仿宋_GB2312"/>
          <w:sz w:val="30"/>
          <w:szCs w:val="30"/>
          <w:highlight w:val="none"/>
        </w:rPr>
        <w:t>二、乙方如未能依约支付分销的柜台债券分销款，应立即足额补划分销款，同时未付部分应按当期柜台债券票面利率的两倍折成日利率，从应缴款日起，至实际支付日止（不含实际支付日）计算，按照甲方收款要求向甲方支付违约金。缴款逾期一个工作日以上，甲方有权取消乙方未付款项部分的分销额度，并通知乙方终止执行与乙方签订的柜台债券分销协议，但乙方对已分销的柜台债券仍应按本协议承担义务及支付违约金。甲方收到乙方应缴分销款及违约金之前，不向乙方支付柜台分销费用。</w:t>
      </w:r>
    </w:p>
    <w:p>
      <w:pPr>
        <w:snapToGrid w:val="0"/>
        <w:spacing w:line="360" w:lineRule="auto"/>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五、甲、乙任何一方违反本协议约定给对方造成损失的，应承担相应赔偿责任。</w:t>
      </w:r>
    </w:p>
    <w:p>
      <w:pPr>
        <w:snapToGrid w:val="0"/>
        <w:spacing w:line="360" w:lineRule="auto"/>
        <w:ind w:firstLine="590" w:firstLineChars="196"/>
        <w:rPr>
          <w:rFonts w:ascii="仿宋_GB2312" w:hAnsi="宋体" w:eastAsia="仿宋_GB2312"/>
          <w:b/>
          <w:sz w:val="30"/>
          <w:szCs w:val="30"/>
          <w:highlight w:val="none"/>
        </w:rPr>
      </w:pPr>
      <w:r>
        <w:rPr>
          <w:rFonts w:hint="eastAsia" w:ascii="仿宋_GB2312" w:hAnsi="宋体" w:eastAsia="仿宋_GB2312"/>
          <w:b/>
          <w:sz w:val="30"/>
          <w:szCs w:val="30"/>
          <w:highlight w:val="none"/>
        </w:rPr>
        <w:t>第十五条</w:t>
      </w:r>
      <w:r>
        <w:rPr>
          <w:rFonts w:ascii="仿宋_GB2312" w:hAnsi="宋体" w:eastAsia="仿宋_GB2312"/>
          <w:b/>
          <w:sz w:val="30"/>
          <w:szCs w:val="30"/>
          <w:highlight w:val="none"/>
        </w:rPr>
        <w:t xml:space="preserve"> </w:t>
      </w:r>
      <w:r>
        <w:rPr>
          <w:rFonts w:hint="eastAsia" w:ascii="仿宋_GB2312" w:hAnsi="宋体" w:eastAsia="仿宋_GB2312"/>
          <w:b/>
          <w:sz w:val="30"/>
          <w:szCs w:val="30"/>
          <w:highlight w:val="none"/>
        </w:rPr>
        <w:t>协议的变更</w:t>
      </w:r>
    </w:p>
    <w:p>
      <w:pPr>
        <w:snapToGrid w:val="0"/>
        <w:spacing w:line="360" w:lineRule="auto"/>
        <w:ind w:firstLine="588" w:firstLineChars="196"/>
        <w:rPr>
          <w:rFonts w:ascii="仿宋_GB2312" w:hAnsi="宋体" w:eastAsia="仿宋_GB2312"/>
          <w:sz w:val="30"/>
          <w:szCs w:val="30"/>
          <w:highlight w:val="none"/>
        </w:rPr>
      </w:pPr>
      <w:r>
        <w:rPr>
          <w:rFonts w:hint="eastAsia" w:ascii="仿宋_GB2312" w:hAnsi="宋体" w:eastAsia="仿宋_GB2312"/>
          <w:sz w:val="30"/>
          <w:szCs w:val="30"/>
          <w:highlight w:val="none"/>
        </w:rPr>
        <w:t>本协议的变更应经双方协商一致，达成书面协议。</w:t>
      </w:r>
    </w:p>
    <w:p>
      <w:pPr>
        <w:snapToGrid w:val="0"/>
        <w:spacing w:line="360" w:lineRule="auto"/>
        <w:ind w:firstLine="588" w:firstLineChars="196"/>
        <w:rPr>
          <w:rFonts w:ascii="仿宋_GB2312" w:hAnsi="宋体" w:eastAsia="仿宋_GB2312"/>
          <w:sz w:val="30"/>
          <w:szCs w:val="30"/>
          <w:highlight w:val="none"/>
        </w:rPr>
      </w:pPr>
      <w:r>
        <w:rPr>
          <w:rFonts w:hint="eastAsia" w:ascii="仿宋_GB2312" w:hAnsi="宋体" w:eastAsia="仿宋_GB2312"/>
          <w:sz w:val="30"/>
          <w:szCs w:val="30"/>
          <w:highlight w:val="none"/>
        </w:rPr>
        <w:t>如在本协议有效期内，</w:t>
      </w:r>
      <w:r>
        <w:rPr>
          <w:rFonts w:hint="eastAsia" w:ascii="Times New Roman" w:hAnsi="Times New Roman" w:eastAsia="仿宋_GB2312" w:cs="仿宋_GB2312"/>
          <w:sz w:val="30"/>
          <w:szCs w:val="30"/>
          <w:highlight w:val="none"/>
        </w:rPr>
        <w:t>财政部关于地方政府债券柜台发行工作的有关规定发生变化时，</w:t>
      </w:r>
      <w:r>
        <w:rPr>
          <w:rFonts w:hint="eastAsia" w:ascii="仿宋_GB2312" w:hAnsi="宋体" w:eastAsia="仿宋_GB2312"/>
          <w:sz w:val="30"/>
          <w:szCs w:val="30"/>
          <w:highlight w:val="none"/>
        </w:rPr>
        <w:t>甲乙双方应协商一致，对本协议进行修改。</w:t>
      </w:r>
    </w:p>
    <w:p>
      <w:pPr>
        <w:snapToGrid w:val="0"/>
        <w:spacing w:line="360" w:lineRule="auto"/>
        <w:ind w:firstLine="590" w:firstLineChars="196"/>
        <w:rPr>
          <w:rFonts w:ascii="仿宋_GB2312" w:hAnsi="宋体" w:eastAsia="仿宋_GB2312"/>
          <w:b/>
          <w:sz w:val="30"/>
          <w:szCs w:val="30"/>
          <w:highlight w:val="none"/>
        </w:rPr>
      </w:pPr>
      <w:r>
        <w:rPr>
          <w:rFonts w:hint="eastAsia" w:ascii="仿宋_GB2312" w:hAnsi="宋体" w:eastAsia="仿宋_GB2312"/>
          <w:b/>
          <w:sz w:val="30"/>
          <w:szCs w:val="30"/>
          <w:highlight w:val="none"/>
        </w:rPr>
        <w:t>第十六条</w:t>
      </w:r>
      <w:r>
        <w:rPr>
          <w:rFonts w:ascii="仿宋_GB2312" w:hAnsi="宋体" w:eastAsia="仿宋_GB2312"/>
          <w:b/>
          <w:sz w:val="30"/>
          <w:szCs w:val="30"/>
          <w:highlight w:val="none"/>
        </w:rPr>
        <w:t xml:space="preserve"> </w:t>
      </w:r>
      <w:r>
        <w:rPr>
          <w:rFonts w:hint="eastAsia" w:ascii="仿宋_GB2312" w:hAnsi="宋体" w:eastAsia="仿宋_GB2312"/>
          <w:b/>
          <w:sz w:val="30"/>
          <w:szCs w:val="30"/>
          <w:highlight w:val="none"/>
        </w:rPr>
        <w:t>争议解决</w:t>
      </w:r>
    </w:p>
    <w:p>
      <w:pPr>
        <w:snapToGrid w:val="0"/>
        <w:spacing w:line="360" w:lineRule="auto"/>
        <w:ind w:firstLine="588" w:firstLineChars="196"/>
        <w:rPr>
          <w:rFonts w:ascii="仿宋_GB2312" w:hAnsi="宋体" w:eastAsia="仿宋_GB2312"/>
          <w:sz w:val="30"/>
          <w:szCs w:val="30"/>
          <w:highlight w:val="none"/>
        </w:rPr>
      </w:pPr>
      <w:r>
        <w:rPr>
          <w:rFonts w:hint="eastAsia" w:ascii="仿宋_GB2312" w:hAnsi="宋体" w:eastAsia="仿宋_GB2312"/>
          <w:sz w:val="30"/>
          <w:szCs w:val="30"/>
          <w:highlight w:val="none"/>
        </w:rPr>
        <w:t>本协议发生争议或纠纷时，双方应通过协商解决；协商不成的，在甲方所在地人民法院通过诉讼解决。</w:t>
      </w:r>
      <w:r>
        <w:rPr>
          <w:rFonts w:ascii="仿宋_GB2312" w:hAnsi="宋体" w:eastAsia="仿宋_GB2312"/>
          <w:sz w:val="30"/>
          <w:szCs w:val="30"/>
          <w:highlight w:val="none"/>
        </w:rPr>
        <w:t xml:space="preserve"> </w:t>
      </w:r>
    </w:p>
    <w:p>
      <w:pPr>
        <w:snapToGrid w:val="0"/>
        <w:spacing w:line="360" w:lineRule="auto"/>
        <w:ind w:firstLine="590" w:firstLineChars="196"/>
        <w:rPr>
          <w:rFonts w:ascii="仿宋_GB2312" w:hAnsi="宋体" w:eastAsia="仿宋_GB2312"/>
          <w:b/>
          <w:sz w:val="30"/>
          <w:szCs w:val="30"/>
          <w:highlight w:val="none"/>
        </w:rPr>
      </w:pPr>
      <w:r>
        <w:rPr>
          <w:rFonts w:hint="eastAsia" w:ascii="仿宋_GB2312" w:hAnsi="宋体" w:eastAsia="仿宋_GB2312"/>
          <w:b/>
          <w:sz w:val="30"/>
          <w:szCs w:val="30"/>
          <w:highlight w:val="none"/>
        </w:rPr>
        <w:t>第十七条</w:t>
      </w:r>
      <w:r>
        <w:rPr>
          <w:rFonts w:ascii="仿宋_GB2312" w:hAnsi="宋体" w:eastAsia="仿宋_GB2312"/>
          <w:b/>
          <w:sz w:val="30"/>
          <w:szCs w:val="30"/>
          <w:highlight w:val="none"/>
        </w:rPr>
        <w:t xml:space="preserve">  </w:t>
      </w:r>
      <w:r>
        <w:rPr>
          <w:rFonts w:hint="eastAsia" w:ascii="仿宋_GB2312" w:hAnsi="宋体" w:eastAsia="仿宋_GB2312"/>
          <w:b/>
          <w:sz w:val="30"/>
          <w:szCs w:val="30"/>
          <w:highlight w:val="none"/>
        </w:rPr>
        <w:t>其他条款</w:t>
      </w:r>
    </w:p>
    <w:p>
      <w:pPr>
        <w:snapToGrid w:val="0"/>
        <w:spacing w:line="360" w:lineRule="auto"/>
        <w:ind w:right="26" w:firstLine="582" w:firstLineChars="194"/>
        <w:rPr>
          <w:rFonts w:ascii="仿宋_GB2312" w:hAnsi="仿宋_GB2312" w:eastAsia="仿宋_GB2312" w:cs="仿宋_GB2312"/>
          <w:sz w:val="30"/>
          <w:szCs w:val="30"/>
          <w:highlight w:val="none"/>
        </w:rPr>
      </w:pPr>
      <w:r>
        <w:rPr>
          <w:rFonts w:hint="eastAsia" w:ascii="仿宋_GB2312" w:hAnsi="宋体" w:eastAsia="仿宋_GB2312"/>
          <w:sz w:val="30"/>
          <w:szCs w:val="30"/>
          <w:highlight w:val="none"/>
        </w:rPr>
        <w:t>一、</w:t>
      </w:r>
      <w:r>
        <w:rPr>
          <w:rFonts w:hint="eastAsia" w:ascii="仿宋_GB2312" w:hAnsi="仿宋_GB2312" w:eastAsia="仿宋_GB2312" w:cs="仿宋_GB2312"/>
          <w:sz w:val="30"/>
          <w:szCs w:val="30"/>
          <w:highlight w:val="none"/>
        </w:rPr>
        <w:t>乙方可委托其分支机构代理签署本协议，并附委托其分支机构签约的授权委托书原件。</w:t>
      </w:r>
    </w:p>
    <w:p>
      <w:pPr>
        <w:snapToGrid w:val="0"/>
        <w:spacing w:line="360" w:lineRule="auto"/>
        <w:ind w:firstLine="588" w:firstLineChars="196"/>
        <w:rPr>
          <w:rFonts w:ascii="仿宋_GB2312" w:hAnsi="宋体" w:eastAsia="仿宋_GB2312"/>
          <w:sz w:val="30"/>
          <w:szCs w:val="30"/>
          <w:highlight w:val="none"/>
        </w:rPr>
      </w:pPr>
      <w:r>
        <w:rPr>
          <w:rFonts w:hint="eastAsia" w:ascii="仿宋_GB2312" w:hAnsi="宋体" w:eastAsia="仿宋_GB2312"/>
          <w:sz w:val="30"/>
          <w:szCs w:val="30"/>
          <w:highlight w:val="none"/>
        </w:rPr>
        <w:t>二、本协议项下附件包括：</w:t>
      </w:r>
    </w:p>
    <w:p>
      <w:pPr>
        <w:snapToGrid w:val="0"/>
        <w:spacing w:line="360" w:lineRule="auto"/>
        <w:ind w:firstLine="588" w:firstLineChars="196"/>
        <w:rPr>
          <w:rFonts w:ascii="仿宋_GB2312" w:hAnsi="宋体" w:eastAsia="仿宋_GB2312"/>
          <w:sz w:val="30"/>
          <w:szCs w:val="30"/>
          <w:highlight w:val="none"/>
        </w:rPr>
      </w:pPr>
      <w:r>
        <w:rPr>
          <w:rFonts w:hint="eastAsia" w:ascii="仿宋_GB2312" w:hAnsi="宋体" w:eastAsia="仿宋_GB2312"/>
          <w:sz w:val="30"/>
          <w:szCs w:val="30"/>
          <w:highlight w:val="none"/>
        </w:rPr>
        <w:t>（一）甲方关于发行相关债券有关事项的通知和信息披露文件、甲乙双方分别通过发行场所的“政府债券发行系统</w:t>
      </w:r>
      <w:r>
        <w:rPr>
          <w:rFonts w:ascii="仿宋_GB2312" w:hAnsi="宋体" w:eastAsia="仿宋_GB2312"/>
          <w:sz w:val="30"/>
          <w:szCs w:val="30"/>
          <w:highlight w:val="none"/>
        </w:rPr>
        <w:t>”</w:t>
      </w:r>
      <w:r>
        <w:rPr>
          <w:rFonts w:hint="eastAsia" w:ascii="仿宋_GB2312" w:hAnsi="宋体" w:eastAsia="仿宋_GB2312"/>
          <w:sz w:val="30"/>
          <w:szCs w:val="30"/>
          <w:highlight w:val="none"/>
        </w:rPr>
        <w:t>出具的招标书和投标书、甲方关于当期债券的发行公告等相关发行文件；</w:t>
      </w:r>
    </w:p>
    <w:p>
      <w:pPr>
        <w:snapToGrid w:val="0"/>
        <w:spacing w:line="360" w:lineRule="auto"/>
        <w:ind w:firstLine="588" w:firstLineChars="196"/>
        <w:rPr>
          <w:rFonts w:ascii="仿宋_GB2312" w:hAnsi="仿宋_GB2312" w:eastAsia="仿宋_GB2312" w:cs="仿宋_GB2312"/>
          <w:sz w:val="30"/>
          <w:szCs w:val="30"/>
          <w:highlight w:val="none"/>
        </w:rPr>
      </w:pPr>
      <w:r>
        <w:rPr>
          <w:rFonts w:hint="eastAsia" w:ascii="仿宋_GB2312" w:hAnsi="宋体" w:eastAsia="仿宋_GB2312"/>
          <w:sz w:val="30"/>
          <w:szCs w:val="30"/>
          <w:highlight w:val="none"/>
        </w:rPr>
        <w:t>（二）乙方</w:t>
      </w:r>
      <w:r>
        <w:rPr>
          <w:rFonts w:hint="eastAsia" w:ascii="仿宋_GB2312" w:hAnsi="仿宋_GB2312" w:eastAsia="仿宋_GB2312" w:cs="仿宋_GB2312"/>
          <w:sz w:val="30"/>
          <w:szCs w:val="30"/>
          <w:highlight w:val="none"/>
        </w:rPr>
        <w:t>委托分支机构代理签署协议授权书原件；</w:t>
      </w:r>
    </w:p>
    <w:p>
      <w:pPr>
        <w:snapToGrid w:val="0"/>
        <w:spacing w:line="360" w:lineRule="auto"/>
        <w:ind w:firstLine="588" w:firstLineChars="196"/>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（三）本协议</w:t>
      </w:r>
      <w:r>
        <w:rPr>
          <w:rFonts w:hint="eastAsia" w:ascii="仿宋_GB2312" w:hAnsi="宋体" w:eastAsia="仿宋_GB2312"/>
          <w:sz w:val="30"/>
          <w:szCs w:val="30"/>
          <w:highlight w:val="none"/>
        </w:rPr>
        <w:t>签字（盖章）</w:t>
      </w:r>
      <w:r>
        <w:rPr>
          <w:rFonts w:hint="eastAsia" w:ascii="仿宋_GB2312" w:hAnsi="仿宋_GB2312" w:eastAsia="仿宋_GB2312" w:cs="仿宋_GB2312"/>
          <w:sz w:val="30"/>
          <w:szCs w:val="30"/>
          <w:highlight w:val="none"/>
        </w:rPr>
        <w:t>授权书。</w:t>
      </w:r>
    </w:p>
    <w:p>
      <w:pPr>
        <w:snapToGrid w:val="0"/>
        <w:spacing w:line="360" w:lineRule="auto"/>
        <w:ind w:firstLine="588" w:firstLineChars="196"/>
        <w:rPr>
          <w:rFonts w:ascii="仿宋_GB2312" w:hAnsi="宋体" w:eastAsia="仿宋_GB2312"/>
          <w:sz w:val="30"/>
          <w:szCs w:val="30"/>
          <w:highlight w:val="none"/>
        </w:rPr>
      </w:pPr>
      <w:r>
        <w:rPr>
          <w:rFonts w:hint="eastAsia" w:ascii="仿宋_GB2312" w:hAnsi="宋体" w:eastAsia="仿宋_GB2312"/>
          <w:sz w:val="30"/>
          <w:szCs w:val="30"/>
          <w:highlight w:val="none"/>
        </w:rPr>
        <w:t>附件为本协议不可分割的组成部分，与本协议具有同等法律效力。</w:t>
      </w:r>
    </w:p>
    <w:p>
      <w:pPr>
        <w:snapToGrid w:val="0"/>
        <w:spacing w:line="360" w:lineRule="auto"/>
        <w:ind w:firstLine="588" w:firstLineChars="196"/>
        <w:rPr>
          <w:rFonts w:ascii="仿宋_GB2312" w:hAnsi="宋体" w:eastAsia="仿宋_GB2312"/>
          <w:sz w:val="30"/>
          <w:szCs w:val="30"/>
          <w:highlight w:val="none"/>
        </w:rPr>
      </w:pPr>
      <w:r>
        <w:rPr>
          <w:rFonts w:hint="eastAsia" w:ascii="仿宋_GB2312" w:hAnsi="宋体" w:eastAsia="仿宋_GB2312"/>
          <w:sz w:val="30"/>
          <w:szCs w:val="30"/>
          <w:highlight w:val="none"/>
        </w:rPr>
        <w:t>三、本协议的未尽事宜，经甲乙双方协商一致，可签订补充协议。补充协议为本协议不可分割的组成部分，与本协议具有同等法律效力。</w:t>
      </w:r>
    </w:p>
    <w:p>
      <w:pPr>
        <w:snapToGrid w:val="0"/>
        <w:spacing w:line="360" w:lineRule="auto"/>
        <w:ind w:firstLine="588" w:firstLineChars="196"/>
        <w:rPr>
          <w:rFonts w:ascii="仿宋_GB2312" w:hAnsi="宋体" w:eastAsia="仿宋_GB2312"/>
          <w:sz w:val="30"/>
          <w:szCs w:val="30"/>
          <w:highlight w:val="none"/>
        </w:rPr>
      </w:pPr>
      <w:r>
        <w:rPr>
          <w:rFonts w:hint="eastAsia" w:ascii="仿宋_GB2312" w:hAnsi="宋体" w:eastAsia="仿宋_GB2312"/>
          <w:sz w:val="30"/>
          <w:szCs w:val="30"/>
          <w:highlight w:val="none"/>
        </w:rPr>
        <w:t>四、本协议正式文本一式四份，甲方执两份，乙方执一份，中央国债登记结算有限责任公司留存一份，具有同等法律效力。</w:t>
      </w:r>
    </w:p>
    <w:p>
      <w:pPr>
        <w:snapToGrid w:val="0"/>
        <w:spacing w:line="360" w:lineRule="auto"/>
        <w:ind w:firstLine="588" w:firstLineChars="196"/>
        <w:rPr>
          <w:rFonts w:ascii="仿宋_GB2312" w:hAnsi="宋体" w:eastAsia="仿宋_GB2312"/>
          <w:sz w:val="30"/>
          <w:szCs w:val="30"/>
          <w:highlight w:val="none"/>
        </w:rPr>
      </w:pPr>
      <w:r>
        <w:rPr>
          <w:rFonts w:hint="eastAsia" w:ascii="仿宋_GB2312" w:hAnsi="宋体" w:eastAsia="仿宋_GB2312"/>
          <w:sz w:val="30"/>
          <w:szCs w:val="30"/>
          <w:highlight w:val="none"/>
        </w:rPr>
        <w:t>五、本协议经双方法定代表人或授权代理人签字（盖章）并加盖公章</w:t>
      </w:r>
      <w:r>
        <w:rPr>
          <w:rFonts w:hint="eastAsia" w:ascii="仿宋_GB2312" w:hAnsi="微软雅黑" w:eastAsia="仿宋_GB2312"/>
          <w:sz w:val="30"/>
          <w:szCs w:val="30"/>
          <w:highlight w:val="none"/>
        </w:rPr>
        <w:t>（或合同专用章）</w:t>
      </w:r>
      <w:r>
        <w:rPr>
          <w:rFonts w:hint="eastAsia" w:ascii="仿宋_GB2312" w:hAnsi="宋体" w:eastAsia="仿宋_GB2312"/>
          <w:sz w:val="30"/>
          <w:szCs w:val="30"/>
          <w:highlight w:val="none"/>
        </w:rPr>
        <w:t>之日起生效。</w:t>
      </w:r>
    </w:p>
    <w:p>
      <w:pPr>
        <w:snapToGrid w:val="0"/>
        <w:spacing w:line="360" w:lineRule="auto"/>
        <w:ind w:firstLine="588" w:firstLineChars="196"/>
        <w:rPr>
          <w:rFonts w:ascii="仿宋_GB2312" w:hAnsi="宋体" w:eastAsia="仿宋_GB2312"/>
          <w:sz w:val="30"/>
          <w:szCs w:val="30"/>
          <w:highlight w:val="none"/>
        </w:rPr>
      </w:pPr>
      <w:r>
        <w:rPr>
          <w:rFonts w:hint="eastAsia" w:ascii="仿宋_GB2312" w:hAnsi="宋体" w:eastAsia="仿宋_GB2312"/>
          <w:sz w:val="30"/>
          <w:szCs w:val="30"/>
          <w:highlight w:val="none"/>
        </w:rPr>
        <w:t>六、本协议有效期为甲乙双方签署之日至202</w:t>
      </w:r>
      <w:r>
        <w:rPr>
          <w:rFonts w:hint="eastAsia" w:ascii="仿宋_GB2312" w:hAnsi="宋体" w:eastAsia="仿宋_GB2312"/>
          <w:sz w:val="30"/>
          <w:szCs w:val="30"/>
          <w:highlight w:val="none"/>
          <w:lang w:val="en-US" w:eastAsia="zh-CN"/>
        </w:rPr>
        <w:t>6</w:t>
      </w:r>
      <w:r>
        <w:rPr>
          <w:rFonts w:hint="eastAsia" w:ascii="仿宋_GB2312" w:hAnsi="宋体" w:eastAsia="仿宋_GB2312"/>
          <w:sz w:val="30"/>
          <w:szCs w:val="30"/>
          <w:highlight w:val="none"/>
        </w:rPr>
        <w:t>年12月31日止。</w:t>
      </w:r>
    </w:p>
    <w:p>
      <w:pPr>
        <w:snapToGrid w:val="0"/>
        <w:spacing w:line="360" w:lineRule="auto"/>
        <w:ind w:firstLine="588" w:firstLineChars="196"/>
        <w:rPr>
          <w:rFonts w:ascii="仿宋_GB2312" w:hAnsi="宋体" w:eastAsia="仿宋_GB2312"/>
          <w:sz w:val="30"/>
          <w:szCs w:val="30"/>
          <w:highlight w:val="none"/>
        </w:rPr>
      </w:pPr>
    </w:p>
    <w:p>
      <w:pPr>
        <w:snapToGrid w:val="0"/>
        <w:spacing w:line="360" w:lineRule="auto"/>
        <w:ind w:firstLine="588" w:firstLineChars="196"/>
        <w:rPr>
          <w:rFonts w:ascii="仿宋_GB2312" w:hAnsi="宋体" w:eastAsia="仿宋_GB2312"/>
          <w:sz w:val="30"/>
          <w:szCs w:val="30"/>
          <w:highlight w:val="none"/>
        </w:rPr>
      </w:pPr>
    </w:p>
    <w:p>
      <w:pPr>
        <w:snapToGrid w:val="0"/>
        <w:spacing w:line="360" w:lineRule="auto"/>
        <w:rPr>
          <w:rFonts w:ascii="仿宋_GB2312" w:eastAsia="仿宋_GB2312"/>
          <w:sz w:val="30"/>
          <w:szCs w:val="30"/>
          <w:highlight w:val="none"/>
        </w:rPr>
      </w:pPr>
      <w:r>
        <w:rPr>
          <w:rFonts w:hint="eastAsia" w:ascii="仿宋_GB2312" w:eastAsia="仿宋_GB2312"/>
          <w:sz w:val="30"/>
          <w:szCs w:val="30"/>
          <w:highlight w:val="none"/>
        </w:rPr>
        <w:t>甲方：</w:t>
      </w:r>
      <w:r>
        <w:rPr>
          <w:rFonts w:ascii="仿宋_GB2312" w:eastAsia="仿宋_GB2312"/>
          <w:sz w:val="30"/>
          <w:szCs w:val="30"/>
          <w:highlight w:val="none"/>
        </w:rPr>
        <w:tab/>
      </w:r>
      <w:r>
        <w:rPr>
          <w:rFonts w:ascii="仿宋_GB2312" w:eastAsia="仿宋_GB2312"/>
          <w:sz w:val="30"/>
          <w:szCs w:val="30"/>
          <w:highlight w:val="none"/>
        </w:rPr>
        <w:tab/>
      </w:r>
      <w:r>
        <w:rPr>
          <w:rFonts w:ascii="仿宋_GB2312" w:eastAsia="仿宋_GB2312"/>
          <w:sz w:val="30"/>
          <w:szCs w:val="30"/>
          <w:highlight w:val="none"/>
        </w:rPr>
        <w:tab/>
      </w:r>
      <w:r>
        <w:rPr>
          <w:rFonts w:ascii="仿宋_GB2312" w:eastAsia="仿宋_GB2312"/>
          <w:sz w:val="30"/>
          <w:szCs w:val="30"/>
          <w:highlight w:val="none"/>
        </w:rPr>
        <w:t xml:space="preserve">    </w:t>
      </w:r>
      <w:r>
        <w:rPr>
          <w:rFonts w:hint="eastAsia" w:ascii="仿宋_GB2312" w:eastAsia="仿宋_GB2312"/>
          <w:sz w:val="30"/>
          <w:szCs w:val="30"/>
          <w:highlight w:val="none"/>
        </w:rPr>
        <w:t>（公章或合同专用章）</w:t>
      </w:r>
    </w:p>
    <w:p>
      <w:pPr>
        <w:snapToGrid w:val="0"/>
        <w:spacing w:line="360" w:lineRule="auto"/>
        <w:rPr>
          <w:rFonts w:ascii="仿宋_GB2312" w:eastAsia="仿宋_GB2312"/>
          <w:sz w:val="30"/>
          <w:szCs w:val="30"/>
          <w:highlight w:val="none"/>
        </w:rPr>
      </w:pPr>
    </w:p>
    <w:p>
      <w:pPr>
        <w:snapToGrid w:val="0"/>
        <w:spacing w:line="360" w:lineRule="auto"/>
        <w:rPr>
          <w:rFonts w:ascii="仿宋_GB2312" w:hAnsi="宋体" w:eastAsia="仿宋_GB2312"/>
          <w:sz w:val="30"/>
          <w:szCs w:val="30"/>
          <w:highlight w:val="none"/>
        </w:rPr>
      </w:pPr>
    </w:p>
    <w:p>
      <w:pPr>
        <w:snapToGrid w:val="0"/>
        <w:spacing w:line="360" w:lineRule="auto"/>
        <w:rPr>
          <w:rFonts w:ascii="仿宋_GB2312" w:eastAsia="仿宋_GB2312"/>
          <w:sz w:val="30"/>
          <w:szCs w:val="30"/>
          <w:highlight w:val="none"/>
        </w:rPr>
      </w:pPr>
      <w:r>
        <w:rPr>
          <w:rFonts w:hint="eastAsia" w:ascii="仿宋_GB2312" w:eastAsia="仿宋_GB2312"/>
          <w:sz w:val="30"/>
          <w:szCs w:val="30"/>
          <w:highlight w:val="none"/>
        </w:rPr>
        <w:t>法定代表人签章：</w:t>
      </w:r>
    </w:p>
    <w:p>
      <w:pPr>
        <w:snapToGrid w:val="0"/>
        <w:spacing w:line="360" w:lineRule="auto"/>
        <w:rPr>
          <w:rFonts w:ascii="仿宋_GB2312" w:eastAsia="仿宋_GB2312"/>
          <w:sz w:val="30"/>
          <w:szCs w:val="30"/>
          <w:highlight w:val="none"/>
        </w:rPr>
      </w:pPr>
      <w:r>
        <w:rPr>
          <w:rFonts w:hint="eastAsia" w:ascii="仿宋_GB2312" w:eastAsia="仿宋_GB2312"/>
          <w:sz w:val="30"/>
          <w:szCs w:val="30"/>
          <w:highlight w:val="none"/>
        </w:rPr>
        <w:t>（或授权代理人）</w:t>
      </w:r>
      <w:r>
        <w:rPr>
          <w:rFonts w:ascii="仿宋_GB2312" w:eastAsia="仿宋_GB2312"/>
          <w:sz w:val="30"/>
          <w:szCs w:val="30"/>
          <w:highlight w:val="none"/>
        </w:rPr>
        <w:tab/>
      </w:r>
      <w:r>
        <w:rPr>
          <w:rFonts w:ascii="仿宋_GB2312" w:eastAsia="仿宋_GB2312"/>
          <w:sz w:val="30"/>
          <w:szCs w:val="30"/>
          <w:highlight w:val="none"/>
        </w:rPr>
        <w:tab/>
      </w:r>
      <w:r>
        <w:rPr>
          <w:rFonts w:ascii="仿宋_GB2312" w:eastAsia="仿宋_GB2312"/>
          <w:sz w:val="30"/>
          <w:szCs w:val="30"/>
          <w:highlight w:val="none"/>
        </w:rPr>
        <w:tab/>
      </w:r>
      <w:r>
        <w:rPr>
          <w:rFonts w:ascii="仿宋_GB2312" w:eastAsia="仿宋_GB2312"/>
          <w:sz w:val="30"/>
          <w:szCs w:val="30"/>
          <w:highlight w:val="none"/>
        </w:rPr>
        <w:tab/>
      </w:r>
      <w:r>
        <w:rPr>
          <w:rFonts w:ascii="仿宋_GB2312" w:eastAsia="仿宋_GB2312"/>
          <w:sz w:val="30"/>
          <w:szCs w:val="30"/>
          <w:highlight w:val="none"/>
        </w:rPr>
        <w:tab/>
      </w:r>
      <w:r>
        <w:rPr>
          <w:rFonts w:ascii="仿宋_GB2312" w:eastAsia="仿宋_GB2312"/>
          <w:sz w:val="30"/>
          <w:szCs w:val="30"/>
          <w:highlight w:val="none"/>
        </w:rPr>
        <w:tab/>
      </w:r>
      <w:r>
        <w:rPr>
          <w:rFonts w:ascii="仿宋_GB2312" w:eastAsia="仿宋_GB2312"/>
          <w:sz w:val="30"/>
          <w:szCs w:val="30"/>
          <w:highlight w:val="none"/>
        </w:rPr>
        <w:tab/>
      </w:r>
      <w:r>
        <w:rPr>
          <w:rFonts w:ascii="仿宋_GB2312" w:eastAsia="仿宋_GB2312"/>
          <w:sz w:val="30"/>
          <w:szCs w:val="30"/>
          <w:highlight w:val="none"/>
        </w:rPr>
        <w:tab/>
      </w:r>
      <w:r>
        <w:rPr>
          <w:rFonts w:ascii="仿宋_GB2312" w:eastAsia="仿宋_GB2312"/>
          <w:sz w:val="30"/>
          <w:szCs w:val="30"/>
          <w:highlight w:val="none"/>
        </w:rPr>
        <w:tab/>
      </w:r>
      <w:r>
        <w:rPr>
          <w:rFonts w:hint="eastAsia" w:ascii="仿宋_GB2312" w:eastAsia="仿宋_GB2312"/>
          <w:sz w:val="30"/>
          <w:szCs w:val="30"/>
          <w:highlight w:val="none"/>
        </w:rPr>
        <w:t>年</w:t>
      </w:r>
      <w:r>
        <w:rPr>
          <w:rFonts w:ascii="仿宋_GB2312" w:eastAsia="仿宋_GB2312"/>
          <w:sz w:val="30"/>
          <w:szCs w:val="30"/>
          <w:highlight w:val="none"/>
        </w:rPr>
        <w:tab/>
      </w:r>
      <w:r>
        <w:rPr>
          <w:rFonts w:ascii="仿宋_GB2312" w:eastAsia="仿宋_GB2312"/>
          <w:sz w:val="30"/>
          <w:szCs w:val="30"/>
          <w:highlight w:val="none"/>
        </w:rPr>
        <w:tab/>
      </w:r>
      <w:r>
        <w:rPr>
          <w:rFonts w:hint="eastAsia" w:ascii="仿宋_GB2312" w:eastAsia="仿宋_GB2312"/>
          <w:sz w:val="30"/>
          <w:szCs w:val="30"/>
          <w:highlight w:val="none"/>
        </w:rPr>
        <w:t>月</w:t>
      </w:r>
      <w:r>
        <w:rPr>
          <w:rFonts w:ascii="仿宋_GB2312" w:eastAsia="仿宋_GB2312"/>
          <w:sz w:val="30"/>
          <w:szCs w:val="30"/>
          <w:highlight w:val="none"/>
        </w:rPr>
        <w:tab/>
      </w:r>
      <w:r>
        <w:rPr>
          <w:rFonts w:ascii="仿宋_GB2312" w:eastAsia="仿宋_GB2312"/>
          <w:sz w:val="30"/>
          <w:szCs w:val="30"/>
          <w:highlight w:val="none"/>
        </w:rPr>
        <w:tab/>
      </w:r>
      <w:r>
        <w:rPr>
          <w:rFonts w:hint="eastAsia" w:ascii="仿宋_GB2312" w:eastAsia="仿宋_GB2312"/>
          <w:sz w:val="30"/>
          <w:szCs w:val="30"/>
          <w:highlight w:val="none"/>
        </w:rPr>
        <w:t>日</w:t>
      </w:r>
    </w:p>
    <w:p>
      <w:pPr>
        <w:snapToGrid w:val="0"/>
        <w:spacing w:line="360" w:lineRule="auto"/>
        <w:rPr>
          <w:rFonts w:ascii="仿宋_GB2312" w:eastAsia="仿宋_GB2312"/>
          <w:sz w:val="30"/>
          <w:szCs w:val="30"/>
          <w:highlight w:val="none"/>
        </w:rPr>
      </w:pPr>
    </w:p>
    <w:p>
      <w:pPr>
        <w:spacing w:line="360" w:lineRule="exact"/>
        <w:rPr>
          <w:rFonts w:ascii="仿宋_GB2312" w:eastAsia="仿宋_GB2312"/>
          <w:sz w:val="30"/>
          <w:szCs w:val="30"/>
          <w:highlight w:val="none"/>
        </w:rPr>
      </w:pPr>
    </w:p>
    <w:p>
      <w:pPr>
        <w:spacing w:line="360" w:lineRule="exact"/>
        <w:rPr>
          <w:rFonts w:ascii="仿宋_GB2312" w:eastAsia="仿宋_GB2312"/>
          <w:sz w:val="30"/>
          <w:szCs w:val="30"/>
          <w:highlight w:val="none"/>
        </w:rPr>
      </w:pPr>
    </w:p>
    <w:p>
      <w:pPr>
        <w:spacing w:line="360" w:lineRule="exact"/>
        <w:rPr>
          <w:rFonts w:ascii="仿宋_GB2312" w:eastAsia="仿宋_GB2312"/>
          <w:sz w:val="30"/>
          <w:szCs w:val="30"/>
          <w:highlight w:val="none"/>
        </w:rPr>
      </w:pPr>
    </w:p>
    <w:p>
      <w:pPr>
        <w:spacing w:line="360" w:lineRule="exact"/>
        <w:rPr>
          <w:rFonts w:ascii="仿宋_GB2312" w:eastAsia="仿宋_GB2312"/>
          <w:sz w:val="30"/>
          <w:szCs w:val="30"/>
          <w:highlight w:val="none"/>
        </w:rPr>
      </w:pPr>
    </w:p>
    <w:p>
      <w:pPr>
        <w:spacing w:line="360" w:lineRule="exact"/>
        <w:rPr>
          <w:rFonts w:ascii="仿宋_GB2312" w:eastAsia="仿宋_GB2312"/>
          <w:sz w:val="30"/>
          <w:szCs w:val="30"/>
          <w:highlight w:val="none"/>
        </w:rPr>
      </w:pPr>
    </w:p>
    <w:p>
      <w:pPr>
        <w:spacing w:line="360" w:lineRule="exact"/>
        <w:rPr>
          <w:rFonts w:ascii="仿宋_GB2312" w:eastAsia="仿宋_GB2312"/>
          <w:sz w:val="30"/>
          <w:szCs w:val="30"/>
          <w:highlight w:val="none"/>
        </w:rPr>
      </w:pPr>
    </w:p>
    <w:p>
      <w:pPr>
        <w:spacing w:line="360" w:lineRule="exact"/>
        <w:rPr>
          <w:rFonts w:ascii="仿宋_GB2312" w:eastAsia="仿宋_GB2312"/>
          <w:sz w:val="30"/>
          <w:szCs w:val="30"/>
          <w:highlight w:val="none"/>
        </w:rPr>
      </w:pPr>
    </w:p>
    <w:p>
      <w:pPr>
        <w:snapToGrid w:val="0"/>
        <w:spacing w:line="360" w:lineRule="auto"/>
        <w:rPr>
          <w:rFonts w:ascii="仿宋_GB2312" w:eastAsia="仿宋_GB2312"/>
          <w:sz w:val="30"/>
          <w:szCs w:val="30"/>
          <w:highlight w:val="none"/>
        </w:rPr>
      </w:pPr>
      <w:r>
        <w:rPr>
          <w:rFonts w:hint="eastAsia" w:ascii="仿宋_GB2312" w:eastAsia="仿宋_GB2312"/>
          <w:sz w:val="30"/>
          <w:szCs w:val="30"/>
          <w:highlight w:val="none"/>
        </w:rPr>
        <w:t xml:space="preserve">乙方：         </w:t>
      </w:r>
      <w:r>
        <w:rPr>
          <w:rFonts w:ascii="仿宋_GB2312" w:eastAsia="仿宋_GB2312"/>
          <w:sz w:val="30"/>
          <w:szCs w:val="30"/>
          <w:highlight w:val="none"/>
        </w:rPr>
        <w:t xml:space="preserve">    </w:t>
      </w:r>
      <w:r>
        <w:rPr>
          <w:rFonts w:hint="eastAsia" w:ascii="仿宋_GB2312" w:hAnsi="宋体" w:eastAsia="仿宋_GB2312"/>
          <w:sz w:val="30"/>
          <w:szCs w:val="30"/>
          <w:highlight w:val="none"/>
        </w:rPr>
        <w:t>（公章</w:t>
      </w:r>
      <w:r>
        <w:rPr>
          <w:rFonts w:hint="eastAsia" w:ascii="仿宋_GB2312" w:eastAsia="仿宋_GB2312"/>
          <w:sz w:val="30"/>
          <w:szCs w:val="30"/>
          <w:highlight w:val="none"/>
        </w:rPr>
        <w:t>或合同专用章</w:t>
      </w:r>
      <w:r>
        <w:rPr>
          <w:rFonts w:hint="eastAsia" w:ascii="仿宋_GB2312" w:hAnsi="宋体" w:eastAsia="仿宋_GB2312"/>
          <w:sz w:val="30"/>
          <w:szCs w:val="30"/>
          <w:highlight w:val="none"/>
        </w:rPr>
        <w:t>）</w:t>
      </w:r>
      <w:r>
        <w:rPr>
          <w:rFonts w:ascii="仿宋_GB2312" w:eastAsia="仿宋_GB2312"/>
          <w:sz w:val="30"/>
          <w:szCs w:val="30"/>
          <w:highlight w:val="none"/>
        </w:rPr>
        <w:tab/>
      </w:r>
      <w:r>
        <w:rPr>
          <w:rFonts w:ascii="仿宋_GB2312" w:eastAsia="仿宋_GB2312"/>
          <w:sz w:val="30"/>
          <w:szCs w:val="30"/>
          <w:highlight w:val="none"/>
        </w:rPr>
        <w:tab/>
      </w:r>
      <w:r>
        <w:rPr>
          <w:rFonts w:ascii="仿宋_GB2312" w:eastAsia="仿宋_GB2312"/>
          <w:sz w:val="30"/>
          <w:szCs w:val="30"/>
          <w:highlight w:val="none"/>
        </w:rPr>
        <w:tab/>
      </w:r>
      <w:r>
        <w:rPr>
          <w:rFonts w:ascii="仿宋_GB2312" w:eastAsia="仿宋_GB2312"/>
          <w:sz w:val="30"/>
          <w:szCs w:val="30"/>
          <w:highlight w:val="none"/>
        </w:rPr>
        <w:tab/>
      </w:r>
    </w:p>
    <w:p>
      <w:pPr>
        <w:snapToGrid w:val="0"/>
        <w:spacing w:line="360" w:lineRule="auto"/>
        <w:rPr>
          <w:rFonts w:ascii="仿宋_GB2312" w:eastAsia="仿宋_GB2312"/>
          <w:sz w:val="30"/>
          <w:szCs w:val="30"/>
          <w:highlight w:val="none"/>
        </w:rPr>
      </w:pPr>
    </w:p>
    <w:p>
      <w:pPr>
        <w:snapToGrid w:val="0"/>
        <w:spacing w:line="360" w:lineRule="auto"/>
        <w:rPr>
          <w:rFonts w:ascii="仿宋_GB2312" w:eastAsia="仿宋_GB2312"/>
          <w:sz w:val="30"/>
          <w:szCs w:val="30"/>
          <w:highlight w:val="none"/>
        </w:rPr>
      </w:pPr>
    </w:p>
    <w:p>
      <w:pPr>
        <w:snapToGrid w:val="0"/>
        <w:spacing w:line="360" w:lineRule="auto"/>
        <w:rPr>
          <w:rFonts w:ascii="仿宋_GB2312" w:eastAsia="仿宋_GB2312"/>
          <w:sz w:val="30"/>
          <w:szCs w:val="30"/>
          <w:highlight w:val="none"/>
        </w:rPr>
      </w:pPr>
      <w:r>
        <w:rPr>
          <w:rFonts w:hint="eastAsia" w:ascii="仿宋_GB2312" w:eastAsia="仿宋_GB2312"/>
          <w:sz w:val="30"/>
          <w:szCs w:val="30"/>
          <w:highlight w:val="none"/>
        </w:rPr>
        <w:t>法定代表人签章：</w:t>
      </w:r>
    </w:p>
    <w:p>
      <w:pPr>
        <w:snapToGrid w:val="0"/>
        <w:spacing w:line="360" w:lineRule="auto"/>
        <w:rPr>
          <w:rFonts w:ascii="仿宋_GB2312" w:hAnsi="宋体" w:eastAsia="仿宋_GB2312"/>
          <w:sz w:val="30"/>
          <w:szCs w:val="30"/>
          <w:highlight w:val="none"/>
        </w:rPr>
      </w:pPr>
      <w:r>
        <w:rPr>
          <w:rFonts w:hint="eastAsia" w:ascii="仿宋_GB2312" w:eastAsia="仿宋_GB2312"/>
          <w:sz w:val="30"/>
          <w:szCs w:val="30"/>
          <w:highlight w:val="none"/>
        </w:rPr>
        <w:t>（或授权代理人）</w:t>
      </w:r>
      <w:r>
        <w:rPr>
          <w:rFonts w:ascii="仿宋_GB2312" w:eastAsia="仿宋_GB2312"/>
          <w:sz w:val="30"/>
          <w:szCs w:val="30"/>
          <w:highlight w:val="none"/>
        </w:rPr>
        <w:tab/>
      </w:r>
      <w:r>
        <w:rPr>
          <w:rFonts w:ascii="仿宋_GB2312" w:eastAsia="仿宋_GB2312"/>
          <w:sz w:val="30"/>
          <w:szCs w:val="30"/>
          <w:highlight w:val="none"/>
        </w:rPr>
        <w:tab/>
      </w:r>
      <w:r>
        <w:rPr>
          <w:rFonts w:ascii="仿宋_GB2312" w:eastAsia="仿宋_GB2312"/>
          <w:sz w:val="30"/>
          <w:szCs w:val="30"/>
          <w:highlight w:val="none"/>
        </w:rPr>
        <w:tab/>
      </w:r>
      <w:r>
        <w:rPr>
          <w:rFonts w:ascii="仿宋_GB2312" w:eastAsia="仿宋_GB2312"/>
          <w:sz w:val="30"/>
          <w:szCs w:val="30"/>
          <w:highlight w:val="none"/>
        </w:rPr>
        <w:tab/>
      </w:r>
      <w:r>
        <w:rPr>
          <w:rFonts w:ascii="仿宋_GB2312" w:eastAsia="仿宋_GB2312"/>
          <w:sz w:val="30"/>
          <w:szCs w:val="30"/>
          <w:highlight w:val="none"/>
        </w:rPr>
        <w:tab/>
      </w:r>
      <w:r>
        <w:rPr>
          <w:rFonts w:ascii="仿宋_GB2312" w:eastAsia="仿宋_GB2312"/>
          <w:sz w:val="30"/>
          <w:szCs w:val="30"/>
          <w:highlight w:val="none"/>
        </w:rPr>
        <w:tab/>
      </w:r>
      <w:r>
        <w:rPr>
          <w:rFonts w:ascii="仿宋_GB2312" w:eastAsia="仿宋_GB2312"/>
          <w:sz w:val="30"/>
          <w:szCs w:val="30"/>
          <w:highlight w:val="none"/>
        </w:rPr>
        <w:tab/>
      </w:r>
      <w:r>
        <w:rPr>
          <w:rFonts w:ascii="仿宋_GB2312" w:eastAsia="仿宋_GB2312"/>
          <w:sz w:val="30"/>
          <w:szCs w:val="30"/>
          <w:highlight w:val="none"/>
        </w:rPr>
        <w:tab/>
      </w:r>
      <w:r>
        <w:rPr>
          <w:rFonts w:ascii="仿宋_GB2312" w:eastAsia="仿宋_GB2312"/>
          <w:sz w:val="30"/>
          <w:szCs w:val="30"/>
          <w:highlight w:val="none"/>
        </w:rPr>
        <w:tab/>
      </w:r>
      <w:r>
        <w:rPr>
          <w:rFonts w:hint="eastAsia" w:ascii="仿宋_GB2312" w:eastAsia="仿宋_GB2312"/>
          <w:sz w:val="30"/>
          <w:szCs w:val="30"/>
          <w:highlight w:val="none"/>
        </w:rPr>
        <w:t>年</w:t>
      </w:r>
      <w:r>
        <w:rPr>
          <w:rFonts w:ascii="仿宋_GB2312" w:eastAsia="仿宋_GB2312"/>
          <w:sz w:val="30"/>
          <w:szCs w:val="30"/>
          <w:highlight w:val="none"/>
        </w:rPr>
        <w:tab/>
      </w:r>
      <w:r>
        <w:rPr>
          <w:rFonts w:ascii="仿宋_GB2312" w:eastAsia="仿宋_GB2312"/>
          <w:sz w:val="30"/>
          <w:szCs w:val="30"/>
          <w:highlight w:val="none"/>
        </w:rPr>
        <w:tab/>
      </w:r>
      <w:r>
        <w:rPr>
          <w:rFonts w:hint="eastAsia" w:ascii="仿宋_GB2312" w:eastAsia="仿宋_GB2312"/>
          <w:sz w:val="30"/>
          <w:szCs w:val="30"/>
          <w:highlight w:val="none"/>
        </w:rPr>
        <w:t>月</w:t>
      </w:r>
      <w:r>
        <w:rPr>
          <w:rFonts w:ascii="仿宋_GB2312" w:eastAsia="仿宋_GB2312"/>
          <w:sz w:val="30"/>
          <w:szCs w:val="30"/>
          <w:highlight w:val="none"/>
        </w:rPr>
        <w:tab/>
      </w:r>
      <w:r>
        <w:rPr>
          <w:rFonts w:ascii="仿宋_GB2312" w:eastAsia="仿宋_GB2312"/>
          <w:sz w:val="30"/>
          <w:szCs w:val="30"/>
          <w:highlight w:val="none"/>
        </w:rPr>
        <w:tab/>
      </w:r>
      <w:r>
        <w:rPr>
          <w:rFonts w:hint="eastAsia" w:ascii="仿宋_GB2312" w:eastAsia="仿宋_GB2312"/>
          <w:sz w:val="30"/>
          <w:szCs w:val="30"/>
          <w:highlight w:val="none"/>
        </w:rPr>
        <w:t>日</w:t>
      </w:r>
    </w:p>
    <w:p>
      <w:pPr>
        <w:rPr>
          <w:sz w:val="30"/>
          <w:szCs w:val="30"/>
          <w:highlight w:val="none"/>
        </w:rPr>
      </w:pPr>
    </w:p>
    <w:p>
      <w:pPr>
        <w:rPr>
          <w:sz w:val="30"/>
          <w:szCs w:val="30"/>
          <w:highlight w:val="none"/>
        </w:rPr>
      </w:pPr>
    </w:p>
    <w:p>
      <w:pPr>
        <w:rPr>
          <w:sz w:val="30"/>
          <w:szCs w:val="30"/>
          <w:highlight w:val="none"/>
        </w:rPr>
      </w:pPr>
    </w:p>
    <w:p>
      <w:pPr>
        <w:spacing w:line="560" w:lineRule="exact"/>
        <w:rPr>
          <w:rFonts w:ascii="仿宋_GB2312" w:eastAsia="仿宋_GB2312"/>
          <w:sz w:val="30"/>
          <w:szCs w:val="30"/>
          <w:highlight w:val="none"/>
        </w:rPr>
      </w:pPr>
    </w:p>
    <w:p>
      <w:pPr>
        <w:spacing w:line="560" w:lineRule="exact"/>
        <w:rPr>
          <w:rFonts w:ascii="仿宋_GB2312" w:eastAsia="仿宋_GB2312"/>
          <w:sz w:val="30"/>
          <w:szCs w:val="30"/>
          <w:highlight w:val="none"/>
        </w:rPr>
      </w:pPr>
    </w:p>
    <w:p>
      <w:pPr>
        <w:rPr>
          <w:sz w:val="30"/>
          <w:szCs w:val="30"/>
          <w:highlight w:val="non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汉仪中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3473902"/>
      <w:docPartObj>
        <w:docPartGallery w:val="autotext"/>
      </w:docPartObj>
    </w:sdtPr>
    <w:sdtContent>
      <w:p>
        <w:pPr>
          <w:pStyle w:val="3"/>
          <w:jc w:val="center"/>
        </w:pPr>
        <w:r>
          <w:fldChar w:fldCharType="begin"/>
        </w:r>
        <w:r>
          <w:instrText xml:space="preserve">PAGE   \* MERGEFORMAT</w:instrText>
        </w:r>
        <w:r>
          <w:fldChar w:fldCharType="separate"/>
        </w:r>
        <w:r>
          <w:rPr>
            <w:lang w:val="zh-CN"/>
          </w:rPr>
          <w:t>9</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34"/>
    <w:rsid w:val="00012108"/>
    <w:rsid w:val="00037F38"/>
    <w:rsid w:val="000440B8"/>
    <w:rsid w:val="00081D3B"/>
    <w:rsid w:val="000B19C5"/>
    <w:rsid w:val="000C3372"/>
    <w:rsid w:val="0013044A"/>
    <w:rsid w:val="001B6B0B"/>
    <w:rsid w:val="00220734"/>
    <w:rsid w:val="00242BBE"/>
    <w:rsid w:val="002A3DA6"/>
    <w:rsid w:val="003065DB"/>
    <w:rsid w:val="00330D5C"/>
    <w:rsid w:val="00346F81"/>
    <w:rsid w:val="003867EF"/>
    <w:rsid w:val="00387597"/>
    <w:rsid w:val="003D2442"/>
    <w:rsid w:val="0040059E"/>
    <w:rsid w:val="00407664"/>
    <w:rsid w:val="00456718"/>
    <w:rsid w:val="004858C1"/>
    <w:rsid w:val="00485CC5"/>
    <w:rsid w:val="004C0882"/>
    <w:rsid w:val="004E0CE6"/>
    <w:rsid w:val="004F2B1B"/>
    <w:rsid w:val="004F703C"/>
    <w:rsid w:val="00551D7F"/>
    <w:rsid w:val="005623DA"/>
    <w:rsid w:val="005C55C1"/>
    <w:rsid w:val="00654D2C"/>
    <w:rsid w:val="006636D0"/>
    <w:rsid w:val="00682245"/>
    <w:rsid w:val="006C5D2C"/>
    <w:rsid w:val="006D7516"/>
    <w:rsid w:val="007159EE"/>
    <w:rsid w:val="00716E5C"/>
    <w:rsid w:val="0073331F"/>
    <w:rsid w:val="00775808"/>
    <w:rsid w:val="007863E5"/>
    <w:rsid w:val="007C6215"/>
    <w:rsid w:val="0083562F"/>
    <w:rsid w:val="0083768F"/>
    <w:rsid w:val="008457CF"/>
    <w:rsid w:val="00893D93"/>
    <w:rsid w:val="008A51EE"/>
    <w:rsid w:val="008A5AA0"/>
    <w:rsid w:val="008A7AD2"/>
    <w:rsid w:val="009357E7"/>
    <w:rsid w:val="0095032D"/>
    <w:rsid w:val="00972E10"/>
    <w:rsid w:val="009E6011"/>
    <w:rsid w:val="00A4445A"/>
    <w:rsid w:val="00A802B0"/>
    <w:rsid w:val="00AF2BF8"/>
    <w:rsid w:val="00B2588B"/>
    <w:rsid w:val="00B42162"/>
    <w:rsid w:val="00B50266"/>
    <w:rsid w:val="00B55086"/>
    <w:rsid w:val="00B676C8"/>
    <w:rsid w:val="00B92B1F"/>
    <w:rsid w:val="00BD4681"/>
    <w:rsid w:val="00C52290"/>
    <w:rsid w:val="00C72BF6"/>
    <w:rsid w:val="00D07A1C"/>
    <w:rsid w:val="00D76CAC"/>
    <w:rsid w:val="00DA2D81"/>
    <w:rsid w:val="00DC3A5E"/>
    <w:rsid w:val="00DC601A"/>
    <w:rsid w:val="00DF7BF1"/>
    <w:rsid w:val="00E40ECE"/>
    <w:rsid w:val="00E7632E"/>
    <w:rsid w:val="00EB5A6C"/>
    <w:rsid w:val="00F70185"/>
    <w:rsid w:val="00F77B86"/>
    <w:rsid w:val="0CF541DC"/>
    <w:rsid w:val="1E7F8BA5"/>
    <w:rsid w:val="3DFB78DF"/>
    <w:rsid w:val="3E5341F5"/>
    <w:rsid w:val="3FF6E1E9"/>
    <w:rsid w:val="5DF2FE0A"/>
    <w:rsid w:val="5F76DB69"/>
    <w:rsid w:val="732FCD9B"/>
    <w:rsid w:val="77700F81"/>
    <w:rsid w:val="78E788AD"/>
    <w:rsid w:val="AFFF2766"/>
    <w:rsid w:val="CFC1E338"/>
    <w:rsid w:val="ED8FA492"/>
    <w:rsid w:val="EEF6DCA0"/>
    <w:rsid w:val="EFB75301"/>
    <w:rsid w:val="F2F19D42"/>
    <w:rsid w:val="F4FA941F"/>
    <w:rsid w:val="F66E3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9"/>
    <w:qFormat/>
    <w:uiPriority w:val="0"/>
    <w:pPr>
      <w:adjustRightInd w:val="0"/>
      <w:spacing w:line="300" w:lineRule="auto"/>
      <w:ind w:firstLine="540"/>
    </w:pPr>
    <w:rPr>
      <w:rFonts w:ascii="仿宋_GB2312" w:hAnsi="Times New Roman" w:eastAsia="仿宋_GB2312"/>
      <w:kern w:val="0"/>
      <w:sz w:val="32"/>
      <w:szCs w:val="32"/>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正文文本缩进 2 Char"/>
    <w:basedOn w:val="6"/>
    <w:link w:val="2"/>
    <w:qFormat/>
    <w:uiPriority w:val="0"/>
    <w:rPr>
      <w:rFonts w:ascii="仿宋_GB2312" w:hAnsi="Times New Roman" w:eastAsia="仿宋_GB2312"/>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880</Words>
  <Characters>5020</Characters>
  <Lines>41</Lines>
  <Paragraphs>11</Paragraphs>
  <TotalTime>4</TotalTime>
  <ScaleCrop>false</ScaleCrop>
  <LinksUpToDate>false</LinksUpToDate>
  <CharactersWithSpaces>5889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2021-05-25T02:07:00Z</dcterms:created>
  <dc:creator>王向伟</dc:creator>
  <cp:lastModifiedBy>fm2020czj030</cp:lastModifiedBy>
  <dcterms:modified xsi:type="dcterms:W3CDTF">2024-04-11T08:58:25Z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