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rPr>
          <w:rFonts w:hint="eastAsia" w:ascii="Times New Roman" w:eastAsia="黑体"/>
          <w:b/>
          <w:bCs/>
          <w:sz w:val="32"/>
          <w:highlight w:val="none"/>
          <w:lang w:val="en-US" w:eastAsia="zh-CN"/>
        </w:rPr>
      </w:pPr>
      <w:r>
        <w:rPr>
          <w:rFonts w:hint="eastAsia" w:ascii="黑体" w:eastAsia="黑体"/>
          <w:b/>
          <w:sz w:val="36"/>
          <w:szCs w:val="36"/>
          <w:highlight w:val="none"/>
        </w:rPr>
        <w:t xml:space="preserve"> </w:t>
      </w:r>
      <w:r>
        <w:rPr>
          <w:rFonts w:hint="eastAsia" w:ascii="黑体" w:hAnsi="黑体" w:eastAsia="黑体" w:cs="黑体"/>
          <w:color w:val="000000"/>
          <w:kern w:val="0"/>
          <w:sz w:val="32"/>
          <w:szCs w:val="32"/>
          <w:highlight w:val="none"/>
          <w:u w:val="none"/>
          <w:lang w:bidi="ar"/>
        </w:rPr>
        <w:t>附件</w:t>
      </w:r>
      <w:r>
        <w:rPr>
          <w:rFonts w:hint="eastAsia" w:ascii="黑体" w:hAnsi="黑体" w:eastAsia="黑体" w:cs="黑体"/>
          <w:color w:val="000000"/>
          <w:kern w:val="0"/>
          <w:sz w:val="32"/>
          <w:szCs w:val="32"/>
          <w:highlight w:val="none"/>
          <w:u w:val="none"/>
          <w:lang w:val="en-US" w:eastAsia="zh-CN" w:bidi="ar"/>
        </w:rPr>
        <w:t>1</w:t>
      </w:r>
    </w:p>
    <w:p>
      <w:pPr>
        <w:jc w:val="both"/>
        <w:rPr>
          <w:rFonts w:hint="eastAsia" w:ascii="黑体" w:eastAsia="黑体"/>
          <w:b/>
          <w:sz w:val="36"/>
          <w:szCs w:val="36"/>
          <w:highlight w:val="none"/>
        </w:rPr>
      </w:pPr>
      <w:r>
        <w:rPr>
          <w:rFonts w:hint="eastAsia" w:ascii="黑体" w:eastAsia="黑体"/>
          <w:b/>
          <w:sz w:val="36"/>
          <w:szCs w:val="36"/>
          <w:highlight w:val="none"/>
        </w:rPr>
        <w:t xml:space="preserve">           </w:t>
      </w:r>
    </w:p>
    <w:p>
      <w:pPr>
        <w:spacing w:line="240" w:lineRule="auto"/>
        <w:jc w:val="both"/>
        <w:rPr>
          <w:rFonts w:ascii="华文中宋" w:hAnsi="华文中宋" w:eastAsia="华文中宋"/>
          <w:b/>
          <w:bCs/>
          <w:sz w:val="32"/>
          <w:szCs w:val="32"/>
          <w:highlight w:val="none"/>
        </w:rPr>
      </w:pPr>
    </w:p>
    <w:p>
      <w:pPr>
        <w:spacing w:line="360" w:lineRule="auto"/>
        <w:jc w:val="center"/>
        <w:rPr>
          <w:rFonts w:ascii="华文中宋" w:hAnsi="华文中宋" w:eastAsia="华文中宋"/>
          <w:b/>
          <w:bCs/>
          <w:sz w:val="32"/>
          <w:szCs w:val="32"/>
          <w:highlight w:val="none"/>
        </w:rPr>
      </w:pPr>
    </w:p>
    <w:p>
      <w:pPr>
        <w:spacing w:line="360" w:lineRule="auto"/>
        <w:jc w:val="center"/>
        <w:rPr>
          <w:rFonts w:hint="eastAsia" w:ascii="方正小标宋_GBK" w:hAnsi="方正小标宋_GBK" w:eastAsia="方正小标宋_GBK" w:cs="方正小标宋_GBK"/>
          <w:b w:val="0"/>
          <w:bCs w:val="0"/>
          <w:sz w:val="48"/>
          <w:szCs w:val="48"/>
          <w:highlight w:val="none"/>
        </w:rPr>
      </w:pPr>
      <w:r>
        <w:rPr>
          <w:rFonts w:hint="eastAsia" w:ascii="方正小标宋_GBK" w:hAnsi="方正小标宋_GBK" w:eastAsia="方正小标宋_GBK" w:cs="方正小标宋_GBK"/>
          <w:b w:val="0"/>
          <w:bCs w:val="0"/>
          <w:sz w:val="48"/>
          <w:szCs w:val="48"/>
          <w:highlight w:val="none"/>
        </w:rPr>
        <w:t>20</w:t>
      </w:r>
      <w:r>
        <w:rPr>
          <w:rFonts w:hint="eastAsia" w:ascii="方正小标宋_GBK" w:hAnsi="方正小标宋_GBK" w:eastAsia="方正小标宋_GBK" w:cs="方正小标宋_GBK"/>
          <w:b w:val="0"/>
          <w:bCs w:val="0"/>
          <w:sz w:val="48"/>
          <w:szCs w:val="48"/>
          <w:highlight w:val="none"/>
          <w:lang w:val="en-US" w:eastAsia="zh-CN"/>
        </w:rPr>
        <w:t>23</w:t>
      </w:r>
      <w:r>
        <w:rPr>
          <w:rFonts w:hint="eastAsia" w:ascii="方正小标宋_GBK" w:hAnsi="方正小标宋_GBK" w:eastAsia="方正小标宋_GBK" w:cs="方正小标宋_GBK"/>
          <w:b w:val="0"/>
          <w:bCs w:val="0"/>
          <w:sz w:val="48"/>
          <w:szCs w:val="48"/>
          <w:highlight w:val="none"/>
        </w:rPr>
        <w:t>年</w:t>
      </w:r>
      <w:r>
        <w:rPr>
          <w:rFonts w:hint="eastAsia" w:ascii="方正小标宋_GBK" w:hAnsi="方正小标宋_GBK" w:eastAsia="方正小标宋_GBK" w:cs="方正小标宋_GBK"/>
          <w:b w:val="0"/>
          <w:bCs w:val="0"/>
          <w:sz w:val="48"/>
          <w:szCs w:val="48"/>
          <w:highlight w:val="none"/>
          <w:lang w:val="en-US" w:eastAsia="zh-CN"/>
        </w:rPr>
        <w:t>陕西省</w:t>
      </w:r>
      <w:r>
        <w:rPr>
          <w:rFonts w:hint="eastAsia" w:ascii="方正小标宋_GBK" w:hAnsi="方正小标宋_GBK" w:eastAsia="方正小标宋_GBK" w:cs="方正小标宋_GBK"/>
          <w:b w:val="0"/>
          <w:bCs w:val="0"/>
          <w:sz w:val="48"/>
          <w:szCs w:val="48"/>
          <w:highlight w:val="none"/>
        </w:rPr>
        <w:t>政府通过商业银行柜台市场发行人民币债券分销协议</w:t>
      </w:r>
      <w:r>
        <w:rPr>
          <w:rFonts w:hint="eastAsia" w:ascii="方正小标宋_GBK" w:hAnsi="方正小标宋_GBK" w:eastAsia="方正小标宋_GBK" w:cs="方正小标宋_GBK"/>
          <w:b w:val="0"/>
          <w:bCs w:val="0"/>
          <w:sz w:val="48"/>
          <w:szCs w:val="48"/>
          <w:highlight w:val="none"/>
          <w:lang w:eastAsia="zh-CN"/>
        </w:rPr>
        <w:t>（范本）</w:t>
      </w:r>
    </w:p>
    <w:p>
      <w:pPr>
        <w:spacing w:line="360" w:lineRule="auto"/>
        <w:jc w:val="center"/>
        <w:rPr>
          <w:rFonts w:ascii="华文中宋" w:hAnsi="华文中宋" w:eastAsia="华文中宋"/>
          <w:b/>
          <w:bCs/>
          <w:sz w:val="48"/>
          <w:szCs w:val="48"/>
          <w:highlight w:val="none"/>
        </w:rPr>
      </w:pPr>
    </w:p>
    <w:p>
      <w:pPr>
        <w:spacing w:line="360" w:lineRule="auto"/>
        <w:jc w:val="center"/>
        <w:rPr>
          <w:rFonts w:ascii="华文中宋" w:hAnsi="华文中宋" w:eastAsia="华文中宋"/>
          <w:b/>
          <w:bCs/>
          <w:sz w:val="32"/>
          <w:szCs w:val="32"/>
          <w:highlight w:val="none"/>
        </w:rPr>
      </w:pPr>
    </w:p>
    <w:p>
      <w:pPr>
        <w:spacing w:line="360" w:lineRule="exact"/>
        <w:jc w:val="center"/>
        <w:rPr>
          <w:rFonts w:ascii="黑体" w:hAnsi="宋体" w:eastAsia="黑体"/>
          <w:b/>
          <w:sz w:val="30"/>
          <w:szCs w:val="30"/>
          <w:highlight w:val="none"/>
        </w:rPr>
      </w:pPr>
    </w:p>
    <w:p>
      <w:pPr>
        <w:spacing w:line="360" w:lineRule="exact"/>
        <w:jc w:val="center"/>
        <w:rPr>
          <w:rFonts w:ascii="黑体" w:hAnsi="宋体" w:eastAsia="黑体"/>
          <w:b/>
          <w:sz w:val="30"/>
          <w:szCs w:val="30"/>
          <w:highlight w:val="none"/>
        </w:rPr>
      </w:pPr>
    </w:p>
    <w:p>
      <w:pPr>
        <w:spacing w:line="360" w:lineRule="exact"/>
        <w:jc w:val="center"/>
        <w:rPr>
          <w:rFonts w:ascii="黑体" w:hAnsi="宋体" w:eastAsia="黑体"/>
          <w:b/>
          <w:sz w:val="30"/>
          <w:szCs w:val="30"/>
          <w:highlight w:val="none"/>
        </w:rPr>
      </w:pPr>
    </w:p>
    <w:p>
      <w:pPr>
        <w:spacing w:line="360" w:lineRule="exact"/>
        <w:rPr>
          <w:rFonts w:ascii="黑体" w:hAnsi="宋体" w:eastAsia="黑体"/>
          <w:b/>
          <w:sz w:val="30"/>
          <w:szCs w:val="30"/>
          <w:highlight w:val="none"/>
        </w:rPr>
      </w:pPr>
    </w:p>
    <w:p>
      <w:pPr>
        <w:spacing w:line="360" w:lineRule="exact"/>
        <w:jc w:val="center"/>
        <w:rPr>
          <w:rFonts w:ascii="黑体" w:hAnsi="宋体" w:eastAsia="黑体"/>
          <w:b/>
          <w:sz w:val="30"/>
          <w:szCs w:val="30"/>
          <w:highlight w:val="none"/>
        </w:rPr>
      </w:pPr>
    </w:p>
    <w:p>
      <w:pPr>
        <w:spacing w:line="360" w:lineRule="exact"/>
        <w:jc w:val="center"/>
        <w:rPr>
          <w:rFonts w:ascii="黑体" w:hAnsi="宋体" w:eastAsia="黑体"/>
          <w:b/>
          <w:sz w:val="30"/>
          <w:szCs w:val="30"/>
          <w:highlight w:val="none"/>
        </w:rPr>
      </w:pPr>
    </w:p>
    <w:p>
      <w:pPr>
        <w:spacing w:line="360" w:lineRule="exact"/>
        <w:jc w:val="center"/>
        <w:rPr>
          <w:rFonts w:ascii="黑体" w:hAnsi="宋体" w:eastAsia="黑体"/>
          <w:b/>
          <w:sz w:val="30"/>
          <w:szCs w:val="30"/>
          <w:highlight w:val="none"/>
        </w:rPr>
      </w:pPr>
    </w:p>
    <w:p>
      <w:pPr>
        <w:spacing w:line="360" w:lineRule="exact"/>
        <w:jc w:val="center"/>
        <w:rPr>
          <w:rFonts w:ascii="黑体" w:hAnsi="宋体" w:eastAsia="黑体"/>
          <w:b/>
          <w:sz w:val="30"/>
          <w:szCs w:val="30"/>
          <w:highlight w:val="none"/>
        </w:rPr>
      </w:pPr>
    </w:p>
    <w:p>
      <w:pPr>
        <w:spacing w:line="360" w:lineRule="exact"/>
        <w:jc w:val="center"/>
        <w:rPr>
          <w:rFonts w:hint="eastAsia" w:ascii="黑体" w:hAnsi="宋体" w:eastAsia="黑体"/>
          <w:b/>
          <w:sz w:val="30"/>
          <w:szCs w:val="30"/>
          <w:highlight w:val="none"/>
        </w:rPr>
      </w:pPr>
    </w:p>
    <w:p>
      <w:pPr>
        <w:spacing w:line="360" w:lineRule="exact"/>
        <w:jc w:val="center"/>
        <w:rPr>
          <w:rFonts w:hint="eastAsia" w:ascii="黑体" w:hAnsi="宋体" w:eastAsia="黑体"/>
          <w:b/>
          <w:sz w:val="30"/>
          <w:szCs w:val="30"/>
          <w:highlight w:val="none"/>
        </w:rPr>
      </w:pPr>
    </w:p>
    <w:p>
      <w:pPr>
        <w:spacing w:line="360" w:lineRule="exact"/>
        <w:jc w:val="center"/>
        <w:rPr>
          <w:rFonts w:ascii="黑体" w:hAnsi="宋体" w:eastAsia="黑体"/>
          <w:b/>
          <w:sz w:val="30"/>
          <w:szCs w:val="30"/>
          <w:highlight w:val="none"/>
        </w:rPr>
      </w:pPr>
    </w:p>
    <w:p>
      <w:pPr>
        <w:spacing w:line="360" w:lineRule="exact"/>
        <w:jc w:val="center"/>
        <w:rPr>
          <w:rFonts w:ascii="黑体" w:hAnsi="宋体" w:eastAsia="黑体"/>
          <w:b/>
          <w:sz w:val="30"/>
          <w:szCs w:val="30"/>
          <w:highlight w:val="none"/>
        </w:rPr>
      </w:pPr>
    </w:p>
    <w:p>
      <w:pPr>
        <w:jc w:val="center"/>
        <w:rPr>
          <w:rFonts w:ascii="Times New Roman" w:eastAsia="华文中宋"/>
          <w:b/>
          <w:bCs/>
          <w:sz w:val="32"/>
          <w:highlight w:val="none"/>
        </w:rPr>
      </w:pPr>
      <w:r>
        <w:rPr>
          <w:rFonts w:ascii="Times New Roman" w:eastAsia="华文中宋"/>
          <w:b/>
          <w:bCs/>
          <w:sz w:val="32"/>
          <w:highlight w:val="none"/>
        </w:rPr>
        <w:t>二〇</w:t>
      </w:r>
      <w:r>
        <w:rPr>
          <w:rFonts w:hint="eastAsia" w:ascii="Times New Roman" w:eastAsia="华文中宋"/>
          <w:b/>
          <w:bCs/>
          <w:sz w:val="32"/>
          <w:highlight w:val="none"/>
          <w:lang w:val="en-US" w:eastAsia="zh-CN"/>
        </w:rPr>
        <w:t>二</w:t>
      </w:r>
      <w:r>
        <w:rPr>
          <w:rFonts w:hint="eastAsia" w:eastAsia="华文中宋"/>
          <w:b/>
          <w:bCs/>
          <w:sz w:val="32"/>
          <w:highlight w:val="none"/>
          <w:lang w:val="en-US" w:eastAsia="zh-CN"/>
        </w:rPr>
        <w:t>三</w:t>
      </w:r>
      <w:r>
        <w:rPr>
          <w:rFonts w:ascii="Times New Roman" w:eastAsia="华文中宋"/>
          <w:b/>
          <w:bCs/>
          <w:sz w:val="32"/>
          <w:highlight w:val="none"/>
        </w:rPr>
        <w:t>年</w:t>
      </w:r>
      <w:r>
        <w:rPr>
          <w:rFonts w:hint="eastAsia" w:eastAsia="华文中宋"/>
          <w:b/>
          <w:bCs/>
          <w:sz w:val="32"/>
          <w:highlight w:val="none"/>
          <w:lang w:eastAsia="zh-CN"/>
        </w:rPr>
        <w:t>七</w:t>
      </w:r>
      <w:r>
        <w:rPr>
          <w:rFonts w:ascii="Times New Roman" w:eastAsia="华文中宋"/>
          <w:b/>
          <w:bCs/>
          <w:sz w:val="32"/>
          <w:highlight w:val="none"/>
        </w:rPr>
        <w:t>月</w:t>
      </w:r>
    </w:p>
    <w:p>
      <w:pPr>
        <w:spacing w:line="360" w:lineRule="exact"/>
        <w:jc w:val="center"/>
        <w:rPr>
          <w:rFonts w:ascii="黑体" w:hAnsi="宋体" w:eastAsia="黑体"/>
          <w:b/>
          <w:sz w:val="30"/>
          <w:szCs w:val="30"/>
          <w:highlight w:val="none"/>
        </w:rPr>
      </w:pPr>
    </w:p>
    <w:p>
      <w:pPr>
        <w:spacing w:line="360" w:lineRule="exact"/>
        <w:rPr>
          <w:rFonts w:hint="eastAsia" w:ascii="黑体" w:hAnsi="宋体" w:eastAsia="黑体"/>
          <w:b/>
          <w:sz w:val="30"/>
          <w:szCs w:val="30"/>
          <w:highlight w:val="none"/>
        </w:rPr>
      </w:pPr>
    </w:p>
    <w:p>
      <w:pPr>
        <w:spacing w:line="360" w:lineRule="exact"/>
        <w:rPr>
          <w:rFonts w:hint="eastAsia" w:ascii="黑体" w:hAnsi="宋体" w:eastAsia="黑体"/>
          <w:b/>
          <w:sz w:val="30"/>
          <w:szCs w:val="30"/>
          <w:highlight w:val="none"/>
        </w:rPr>
      </w:pPr>
    </w:p>
    <w:p>
      <w:pPr>
        <w:spacing w:line="360" w:lineRule="exact"/>
        <w:rPr>
          <w:rFonts w:hint="eastAsia" w:ascii="黑体" w:hAnsi="宋体" w:eastAsia="黑体"/>
          <w:b/>
          <w:sz w:val="30"/>
          <w:szCs w:val="30"/>
          <w:highlight w:val="none"/>
        </w:rPr>
      </w:pPr>
    </w:p>
    <w:p>
      <w:pPr>
        <w:spacing w:line="300" w:lineRule="auto"/>
        <w:jc w:val="center"/>
        <w:rPr>
          <w:rFonts w:hint="eastAsia" w:ascii="黑体" w:hAnsi="宋体" w:eastAsia="黑体"/>
          <w:b/>
          <w:sz w:val="30"/>
          <w:szCs w:val="30"/>
          <w:highlight w:val="none"/>
        </w:rPr>
      </w:pPr>
    </w:p>
    <w:p>
      <w:pPr>
        <w:spacing w:line="300" w:lineRule="auto"/>
        <w:jc w:val="center"/>
        <w:rPr>
          <w:rFonts w:hint="eastAsia" w:ascii="黑体" w:hAnsi="宋体" w:eastAsia="黑体"/>
          <w:b w:val="0"/>
          <w:bCs/>
          <w:sz w:val="32"/>
          <w:szCs w:val="32"/>
          <w:highlight w:val="none"/>
          <w:lang w:eastAsia="zh-CN"/>
        </w:rPr>
      </w:pPr>
    </w:p>
    <w:p>
      <w:pPr>
        <w:spacing w:line="300" w:lineRule="auto"/>
        <w:jc w:val="center"/>
        <w:rPr>
          <w:rFonts w:hint="eastAsia" w:ascii="黑体" w:hAnsi="宋体" w:eastAsia="黑体"/>
          <w:b w:val="0"/>
          <w:bCs/>
          <w:sz w:val="32"/>
          <w:szCs w:val="32"/>
          <w:highlight w:val="none"/>
          <w:lang w:eastAsia="zh-CN"/>
        </w:rPr>
      </w:pPr>
    </w:p>
    <w:p>
      <w:pPr>
        <w:spacing w:line="300" w:lineRule="auto"/>
        <w:jc w:val="center"/>
        <w:rPr>
          <w:rFonts w:hint="eastAsia" w:ascii="黑体" w:hAnsi="黑体" w:eastAsia="黑体" w:cs="黑体"/>
          <w:b w:val="0"/>
          <w:bCs/>
          <w:sz w:val="32"/>
          <w:szCs w:val="32"/>
          <w:highlight w:val="none"/>
        </w:rPr>
      </w:pPr>
      <w:r>
        <w:rPr>
          <w:rFonts w:hint="eastAsia" w:ascii="黑体" w:hAnsi="宋体" w:eastAsia="黑体"/>
          <w:b w:val="0"/>
          <w:bCs/>
          <w:sz w:val="32"/>
          <w:szCs w:val="32"/>
          <w:highlight w:val="none"/>
          <w:lang w:eastAsia="zh-CN"/>
        </w:rPr>
        <w:t>202</w:t>
      </w:r>
      <w:r>
        <w:rPr>
          <w:rFonts w:hint="eastAsia" w:ascii="黑体" w:hAnsi="宋体" w:eastAsia="黑体"/>
          <w:b w:val="0"/>
          <w:bCs/>
          <w:sz w:val="32"/>
          <w:szCs w:val="32"/>
          <w:highlight w:val="none"/>
          <w:lang w:val="en-US" w:eastAsia="zh-CN"/>
        </w:rPr>
        <w:t>3</w:t>
      </w:r>
      <w:r>
        <w:rPr>
          <w:rFonts w:hint="eastAsia" w:ascii="黑体" w:hAnsi="宋体" w:eastAsia="黑体"/>
          <w:b w:val="0"/>
          <w:bCs/>
          <w:sz w:val="32"/>
          <w:szCs w:val="32"/>
          <w:highlight w:val="none"/>
        </w:rPr>
        <w:t>年</w:t>
      </w:r>
      <w:r>
        <w:rPr>
          <w:rFonts w:hint="eastAsia" w:ascii="黑体" w:hAnsi="黑体" w:eastAsia="黑体" w:cs="黑体"/>
          <w:b w:val="0"/>
          <w:bCs/>
          <w:sz w:val="32"/>
          <w:szCs w:val="32"/>
          <w:highlight w:val="none"/>
          <w:lang w:val="en-US" w:eastAsia="zh-CN"/>
        </w:rPr>
        <w:t>陕西省</w:t>
      </w:r>
      <w:r>
        <w:rPr>
          <w:rFonts w:hint="eastAsia" w:ascii="黑体" w:hAnsi="黑体" w:eastAsia="黑体" w:cs="黑体"/>
          <w:b w:val="0"/>
          <w:bCs/>
          <w:sz w:val="32"/>
          <w:szCs w:val="32"/>
          <w:highlight w:val="none"/>
        </w:rPr>
        <w:t>政府通过商业银行柜台市场</w:t>
      </w:r>
    </w:p>
    <w:p>
      <w:pPr>
        <w:spacing w:line="300" w:lineRule="auto"/>
        <w:jc w:val="center"/>
        <w:rPr>
          <w:rFonts w:ascii="黑体" w:hAnsi="宋体" w:eastAsia="黑体"/>
          <w:b w:val="0"/>
          <w:bCs/>
          <w:sz w:val="32"/>
          <w:szCs w:val="32"/>
          <w:highlight w:val="none"/>
        </w:rPr>
      </w:pPr>
      <w:r>
        <w:rPr>
          <w:rFonts w:hint="eastAsia" w:ascii="黑体" w:hAnsi="黑体" w:eastAsia="黑体" w:cs="黑体"/>
          <w:b w:val="0"/>
          <w:bCs/>
          <w:sz w:val="32"/>
          <w:szCs w:val="32"/>
          <w:highlight w:val="none"/>
        </w:rPr>
        <w:t>发行</w:t>
      </w:r>
      <w:r>
        <w:rPr>
          <w:rFonts w:hint="eastAsia" w:ascii="黑体" w:hAnsi="宋体" w:eastAsia="黑体"/>
          <w:b w:val="0"/>
          <w:bCs/>
          <w:sz w:val="32"/>
          <w:szCs w:val="32"/>
          <w:highlight w:val="none"/>
        </w:rPr>
        <w:t>人民币债券分销协议</w:t>
      </w:r>
      <w:r>
        <w:rPr>
          <w:rFonts w:hint="eastAsia" w:ascii="黑体" w:hAnsi="宋体" w:eastAsia="黑体"/>
          <w:b w:val="0"/>
          <w:bCs/>
          <w:sz w:val="32"/>
          <w:szCs w:val="32"/>
          <w:highlight w:val="none"/>
          <w:lang w:eastAsia="zh-CN"/>
        </w:rPr>
        <w:t>（范本）</w:t>
      </w:r>
    </w:p>
    <w:p>
      <w:pPr>
        <w:spacing w:line="360" w:lineRule="exact"/>
        <w:jc w:val="center"/>
        <w:rPr>
          <w:rFonts w:ascii="黑体" w:hAnsi="宋体" w:eastAsia="黑体"/>
          <w:b/>
          <w:sz w:val="30"/>
          <w:szCs w:val="30"/>
          <w:highlight w:val="none"/>
        </w:rPr>
      </w:pPr>
    </w:p>
    <w:p>
      <w:pPr>
        <w:spacing w:line="360" w:lineRule="exact"/>
        <w:jc w:val="center"/>
        <w:rPr>
          <w:rFonts w:ascii="黑体" w:hAnsi="宋体" w:eastAsia="黑体"/>
          <w:b/>
          <w:sz w:val="30"/>
          <w:szCs w:val="30"/>
          <w:highlight w:val="none"/>
        </w:rPr>
      </w:pPr>
    </w:p>
    <w:p>
      <w:pPr>
        <w:spacing w:line="360" w:lineRule="exact"/>
        <w:rPr>
          <w:rFonts w:hint="eastAsia" w:ascii="仿宋_GB2312" w:hAnsi="宋体" w:eastAsia="仿宋_GB2312"/>
          <w:sz w:val="24"/>
          <w:highlight w:val="none"/>
        </w:rPr>
      </w:pPr>
      <w:r>
        <w:rPr>
          <w:rFonts w:hint="eastAsia" w:ascii="仿宋_GB2312" w:hAnsi="宋体" w:eastAsia="仿宋_GB2312"/>
          <w:sz w:val="24"/>
          <w:highlight w:val="none"/>
        </w:rPr>
        <w:t xml:space="preserve">                                                                                                                                                                                                                                                                                                                                                                                                                                                                                                                                                                                                                                                                                                                                                                                                                                                                                                                                                                                                                                                                           </w:t>
      </w:r>
    </w:p>
    <w:p>
      <w:pPr>
        <w:spacing w:line="360" w:lineRule="exac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债券发行人（以下称甲方）：</w:t>
      </w:r>
      <w:r>
        <w:rPr>
          <w:rFonts w:hint="eastAsia" w:ascii="仿宋" w:hAnsi="仿宋" w:eastAsia="仿宋" w:cs="仿宋"/>
          <w:sz w:val="28"/>
          <w:szCs w:val="28"/>
          <w:highlight w:val="none"/>
          <w:lang w:val="en-US" w:eastAsia="zh-CN"/>
        </w:rPr>
        <w:t>陕西省财政厅</w:t>
      </w:r>
    </w:p>
    <w:p>
      <w:pPr>
        <w:spacing w:line="360" w:lineRule="exac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所  在  地：</w:t>
      </w:r>
      <w:r>
        <w:rPr>
          <w:rFonts w:hint="eastAsia" w:ascii="仿宋" w:hAnsi="仿宋" w:eastAsia="仿宋" w:cs="仿宋"/>
          <w:sz w:val="28"/>
          <w:szCs w:val="28"/>
          <w:highlight w:val="none"/>
          <w:lang w:val="en-US" w:eastAsia="zh-CN"/>
        </w:rPr>
        <w:t>陕西省西安市莲湖区冰窖巷6号</w:t>
      </w:r>
    </w:p>
    <w:p>
      <w:pPr>
        <w:spacing w:line="360" w:lineRule="exact"/>
        <w:rPr>
          <w:rFonts w:hint="eastAsia" w:ascii="仿宋" w:hAnsi="仿宋" w:eastAsia="仿宋" w:cs="仿宋"/>
          <w:sz w:val="28"/>
          <w:szCs w:val="28"/>
          <w:highlight w:val="none"/>
        </w:rPr>
      </w:pPr>
    </w:p>
    <w:p>
      <w:pPr>
        <w:spacing w:line="360" w:lineRule="exact"/>
        <w:rPr>
          <w:rFonts w:hint="eastAsia" w:ascii="仿宋" w:hAnsi="仿宋" w:eastAsia="仿宋" w:cs="仿宋"/>
          <w:sz w:val="28"/>
          <w:szCs w:val="28"/>
          <w:highlight w:val="none"/>
        </w:rPr>
      </w:pPr>
    </w:p>
    <w:p>
      <w:pPr>
        <w:spacing w:line="300" w:lineRule="auto"/>
        <w:rPr>
          <w:rFonts w:hint="eastAsia" w:ascii="仿宋" w:hAnsi="仿宋" w:eastAsia="仿宋" w:cs="仿宋"/>
          <w:sz w:val="28"/>
          <w:szCs w:val="28"/>
          <w:highlight w:val="none"/>
        </w:rPr>
      </w:pPr>
      <w:r>
        <w:rPr>
          <w:rFonts w:hint="eastAsia" w:ascii="仿宋" w:hAnsi="仿宋" w:eastAsia="仿宋" w:cs="仿宋"/>
          <w:sz w:val="28"/>
          <w:szCs w:val="28"/>
          <w:highlight w:val="none"/>
        </w:rPr>
        <w:t>柜台债券</w:t>
      </w:r>
      <w:r>
        <w:rPr>
          <w:rFonts w:hint="eastAsia" w:ascii="仿宋" w:hAnsi="仿宋" w:eastAsia="仿宋" w:cs="仿宋"/>
          <w:sz w:val="28"/>
          <w:szCs w:val="28"/>
          <w:highlight w:val="none"/>
          <w:lang w:eastAsia="zh-CN"/>
        </w:rPr>
        <w:t>承办机构</w:t>
      </w:r>
      <w:r>
        <w:rPr>
          <w:rFonts w:hint="eastAsia" w:ascii="仿宋" w:hAnsi="仿宋" w:eastAsia="仿宋" w:cs="仿宋"/>
          <w:sz w:val="28"/>
          <w:szCs w:val="28"/>
          <w:highlight w:val="none"/>
        </w:rPr>
        <w:t>（以下称乙方）：</w:t>
      </w:r>
    </w:p>
    <w:p>
      <w:pPr>
        <w:spacing w:line="300" w:lineRule="auto"/>
        <w:rPr>
          <w:rFonts w:hint="eastAsia" w:ascii="仿宋" w:hAnsi="仿宋" w:eastAsia="仿宋" w:cs="仿宋"/>
          <w:sz w:val="28"/>
          <w:szCs w:val="28"/>
          <w:highlight w:val="none"/>
        </w:rPr>
      </w:pPr>
      <w:r>
        <w:rPr>
          <w:rFonts w:hint="eastAsia" w:ascii="仿宋" w:hAnsi="仿宋" w:eastAsia="仿宋" w:cs="仿宋"/>
          <w:sz w:val="28"/>
          <w:szCs w:val="28"/>
          <w:highlight w:val="none"/>
        </w:rPr>
        <w:t>所  在  地：</w:t>
      </w:r>
    </w:p>
    <w:p>
      <w:pPr>
        <w:spacing w:line="300" w:lineRule="auto"/>
        <w:rPr>
          <w:rFonts w:hint="eastAsia" w:ascii="仿宋" w:hAnsi="仿宋" w:eastAsia="仿宋" w:cs="仿宋"/>
          <w:sz w:val="28"/>
          <w:szCs w:val="28"/>
          <w:highlight w:val="none"/>
        </w:rPr>
      </w:pPr>
    </w:p>
    <w:p>
      <w:pPr>
        <w:spacing w:line="360" w:lineRule="exact"/>
        <w:rPr>
          <w:rFonts w:hint="eastAsia" w:ascii="仿宋" w:hAnsi="仿宋" w:eastAsia="仿宋" w:cs="仿宋"/>
          <w:sz w:val="28"/>
          <w:szCs w:val="28"/>
          <w:highlight w:val="none"/>
        </w:rPr>
      </w:pPr>
    </w:p>
    <w:p>
      <w:pPr>
        <w:spacing w:line="360" w:lineRule="exact"/>
        <w:rPr>
          <w:rFonts w:hint="eastAsia" w:ascii="仿宋" w:hAnsi="仿宋" w:eastAsia="仿宋" w:cs="仿宋"/>
          <w:sz w:val="28"/>
          <w:szCs w:val="28"/>
          <w:highlight w:val="none"/>
        </w:rPr>
      </w:pPr>
    </w:p>
    <w:p>
      <w:pPr>
        <w:spacing w:line="360" w:lineRule="exact"/>
        <w:ind w:firstLine="560" w:firstLineChars="200"/>
        <w:rPr>
          <w:rFonts w:hint="eastAsia" w:ascii="仿宋" w:hAnsi="仿宋" w:eastAsia="仿宋" w:cs="仿宋"/>
          <w:sz w:val="28"/>
          <w:szCs w:val="28"/>
          <w:highlight w:val="none"/>
        </w:rPr>
      </w:pP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甲方根据《</w:t>
      </w:r>
      <w:r>
        <w:rPr>
          <w:rFonts w:hint="eastAsia" w:ascii="仿宋" w:hAnsi="仿宋" w:eastAsia="仿宋" w:cs="仿宋"/>
          <w:sz w:val="28"/>
          <w:szCs w:val="28"/>
          <w:highlight w:val="none"/>
          <w:lang w:eastAsia="zh-CN"/>
        </w:rPr>
        <w:t>中华人民共和国</w:t>
      </w:r>
      <w:r>
        <w:rPr>
          <w:rFonts w:hint="eastAsia" w:ascii="仿宋" w:hAnsi="仿宋" w:eastAsia="仿宋" w:cs="仿宋"/>
          <w:sz w:val="28"/>
          <w:szCs w:val="28"/>
          <w:highlight w:val="none"/>
        </w:rPr>
        <w:t>预算法》、《国务院关于加强地方政府性债务管理的意见》（国发〔2014〕43号）</w:t>
      </w:r>
      <w:r>
        <w:rPr>
          <w:rFonts w:hint="eastAsia" w:ascii="仿宋" w:hAnsi="仿宋" w:eastAsia="仿宋" w:cs="仿宋"/>
          <w:sz w:val="28"/>
          <w:szCs w:val="28"/>
          <w:highlight w:val="none"/>
          <w:lang w:eastAsia="zh-CN"/>
        </w:rPr>
        <w:t>、《全国银行间债券市场柜台业务管理办法》（中国人民银行公告〔</w:t>
      </w:r>
      <w:r>
        <w:rPr>
          <w:rFonts w:hint="eastAsia" w:ascii="仿宋" w:hAnsi="仿宋" w:eastAsia="仿宋" w:cs="仿宋"/>
          <w:sz w:val="28"/>
          <w:szCs w:val="28"/>
          <w:highlight w:val="none"/>
          <w:lang w:val="en-US" w:eastAsia="zh-CN"/>
        </w:rPr>
        <w:t>2016</w:t>
      </w:r>
      <w:r>
        <w:rPr>
          <w:rFonts w:hint="eastAsia" w:ascii="仿宋" w:hAnsi="仿宋" w:eastAsia="仿宋" w:cs="仿宋"/>
          <w:sz w:val="28"/>
          <w:szCs w:val="28"/>
          <w:highlight w:val="none"/>
          <w:lang w:eastAsia="zh-CN"/>
        </w:rPr>
        <w:t>〕第</w:t>
      </w:r>
      <w:r>
        <w:rPr>
          <w:rFonts w:hint="eastAsia" w:ascii="仿宋" w:hAnsi="仿宋" w:eastAsia="仿宋" w:cs="仿宋"/>
          <w:sz w:val="28"/>
          <w:szCs w:val="28"/>
          <w:highlight w:val="none"/>
          <w:lang w:val="en-US" w:eastAsia="zh-CN"/>
        </w:rPr>
        <w:t>2号，以下简称《办法》</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《财政部关于开展通过商业银行柜台市场发行地方政府债券工作的通知》（财库〔2019〕11号）</w:t>
      </w:r>
      <w:r>
        <w:rPr>
          <w:rFonts w:hint="eastAsia" w:ascii="仿宋" w:hAnsi="仿宋" w:eastAsia="仿宋" w:cs="仿宋"/>
          <w:sz w:val="28"/>
          <w:szCs w:val="28"/>
          <w:highlight w:val="none"/>
          <w:lang w:eastAsia="zh-CN"/>
        </w:rPr>
        <w:t>、《财政部关于进一步做好地方政府债券发行工作的意见》</w:t>
      </w:r>
      <w:r>
        <w:rPr>
          <w:rFonts w:hint="eastAsia" w:ascii="仿宋" w:hAnsi="仿宋" w:eastAsia="仿宋" w:cs="仿宋"/>
          <w:sz w:val="28"/>
          <w:szCs w:val="28"/>
          <w:highlight w:val="none"/>
        </w:rPr>
        <w:t>（财库〔20</w:t>
      </w:r>
      <w:r>
        <w:rPr>
          <w:rFonts w:hint="eastAsia" w:ascii="仿宋" w:hAnsi="仿宋" w:eastAsia="仿宋" w:cs="仿宋"/>
          <w:sz w:val="28"/>
          <w:szCs w:val="28"/>
          <w:highlight w:val="none"/>
          <w:lang w:val="en-US" w:eastAsia="zh-CN"/>
        </w:rPr>
        <w:t>20</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36</w:t>
      </w:r>
      <w:r>
        <w:rPr>
          <w:rFonts w:hint="eastAsia" w:ascii="仿宋" w:hAnsi="仿宋" w:eastAsia="仿宋" w:cs="仿宋"/>
          <w:sz w:val="28"/>
          <w:szCs w:val="28"/>
          <w:highlight w:val="none"/>
        </w:rPr>
        <w:t>号）</w:t>
      </w:r>
      <w:r>
        <w:rPr>
          <w:rFonts w:hint="eastAsia" w:ascii="仿宋" w:hAnsi="仿宋" w:eastAsia="仿宋" w:cs="仿宋"/>
          <w:sz w:val="28"/>
          <w:szCs w:val="28"/>
          <w:highlight w:val="none"/>
          <w:lang w:eastAsia="zh-CN"/>
        </w:rPr>
        <w:t>和《进一步做好地方政府债券柜台发行工作的通知》</w:t>
      </w:r>
      <w:r>
        <w:rPr>
          <w:rFonts w:hint="eastAsia" w:ascii="仿宋" w:hAnsi="仿宋" w:eastAsia="仿宋" w:cs="仿宋"/>
          <w:sz w:val="28"/>
          <w:szCs w:val="28"/>
          <w:highlight w:val="none"/>
        </w:rPr>
        <w:t>（财库〔20</w:t>
      </w:r>
      <w:r>
        <w:rPr>
          <w:rFonts w:hint="eastAsia" w:ascii="仿宋" w:hAnsi="仿宋" w:eastAsia="仿宋" w:cs="仿宋"/>
          <w:sz w:val="28"/>
          <w:szCs w:val="28"/>
          <w:highlight w:val="none"/>
          <w:lang w:val="en-US" w:eastAsia="zh-CN"/>
        </w:rPr>
        <w:t>20</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49</w:t>
      </w:r>
      <w:r>
        <w:rPr>
          <w:rFonts w:hint="eastAsia" w:ascii="仿宋" w:hAnsi="仿宋" w:eastAsia="仿宋" w:cs="仿宋"/>
          <w:sz w:val="28"/>
          <w:szCs w:val="28"/>
          <w:highlight w:val="none"/>
        </w:rPr>
        <w:t>号）要求，通过商业银行柜台市场发行 “</w:t>
      </w:r>
      <w:r>
        <w:rPr>
          <w:rFonts w:hint="eastAsia" w:ascii="仿宋" w:hAnsi="仿宋" w:eastAsia="仿宋" w:cs="仿宋"/>
          <w:sz w:val="28"/>
          <w:szCs w:val="28"/>
          <w:highlight w:val="none"/>
          <w:lang w:val="en-US" w:eastAsia="zh-CN"/>
        </w:rPr>
        <w:t>陕西省</w:t>
      </w:r>
      <w:r>
        <w:rPr>
          <w:rFonts w:hint="eastAsia" w:ascii="仿宋" w:hAnsi="仿宋" w:eastAsia="仿宋" w:cs="仿宋"/>
          <w:sz w:val="28"/>
          <w:szCs w:val="28"/>
          <w:highlight w:val="none"/>
        </w:rPr>
        <w:t>政府债券”（以下简称“债券”），并负责债券通过柜台业务开办机构向柜台投资者发行的组织工作；乙方自愿成为柜台渠道分销商，承诺参与柜台债券投标、分销和交易柜台债券，履行相应的义务并享有相应的权利。为进一步明确甲乙双方在柜台分销业务中的权利与义务，经甲乙双方协商一致，签订本协议。</w:t>
      </w:r>
    </w:p>
    <w:p>
      <w:pPr>
        <w:spacing w:line="360" w:lineRule="auto"/>
        <w:ind w:firstLine="560" w:firstLineChars="200"/>
        <w:rPr>
          <w:rFonts w:hint="eastAsia" w:ascii="仿宋" w:hAnsi="仿宋" w:eastAsia="仿宋" w:cs="仿宋"/>
          <w:sz w:val="28"/>
          <w:szCs w:val="28"/>
          <w:highlight w:val="none"/>
        </w:rPr>
      </w:pPr>
    </w:p>
    <w:p>
      <w:pPr>
        <w:spacing w:line="360" w:lineRule="auto"/>
        <w:ind w:firstLine="562" w:firstLineChars="200"/>
        <w:rPr>
          <w:rFonts w:hint="eastAsia" w:ascii="仿宋" w:hAnsi="仿宋" w:eastAsia="仿宋" w:cs="仿宋"/>
          <w:b/>
          <w:sz w:val="28"/>
          <w:szCs w:val="28"/>
          <w:highlight w:val="none"/>
        </w:rPr>
      </w:pPr>
      <w:r>
        <w:rPr>
          <w:rFonts w:hint="eastAsia" w:ascii="仿宋" w:hAnsi="仿宋" w:eastAsia="仿宋" w:cs="仿宋"/>
          <w:b/>
          <w:sz w:val="28"/>
          <w:szCs w:val="28"/>
          <w:highlight w:val="none"/>
        </w:rPr>
        <w:t>第一条 债券及柜台债券的定义</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本协议项下债券指甲方公开发行的债券（含一般债券及专项债券）。</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陕西省</w:t>
      </w:r>
      <w:r>
        <w:rPr>
          <w:rFonts w:hint="eastAsia" w:ascii="仿宋" w:hAnsi="仿宋" w:eastAsia="仿宋" w:cs="仿宋"/>
          <w:sz w:val="28"/>
          <w:szCs w:val="28"/>
          <w:highlight w:val="none"/>
        </w:rPr>
        <w:t>地方政府债券，是指以</w:t>
      </w:r>
      <w:r>
        <w:rPr>
          <w:rFonts w:hint="eastAsia" w:ascii="仿宋" w:hAnsi="仿宋" w:eastAsia="仿宋" w:cs="仿宋"/>
          <w:sz w:val="28"/>
          <w:szCs w:val="28"/>
          <w:highlight w:val="none"/>
          <w:lang w:val="en-US" w:eastAsia="zh-CN"/>
        </w:rPr>
        <w:t>陕西省</w:t>
      </w:r>
      <w:r>
        <w:rPr>
          <w:rFonts w:hint="eastAsia" w:ascii="仿宋" w:hAnsi="仿宋" w:eastAsia="仿宋" w:cs="仿宋"/>
          <w:sz w:val="28"/>
          <w:szCs w:val="28"/>
          <w:highlight w:val="none"/>
        </w:rPr>
        <w:t>人民政府为债务人承担按期支付利息和归还本金责任，由</w:t>
      </w:r>
      <w:r>
        <w:rPr>
          <w:rFonts w:hint="eastAsia" w:ascii="仿宋" w:hAnsi="仿宋" w:eastAsia="仿宋" w:cs="仿宋"/>
          <w:sz w:val="28"/>
          <w:szCs w:val="28"/>
          <w:highlight w:val="none"/>
          <w:lang w:val="en-US" w:eastAsia="zh-CN"/>
        </w:rPr>
        <w:t>陕西省</w:t>
      </w:r>
      <w:r>
        <w:rPr>
          <w:rFonts w:hint="eastAsia" w:ascii="仿宋" w:hAnsi="仿宋" w:eastAsia="仿宋" w:cs="仿宋"/>
          <w:sz w:val="28"/>
          <w:szCs w:val="28"/>
          <w:highlight w:val="none"/>
        </w:rPr>
        <w:t>财政厅具体办理债券发行、支付利息和偿还本金等事项的记账式债券。</w:t>
      </w:r>
    </w:p>
    <w:p>
      <w:pPr>
        <w:spacing w:line="360" w:lineRule="auto"/>
        <w:ind w:firstLine="560" w:firstLineChars="200"/>
        <w:rPr>
          <w:rFonts w:hint="eastAsia" w:ascii="仿宋" w:hAnsi="仿宋" w:eastAsia="仿宋" w:cs="仿宋"/>
          <w:color w:val="FF0000"/>
          <w:sz w:val="28"/>
          <w:szCs w:val="28"/>
          <w:highlight w:val="none"/>
        </w:rPr>
      </w:pPr>
      <w:r>
        <w:rPr>
          <w:rFonts w:hint="eastAsia" w:ascii="仿宋" w:hAnsi="仿宋" w:eastAsia="仿宋" w:cs="仿宋"/>
          <w:sz w:val="28"/>
          <w:szCs w:val="28"/>
          <w:highlight w:val="none"/>
        </w:rPr>
        <w:t>柜台债券是指甲方在相关债券发行文件中允许通过乙方柜台营业渠道分销的债券。</w:t>
      </w:r>
    </w:p>
    <w:p>
      <w:pPr>
        <w:spacing w:line="360" w:lineRule="auto"/>
        <w:ind w:firstLine="480"/>
        <w:rPr>
          <w:rFonts w:hint="eastAsia" w:ascii="仿宋" w:hAnsi="仿宋" w:eastAsia="仿宋" w:cs="仿宋"/>
          <w:sz w:val="28"/>
          <w:szCs w:val="28"/>
          <w:highlight w:val="none"/>
        </w:rPr>
      </w:pPr>
    </w:p>
    <w:p>
      <w:pPr>
        <w:spacing w:line="360" w:lineRule="auto"/>
        <w:ind w:firstLine="480"/>
        <w:rPr>
          <w:rFonts w:hint="eastAsia" w:ascii="仿宋" w:hAnsi="仿宋" w:eastAsia="仿宋" w:cs="仿宋"/>
          <w:b/>
          <w:sz w:val="28"/>
          <w:szCs w:val="28"/>
          <w:highlight w:val="none"/>
        </w:rPr>
      </w:pPr>
      <w:r>
        <w:rPr>
          <w:rFonts w:hint="eastAsia" w:ascii="仿宋" w:hAnsi="仿宋" w:eastAsia="仿宋" w:cs="仿宋"/>
          <w:b/>
          <w:sz w:val="28"/>
          <w:szCs w:val="28"/>
          <w:highlight w:val="none"/>
        </w:rPr>
        <w:t xml:space="preserve">第二条 分销方式 </w:t>
      </w:r>
    </w:p>
    <w:p>
      <w:pPr>
        <w:spacing w:line="360" w:lineRule="auto"/>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甲方发行的债券，可以选择通过柜台开办机构向柜台投资者进行分销。乙方根据其柜台中标额度，在柜台债券分销期内，按照本协议及当期债券发行文件约定，向个人、企业、金融机构等《办法》中规定的柜台投资者进行分销。分销期结束后，按照有关规定，乙方柜台做市债券可以在银行间市场流通交易。</w:t>
      </w:r>
    </w:p>
    <w:p>
      <w:pPr>
        <w:spacing w:line="360" w:lineRule="auto"/>
        <w:ind w:firstLine="480"/>
        <w:rPr>
          <w:rFonts w:hint="eastAsia" w:ascii="仿宋" w:hAnsi="仿宋" w:eastAsia="仿宋" w:cs="仿宋"/>
          <w:sz w:val="28"/>
          <w:szCs w:val="28"/>
          <w:highlight w:val="none"/>
        </w:rPr>
      </w:pPr>
    </w:p>
    <w:p>
      <w:pPr>
        <w:spacing w:line="360" w:lineRule="auto"/>
        <w:ind w:firstLine="480"/>
        <w:rPr>
          <w:rFonts w:hint="eastAsia" w:ascii="仿宋" w:hAnsi="仿宋" w:eastAsia="仿宋" w:cs="仿宋"/>
          <w:b/>
          <w:sz w:val="28"/>
          <w:szCs w:val="28"/>
          <w:highlight w:val="none"/>
        </w:rPr>
      </w:pPr>
      <w:r>
        <w:rPr>
          <w:rFonts w:hint="eastAsia" w:ascii="仿宋" w:hAnsi="仿宋" w:eastAsia="仿宋" w:cs="仿宋"/>
          <w:b/>
          <w:sz w:val="28"/>
          <w:szCs w:val="28"/>
          <w:highlight w:val="none"/>
        </w:rPr>
        <w:t>第三条 分销期</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柜台债券分销期是指全国银行间债券市场（以下简称“银行间市场”）招标日后一工作日至甲方发行文件中确定的柜台债券缴款日前一工作日的时间。</w:t>
      </w:r>
    </w:p>
    <w:p>
      <w:pPr>
        <w:spacing w:line="360" w:lineRule="auto"/>
        <w:ind w:firstLine="480"/>
        <w:rPr>
          <w:rFonts w:hint="eastAsia" w:ascii="仿宋" w:hAnsi="仿宋" w:eastAsia="仿宋" w:cs="仿宋"/>
          <w:sz w:val="28"/>
          <w:szCs w:val="28"/>
          <w:highlight w:val="none"/>
        </w:rPr>
      </w:pPr>
    </w:p>
    <w:p>
      <w:pPr>
        <w:spacing w:line="360" w:lineRule="auto"/>
        <w:ind w:firstLine="562" w:firstLineChars="200"/>
        <w:rPr>
          <w:rFonts w:hint="eastAsia" w:ascii="仿宋" w:hAnsi="仿宋" w:eastAsia="仿宋" w:cs="仿宋"/>
          <w:b/>
          <w:sz w:val="28"/>
          <w:szCs w:val="28"/>
          <w:highlight w:val="none"/>
        </w:rPr>
      </w:pPr>
      <w:r>
        <w:rPr>
          <w:rFonts w:hint="eastAsia" w:ascii="仿宋" w:hAnsi="仿宋" w:eastAsia="仿宋" w:cs="仿宋"/>
          <w:b/>
          <w:sz w:val="28"/>
          <w:szCs w:val="28"/>
          <w:highlight w:val="none"/>
        </w:rPr>
        <w:t>第四条 柜台债券计划分销最高限额及未分销部分处理方式</w:t>
      </w:r>
    </w:p>
    <w:p>
      <w:pPr>
        <w:spacing w:line="360" w:lineRule="auto"/>
        <w:ind w:firstLine="562" w:firstLineChars="200"/>
        <w:rPr>
          <w:rFonts w:hint="eastAsia" w:ascii="仿宋" w:hAnsi="仿宋" w:eastAsia="仿宋" w:cs="仿宋"/>
          <w:b/>
          <w:sz w:val="28"/>
          <w:szCs w:val="28"/>
          <w:highlight w:val="none"/>
        </w:rPr>
      </w:pPr>
      <w:r>
        <w:rPr>
          <w:rFonts w:hint="eastAsia" w:ascii="仿宋" w:hAnsi="仿宋" w:eastAsia="仿宋" w:cs="仿宋"/>
          <w:b/>
          <w:sz w:val="28"/>
          <w:szCs w:val="28"/>
          <w:highlight w:val="none"/>
        </w:rPr>
        <w:t>一、柜台债券计划分销最高限额</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柜台债券计划分销最高限额为甲方在发行文件中确定的乙方被允许在柜台市场分销的柜台债券的最高额度。</w:t>
      </w:r>
    </w:p>
    <w:p>
      <w:pPr>
        <w:spacing w:line="360" w:lineRule="auto"/>
        <w:ind w:firstLine="560" w:firstLineChars="200"/>
        <w:rPr>
          <w:rFonts w:hint="eastAsia" w:ascii="仿宋" w:hAnsi="仿宋" w:eastAsia="仿宋" w:cs="仿宋"/>
          <w:b/>
          <w:sz w:val="28"/>
          <w:szCs w:val="28"/>
          <w:highlight w:val="none"/>
        </w:rPr>
      </w:pPr>
      <w:r>
        <w:rPr>
          <w:rFonts w:hint="eastAsia" w:ascii="仿宋" w:hAnsi="仿宋" w:eastAsia="仿宋" w:cs="仿宋"/>
          <w:sz w:val="28"/>
          <w:szCs w:val="28"/>
          <w:highlight w:val="none"/>
        </w:rPr>
        <w:t>二、</w:t>
      </w:r>
      <w:r>
        <w:rPr>
          <w:rFonts w:hint="eastAsia" w:ascii="仿宋" w:hAnsi="仿宋" w:eastAsia="仿宋" w:cs="仿宋"/>
          <w:b/>
          <w:sz w:val="28"/>
          <w:szCs w:val="28"/>
          <w:highlight w:val="none"/>
        </w:rPr>
        <w:t>未分销部分处理方式</w:t>
      </w:r>
    </w:p>
    <w:p>
      <w:pPr>
        <w:spacing w:line="360" w:lineRule="auto"/>
        <w:ind w:firstLine="560" w:firstLineChars="200"/>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rPr>
        <w:t>柜台债券向投资者实际分销数额与计划分销额之间的差额，由乙方包销。</w:t>
      </w:r>
      <w:r>
        <w:rPr>
          <w:rFonts w:hint="eastAsia" w:ascii="仿宋" w:hAnsi="仿宋" w:eastAsia="仿宋" w:cs="仿宋"/>
          <w:sz w:val="28"/>
          <w:szCs w:val="28"/>
          <w:highlight w:val="none"/>
          <w:lang w:val="en-US" w:eastAsia="zh-CN"/>
        </w:rPr>
        <w:t xml:space="preserve">                                                                                                                                                                                                                                                                                                                                                                                                                                                                                                                                                                                                                                                                                                                                                                                                                                                                                                                                                                                                                                                                                                                                                                                                                                                                                                                                                                                                                                                                                                                                                                                                                                                                       </w:t>
      </w:r>
    </w:p>
    <w:p>
      <w:pPr>
        <w:spacing w:line="360" w:lineRule="auto"/>
        <w:ind w:firstLine="560" w:firstLineChars="200"/>
        <w:rPr>
          <w:rFonts w:hint="eastAsia" w:ascii="仿宋" w:hAnsi="仿宋" w:eastAsia="仿宋" w:cs="仿宋"/>
          <w:sz w:val="28"/>
          <w:szCs w:val="28"/>
          <w:highlight w:val="none"/>
        </w:rPr>
      </w:pPr>
    </w:p>
    <w:p>
      <w:pPr>
        <w:spacing w:line="360" w:lineRule="auto"/>
        <w:ind w:firstLine="562" w:firstLineChars="200"/>
        <w:rPr>
          <w:rFonts w:hint="eastAsia" w:ascii="仿宋" w:hAnsi="仿宋" w:eastAsia="仿宋" w:cs="仿宋"/>
          <w:b/>
          <w:sz w:val="28"/>
          <w:szCs w:val="28"/>
          <w:highlight w:val="none"/>
        </w:rPr>
      </w:pPr>
      <w:r>
        <w:rPr>
          <w:rFonts w:hint="eastAsia" w:ascii="仿宋" w:hAnsi="仿宋" w:eastAsia="仿宋" w:cs="仿宋"/>
          <w:b/>
          <w:sz w:val="28"/>
          <w:szCs w:val="28"/>
          <w:highlight w:val="none"/>
        </w:rPr>
        <w:t>第五条 柜台债券票面利率/价格的确定</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甲乙双方根据财政部相关文件要求，结合债券发行前市场供求、投资人期望收益等情况协商每期柜台债券的票面利率（如有）、银行间市场债券票面利率（如有）和发行价格的确定方式，具体方案见当期债券发行文件。</w:t>
      </w:r>
    </w:p>
    <w:p>
      <w:pPr>
        <w:spacing w:line="360" w:lineRule="auto"/>
        <w:ind w:firstLine="560" w:firstLineChars="200"/>
        <w:rPr>
          <w:rFonts w:hint="eastAsia" w:ascii="仿宋" w:hAnsi="仿宋" w:eastAsia="仿宋" w:cs="仿宋"/>
          <w:sz w:val="28"/>
          <w:szCs w:val="28"/>
          <w:highlight w:val="none"/>
        </w:rPr>
      </w:pPr>
    </w:p>
    <w:p>
      <w:pPr>
        <w:spacing w:line="360" w:lineRule="auto"/>
        <w:ind w:firstLine="562" w:firstLineChars="200"/>
        <w:rPr>
          <w:rFonts w:hint="eastAsia" w:ascii="仿宋" w:hAnsi="仿宋" w:eastAsia="仿宋" w:cs="仿宋"/>
          <w:b/>
          <w:sz w:val="28"/>
          <w:szCs w:val="28"/>
          <w:highlight w:val="none"/>
        </w:rPr>
      </w:pPr>
      <w:r>
        <w:rPr>
          <w:rFonts w:hint="eastAsia" w:ascii="仿宋" w:hAnsi="仿宋" w:eastAsia="仿宋" w:cs="仿宋"/>
          <w:b/>
          <w:sz w:val="28"/>
          <w:szCs w:val="28"/>
          <w:highlight w:val="none"/>
        </w:rPr>
        <w:t>第六条 柜台分销款的支付</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每期柜台债券分销期满，乙方应按甲方发出的关于缴款的相关文件、当期债券发行文件，将柜台债券分销款</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含包销部分，下同</w:t>
      </w:r>
      <w:r>
        <w:rPr>
          <w:rFonts w:hint="eastAsia" w:ascii="仿宋" w:hAnsi="仿宋" w:eastAsia="仿宋" w:cs="仿宋"/>
          <w:color w:val="auto"/>
          <w:sz w:val="28"/>
          <w:szCs w:val="28"/>
          <w:highlight w:val="none"/>
          <w:lang w:eastAsia="zh-CN"/>
        </w:rPr>
        <w:t>）</w:t>
      </w:r>
      <w:r>
        <w:rPr>
          <w:rFonts w:hint="eastAsia" w:ascii="仿宋" w:hAnsi="仿宋" w:eastAsia="仿宋" w:cs="仿宋"/>
          <w:sz w:val="28"/>
          <w:szCs w:val="28"/>
          <w:highlight w:val="none"/>
        </w:rPr>
        <w:t>及时足额划入甲方指定的银行账户。柜台债券分销款到账后第二个工作日，债券持有人与甲方之间的债权债务关系成立。乙方延迟或提前支付分销的柜台债券款，按照本协议中违约责任条款处理。</w:t>
      </w:r>
    </w:p>
    <w:p>
      <w:pPr>
        <w:spacing w:line="360" w:lineRule="auto"/>
        <w:ind w:firstLine="560" w:firstLineChars="200"/>
        <w:rPr>
          <w:rFonts w:hint="eastAsia" w:ascii="仿宋" w:hAnsi="仿宋" w:eastAsia="仿宋" w:cs="仿宋"/>
          <w:sz w:val="28"/>
          <w:szCs w:val="28"/>
          <w:highlight w:val="none"/>
        </w:rPr>
      </w:pPr>
    </w:p>
    <w:p>
      <w:pPr>
        <w:spacing w:line="360" w:lineRule="auto"/>
        <w:ind w:firstLine="550" w:firstLineChars="196"/>
        <w:rPr>
          <w:rFonts w:hint="eastAsia" w:ascii="仿宋" w:hAnsi="仿宋" w:eastAsia="仿宋" w:cs="仿宋"/>
          <w:b/>
          <w:sz w:val="28"/>
          <w:szCs w:val="28"/>
          <w:highlight w:val="none"/>
        </w:rPr>
      </w:pPr>
      <w:r>
        <w:rPr>
          <w:rFonts w:hint="eastAsia" w:ascii="仿宋" w:hAnsi="仿宋" w:eastAsia="仿宋" w:cs="仿宋"/>
          <w:b/>
          <w:sz w:val="28"/>
          <w:szCs w:val="28"/>
          <w:highlight w:val="none"/>
        </w:rPr>
        <w:t>第七条  分销手续费</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sz w:val="28"/>
          <w:szCs w:val="28"/>
          <w:highlight w:val="none"/>
        </w:rPr>
        <w:t>乙方通过柜台市场分销的柜台债券，由甲方支付以下分销手续费</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含包销部分，下同</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商业银行柜台专项分销费。乙方通过其柜台市场营业渠道分销甲方债券，由甲方向乙方支付商业银行柜台专项分销费。付费基数为柜台债券计划分销数额，分销费率</w:t>
      </w:r>
      <w:r>
        <w:rPr>
          <w:rFonts w:hint="eastAsia" w:ascii="仿宋" w:hAnsi="仿宋" w:eastAsia="仿宋" w:cs="仿宋"/>
          <w:sz w:val="28"/>
          <w:szCs w:val="28"/>
          <w:highlight w:val="none"/>
          <w:lang w:eastAsia="zh-CN"/>
        </w:rPr>
        <w:t>暂定</w:t>
      </w:r>
      <w:r>
        <w:rPr>
          <w:rFonts w:hint="eastAsia" w:ascii="仿宋" w:hAnsi="仿宋" w:eastAsia="仿宋" w:cs="仿宋"/>
          <w:sz w:val="28"/>
          <w:szCs w:val="28"/>
          <w:highlight w:val="none"/>
        </w:rPr>
        <w:t>为40个基点。</w:t>
      </w:r>
      <w:r>
        <w:rPr>
          <w:rFonts w:hint="eastAsia" w:ascii="仿宋" w:hAnsi="仿宋" w:eastAsia="仿宋" w:cs="仿宋"/>
          <w:sz w:val="28"/>
          <w:szCs w:val="28"/>
          <w:highlight w:val="none"/>
          <w:lang w:eastAsia="zh-CN"/>
        </w:rPr>
        <w:t>同时，甲方可根据国内同类业务（含国债柜台发行）分销费率的变化趋势，对分销费率进行相应调整，具体执行的分销费率水平见债券发行文件。</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甲方将根据中央国债登记结算有限责任公司提供的上一年度柜台债券认购数据，对乙方进行年度考核：如乙方上一年度柜台实际分销比例（柜台实际分销额除以总承销面额）低于70%，且低于与甲方签约的所有柜台业务开办机构的平均分销比例，本年分销费率在上一年分销费率基础上下调10个基点。如乙方连续两年柜台实际分销比例低于70%，且低于与甲方签约的所有柜台业务开办机构的平均分销比例，甲方有权终止执行与乙方签订的柜台债券分销协议。</w:t>
      </w:r>
    </w:p>
    <w:p>
      <w:pPr>
        <w:spacing w:line="360" w:lineRule="auto"/>
        <w:ind w:firstLine="548" w:firstLineChars="196"/>
        <w:rPr>
          <w:rFonts w:hint="eastAsia" w:ascii="仿宋" w:hAnsi="仿宋" w:eastAsia="仿宋" w:cs="仿宋"/>
          <w:sz w:val="28"/>
          <w:szCs w:val="28"/>
          <w:highlight w:val="none"/>
        </w:rPr>
      </w:pPr>
    </w:p>
    <w:p>
      <w:pPr>
        <w:spacing w:line="360" w:lineRule="auto"/>
        <w:ind w:firstLine="550" w:firstLineChars="196"/>
        <w:rPr>
          <w:rFonts w:hint="eastAsia" w:ascii="仿宋" w:hAnsi="仿宋" w:eastAsia="仿宋" w:cs="仿宋"/>
          <w:b/>
          <w:sz w:val="28"/>
          <w:szCs w:val="28"/>
          <w:highlight w:val="none"/>
        </w:rPr>
      </w:pPr>
      <w:r>
        <w:rPr>
          <w:rFonts w:hint="eastAsia" w:ascii="仿宋" w:hAnsi="仿宋" w:eastAsia="仿宋" w:cs="仿宋"/>
          <w:b/>
          <w:sz w:val="28"/>
          <w:szCs w:val="28"/>
          <w:highlight w:val="none"/>
        </w:rPr>
        <w:t>第八条  分销手续费的支付</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甲方</w:t>
      </w:r>
      <w:r>
        <w:rPr>
          <w:rFonts w:hint="eastAsia" w:ascii="仿宋" w:hAnsi="仿宋" w:eastAsia="仿宋" w:cs="仿宋"/>
          <w:sz w:val="28"/>
          <w:szCs w:val="28"/>
          <w:highlight w:val="none"/>
          <w:lang w:eastAsia="zh-CN"/>
        </w:rPr>
        <w:t>在指定账户足额收到乙方柜台债券分销款后五个工作日内（含第五个工作日），按当期（次）债券发行通知等有关文件规定，甲方</w:t>
      </w:r>
      <w:r>
        <w:rPr>
          <w:rFonts w:hint="eastAsia" w:ascii="仿宋" w:hAnsi="仿宋" w:eastAsia="仿宋" w:cs="仿宋"/>
          <w:sz w:val="28"/>
          <w:szCs w:val="28"/>
          <w:highlight w:val="none"/>
        </w:rPr>
        <w:t>可以委托中央国债登记结算有限责任公司代为拨付商业银行柜台专项分销费，拨付时间与银行间市场发行手续费拨付时间一致。</w:t>
      </w:r>
    </w:p>
    <w:p>
      <w:pPr>
        <w:spacing w:line="360" w:lineRule="auto"/>
        <w:ind w:firstLine="560" w:firstLineChars="200"/>
        <w:rPr>
          <w:rFonts w:hint="eastAsia" w:ascii="仿宋" w:hAnsi="仿宋" w:eastAsia="仿宋" w:cs="仿宋"/>
          <w:sz w:val="28"/>
          <w:szCs w:val="28"/>
          <w:highlight w:val="none"/>
        </w:rPr>
      </w:pPr>
    </w:p>
    <w:p>
      <w:pPr>
        <w:spacing w:line="360" w:lineRule="auto"/>
        <w:ind w:firstLine="562" w:firstLineChars="200"/>
        <w:rPr>
          <w:rFonts w:hint="eastAsia" w:ascii="仿宋" w:hAnsi="仿宋" w:eastAsia="仿宋" w:cs="仿宋"/>
          <w:b/>
          <w:sz w:val="28"/>
          <w:szCs w:val="28"/>
          <w:highlight w:val="none"/>
        </w:rPr>
      </w:pPr>
      <w:r>
        <w:rPr>
          <w:rFonts w:hint="eastAsia" w:ascii="仿宋" w:hAnsi="仿宋" w:eastAsia="仿宋" w:cs="仿宋"/>
          <w:b/>
          <w:sz w:val="28"/>
          <w:szCs w:val="28"/>
          <w:highlight w:val="none"/>
        </w:rPr>
        <w:t>第九条  付息和兑付</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甲方委托中央国债登记结算有限责任公司代为拨付柜台债券本息款。中央国债登记结算有限责任公司在足额收到甲方的委托款项后，不迟于柜台债券付息/兑付日前一个工作日，向乙方支付其客户持有柜台债券的付息资金或付息资金加到期本金（视该日为利息支付日或本息支付日决定）。乙方应当于债券付息日或者到期日一次、足额将兑付资金划入柜台投资者资金账户。 </w:t>
      </w:r>
    </w:p>
    <w:p>
      <w:pPr>
        <w:spacing w:line="360" w:lineRule="auto"/>
        <w:ind w:firstLine="560" w:firstLineChars="200"/>
        <w:rPr>
          <w:rFonts w:hint="eastAsia" w:ascii="仿宋" w:hAnsi="仿宋" w:eastAsia="仿宋" w:cs="仿宋"/>
          <w:sz w:val="28"/>
          <w:szCs w:val="28"/>
          <w:highlight w:val="none"/>
        </w:rPr>
      </w:pPr>
    </w:p>
    <w:p>
      <w:pPr>
        <w:spacing w:line="360" w:lineRule="auto"/>
        <w:ind w:firstLine="550" w:firstLineChars="196"/>
        <w:rPr>
          <w:rFonts w:hint="eastAsia" w:ascii="仿宋" w:hAnsi="仿宋" w:eastAsia="仿宋" w:cs="仿宋"/>
          <w:b/>
          <w:sz w:val="28"/>
          <w:szCs w:val="28"/>
          <w:highlight w:val="none"/>
        </w:rPr>
      </w:pPr>
      <w:r>
        <w:rPr>
          <w:rFonts w:hint="eastAsia" w:ascii="仿宋" w:hAnsi="仿宋" w:eastAsia="仿宋" w:cs="仿宋"/>
          <w:b/>
          <w:sz w:val="28"/>
          <w:szCs w:val="28"/>
          <w:highlight w:val="none"/>
        </w:rPr>
        <w:t>第十条  登记托管</w:t>
      </w:r>
    </w:p>
    <w:p>
      <w:pPr>
        <w:spacing w:line="360" w:lineRule="auto"/>
        <w:ind w:firstLine="470"/>
        <w:rPr>
          <w:rFonts w:hint="eastAsia" w:ascii="仿宋" w:hAnsi="仿宋" w:eastAsia="仿宋" w:cs="仿宋"/>
          <w:b/>
          <w:sz w:val="28"/>
          <w:szCs w:val="28"/>
          <w:highlight w:val="none"/>
        </w:rPr>
      </w:pPr>
      <w:r>
        <w:rPr>
          <w:rFonts w:hint="eastAsia" w:ascii="仿宋" w:hAnsi="仿宋" w:eastAsia="仿宋" w:cs="仿宋"/>
          <w:sz w:val="28"/>
          <w:szCs w:val="28"/>
          <w:highlight w:val="none"/>
        </w:rPr>
        <w:t>按照有关规定，柜台债券实行两级托管体制。中央国债登记结算有限责任公司为柜台债券的一级托管人，乙方为柜台债券的二级托管人。</w:t>
      </w:r>
    </w:p>
    <w:p>
      <w:pPr>
        <w:spacing w:line="360" w:lineRule="auto"/>
        <w:ind w:firstLine="470"/>
        <w:rPr>
          <w:rFonts w:hint="eastAsia" w:ascii="仿宋" w:hAnsi="仿宋" w:eastAsia="仿宋" w:cs="仿宋"/>
          <w:b/>
          <w:sz w:val="28"/>
          <w:szCs w:val="28"/>
          <w:highlight w:val="none"/>
        </w:rPr>
      </w:pPr>
    </w:p>
    <w:p>
      <w:pPr>
        <w:spacing w:line="360" w:lineRule="auto"/>
        <w:ind w:firstLine="550" w:firstLineChars="196"/>
        <w:rPr>
          <w:rFonts w:hint="eastAsia" w:ascii="仿宋" w:hAnsi="仿宋" w:eastAsia="仿宋" w:cs="仿宋"/>
          <w:b/>
          <w:sz w:val="28"/>
          <w:szCs w:val="28"/>
          <w:highlight w:val="none"/>
        </w:rPr>
      </w:pPr>
      <w:r>
        <w:rPr>
          <w:rFonts w:hint="eastAsia" w:ascii="仿宋" w:hAnsi="仿宋" w:eastAsia="仿宋" w:cs="仿宋"/>
          <w:b/>
          <w:sz w:val="28"/>
          <w:szCs w:val="28"/>
          <w:highlight w:val="none"/>
        </w:rPr>
        <w:t>第十一条  信息披露</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一、甲方应按照监管机构相关规定做好柜台债券发行的信息披露工作。甲方应向市场发布发行办法、招投标书及发行公告等相关发行文件。</w:t>
      </w:r>
    </w:p>
    <w:p>
      <w:pPr>
        <w:numPr>
          <w:ilvl w:val="0"/>
          <w:numId w:val="1"/>
        </w:numPr>
        <w:spacing w:line="360" w:lineRule="auto"/>
        <w:ind w:left="0"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甲方应在债券发行文件中载明是否允许在柜台市场分销债券及柜台债券计划分销最高限额。</w:t>
      </w:r>
    </w:p>
    <w:p>
      <w:pPr>
        <w:numPr>
          <w:ilvl w:val="0"/>
          <w:numId w:val="1"/>
        </w:numPr>
        <w:spacing w:line="360" w:lineRule="auto"/>
        <w:ind w:left="0"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甲方应在债券发行文件中载明适用于柜台债券的投资者范围，包括个人、企业、金融机构等符合《办法》中规定的柜台投资者进行分销。</w:t>
      </w:r>
    </w:p>
    <w:p>
      <w:pPr>
        <w:numPr>
          <w:ilvl w:val="0"/>
          <w:numId w:val="1"/>
        </w:numPr>
        <w:spacing w:line="360" w:lineRule="auto"/>
        <w:ind w:left="0"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甲方应在债券发行文件中载明本协议约定需载明的及适用于柜台债券的特殊事项。</w:t>
      </w:r>
    </w:p>
    <w:p>
      <w:pPr>
        <w:numPr>
          <w:ilvl w:val="0"/>
          <w:numId w:val="1"/>
        </w:numPr>
        <w:spacing w:line="360" w:lineRule="auto"/>
        <w:ind w:left="0"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除非另行书面说明，甲方对于银行间市场的债券信息披露义务亦适用于柜台债券。</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二、乙方应按照监管机构相关规定做好柜台分销和交易债券的信息披露工作，包括但不限于及时披露可能影响柜台债券投资人权益的相关信息。</w:t>
      </w:r>
    </w:p>
    <w:p>
      <w:pPr>
        <w:spacing w:line="360" w:lineRule="auto"/>
        <w:rPr>
          <w:rFonts w:hint="eastAsia" w:ascii="仿宋" w:hAnsi="仿宋" w:eastAsia="仿宋" w:cs="仿宋"/>
          <w:sz w:val="28"/>
          <w:szCs w:val="28"/>
          <w:highlight w:val="none"/>
        </w:rPr>
      </w:pPr>
    </w:p>
    <w:p>
      <w:pPr>
        <w:spacing w:line="360" w:lineRule="auto"/>
        <w:ind w:firstLine="550" w:firstLineChars="196"/>
        <w:rPr>
          <w:rFonts w:hint="eastAsia" w:ascii="仿宋" w:hAnsi="仿宋" w:eastAsia="仿宋" w:cs="仿宋"/>
          <w:b/>
          <w:sz w:val="28"/>
          <w:szCs w:val="28"/>
          <w:highlight w:val="none"/>
        </w:rPr>
      </w:pPr>
      <w:r>
        <w:rPr>
          <w:rFonts w:hint="eastAsia" w:ascii="仿宋" w:hAnsi="仿宋" w:eastAsia="仿宋" w:cs="仿宋"/>
          <w:b/>
          <w:sz w:val="28"/>
          <w:szCs w:val="28"/>
          <w:highlight w:val="none"/>
        </w:rPr>
        <w:t>第十二条   甲方权利和义务</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一、甲方权利：</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（一）甲方有权根据柜台债券计划发行总量，自主决定乙方柜台债券计划分销最高限额。</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（二）甲方有权与乙方协商确定适用于当期柜台债券的发行条件、程序和方式等。</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（三）按照国家政策及财政部、监管机构相关文件和发行文件要求，甲方自主运用发债资金。</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（四）如遇发行环境发生重大变化,甲方有权在分销期开始前（乙方未开展预售或销售前）决定取消/减少柜台债券在柜台市场的分销或变更相关发行要素。</w:t>
      </w:r>
    </w:p>
    <w:p>
      <w:pPr>
        <w:spacing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（五）甲方有权根据债券发行需要和柜台业务开展情况，公平、合理地选择、增补或调整承办机构。</w:t>
      </w:r>
    </w:p>
    <w:p>
      <w:pPr>
        <w:spacing w:line="360" w:lineRule="auto"/>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eastAsia="zh-CN"/>
        </w:rPr>
        <w:t>（六）如乙方不再是</w:t>
      </w:r>
      <w:r>
        <w:rPr>
          <w:rFonts w:hint="eastAsia" w:ascii="仿宋" w:hAnsi="仿宋" w:eastAsia="仿宋" w:cs="仿宋"/>
          <w:sz w:val="28"/>
          <w:szCs w:val="28"/>
          <w:highlight w:val="none"/>
          <w:lang w:val="en-US" w:eastAsia="zh-CN"/>
        </w:rPr>
        <w:t>2021-2023年陕西省政府债券公开发行承销团成员，甲方将同时终止与乙方的柜台债券分销合作关系。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二、甲方义务：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（一）甲方应依约履行足额偿付到期柜台债券本息的义务。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（二）甲方应按本协议及各期债券发行文件的规定向乙方支付柜台分销手续费。</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（三）甲方保证其采用的柜台债券发行方式符合财政部有关规定。</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（四）甲方应按本协议约定及时披露信息，并保证所披露信息的合法性、真实性、准确性和完备性。</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（五）甲方可组织乙方参加研讨会、座谈会等活动。</w:t>
      </w:r>
    </w:p>
    <w:p>
      <w:pPr>
        <w:spacing w:line="360" w:lineRule="auto"/>
        <w:ind w:firstLine="560" w:firstLineChars="200"/>
        <w:rPr>
          <w:rFonts w:hint="eastAsia" w:ascii="仿宋" w:hAnsi="仿宋" w:eastAsia="仿宋" w:cs="仿宋"/>
          <w:sz w:val="28"/>
          <w:szCs w:val="28"/>
          <w:highlight w:val="none"/>
        </w:rPr>
      </w:pPr>
    </w:p>
    <w:p>
      <w:pPr>
        <w:spacing w:line="360" w:lineRule="auto"/>
        <w:ind w:firstLine="550" w:firstLineChars="196"/>
        <w:rPr>
          <w:rFonts w:hint="eastAsia" w:ascii="仿宋" w:hAnsi="仿宋" w:eastAsia="仿宋" w:cs="仿宋"/>
          <w:b/>
          <w:sz w:val="28"/>
          <w:szCs w:val="28"/>
          <w:highlight w:val="none"/>
        </w:rPr>
      </w:pPr>
      <w:r>
        <w:rPr>
          <w:rFonts w:hint="eastAsia" w:ascii="仿宋" w:hAnsi="仿宋" w:eastAsia="仿宋" w:cs="仿宋"/>
          <w:b/>
          <w:sz w:val="28"/>
          <w:szCs w:val="28"/>
          <w:highlight w:val="none"/>
        </w:rPr>
        <w:t>第十三条 乙方权利和义务</w:t>
      </w:r>
    </w:p>
    <w:p>
      <w:pPr>
        <w:spacing w:line="360" w:lineRule="auto"/>
        <w:ind w:firstLine="548" w:firstLineChars="196"/>
        <w:rPr>
          <w:rFonts w:hint="eastAsia" w:ascii="仿宋" w:hAnsi="仿宋" w:eastAsia="仿宋" w:cs="仿宋"/>
          <w:sz w:val="28"/>
          <w:szCs w:val="28"/>
          <w:highlight w:val="none"/>
        </w:rPr>
      </w:pPr>
      <w:r>
        <w:rPr>
          <w:rFonts w:hint="eastAsia" w:ascii="仿宋" w:hAnsi="仿宋" w:eastAsia="仿宋" w:cs="仿宋"/>
          <w:sz w:val="28"/>
          <w:szCs w:val="28"/>
          <w:highlight w:val="none"/>
        </w:rPr>
        <w:t>一、乙方权利：</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（一）有权按照本协议约定参与本协议有效期内甲方各期柜台债券的分销。</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（二）向甲方收取其持有柜台债券的到期本金和利息，并代客户向甲方收取客户持有的柜台债券的到期本金和利息。</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（三）有权通过乙方渠道，按照甲方的债券发行文件，向个人、企业、金融机构等《办法》中规定的柜台投资者分销柜台债券。</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（四）按甲方的债券发行</w:t>
      </w:r>
      <w:r>
        <w:rPr>
          <w:rFonts w:hint="eastAsia" w:ascii="仿宋" w:hAnsi="仿宋" w:eastAsia="仿宋" w:cs="仿宋"/>
          <w:sz w:val="28"/>
          <w:szCs w:val="28"/>
          <w:highlight w:val="none"/>
          <w:lang w:eastAsia="zh-CN"/>
        </w:rPr>
        <w:t>文件</w:t>
      </w:r>
      <w:r>
        <w:rPr>
          <w:rFonts w:hint="eastAsia" w:ascii="仿宋" w:hAnsi="仿宋" w:eastAsia="仿宋" w:cs="仿宋"/>
          <w:sz w:val="28"/>
          <w:szCs w:val="28"/>
          <w:highlight w:val="none"/>
        </w:rPr>
        <w:t>，向甲方收取柜台分销手续费。</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（五）对于甲方发行的各期柜台债券，乙方有权选择是否参与当期柜台债券分销。</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（六）有权终止与甲方的柜台债券分销合作关系，但须提前十个工作日书面通知甲方并征得甲方同意（以甲方收到书面通知之日起算）。</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（七）有权参加甲方组织的会议及活动。</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（八）有权获得本协议项下柜台债券发行有关的所有应依法公告的信息。</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二、乙方义务：</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（一）具备法律法规和人民银行规定的从事柜台债券业务的资格条件。</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（二）按时足额将柜台债券分销款项划入甲方指定的银行账户。甲方收取发行款的账户为：</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收款户名：</w:t>
      </w:r>
      <w:r>
        <w:rPr>
          <w:rFonts w:hint="eastAsia" w:ascii="仿宋" w:hAnsi="仿宋" w:eastAsia="仿宋" w:cs="仿宋"/>
          <w:sz w:val="28"/>
          <w:szCs w:val="28"/>
          <w:highlight w:val="none"/>
          <w:lang w:val="en-US" w:eastAsia="zh-CN"/>
        </w:rPr>
        <w:t>陕西省财政厅地方财政库款</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收款账号：</w:t>
      </w:r>
      <w:r>
        <w:rPr>
          <w:rFonts w:hint="eastAsia" w:ascii="仿宋" w:hAnsi="仿宋" w:eastAsia="仿宋" w:cs="仿宋"/>
          <w:sz w:val="28"/>
          <w:szCs w:val="28"/>
          <w:highlight w:val="none"/>
          <w:lang w:val="en-US" w:eastAsia="zh-CN"/>
        </w:rPr>
        <w:t>260000000002271001</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开户银行：</w:t>
      </w:r>
      <w:r>
        <w:rPr>
          <w:rFonts w:hint="eastAsia" w:ascii="仿宋" w:hAnsi="仿宋" w:eastAsia="仿宋" w:cs="仿宋"/>
          <w:sz w:val="28"/>
          <w:szCs w:val="28"/>
          <w:highlight w:val="none"/>
          <w:lang w:val="en-US" w:eastAsia="zh-CN"/>
        </w:rPr>
        <w:t>国家金库陕西省分库</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收款行行号：</w:t>
      </w:r>
      <w:r>
        <w:rPr>
          <w:rFonts w:hint="eastAsia" w:ascii="仿宋" w:hAnsi="仿宋" w:eastAsia="仿宋" w:cs="仿宋"/>
          <w:sz w:val="28"/>
          <w:szCs w:val="28"/>
          <w:highlight w:val="none"/>
          <w:lang w:val="en-US" w:eastAsia="zh-CN"/>
        </w:rPr>
        <w:t>011791020018</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（三）在甲方及时、足额向乙方划转债券本息资金后，乙方应及时足额向乙方客户（甲方柜台债券持有人）划转柜台债券到期本金和利息，乙方没有义务垫付上述本金或利息。</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（四）积极组织和宣传向柜台投资者的分销工作，并严格按照柜台债券计划分销最高限额进行分销，不得超额销售。</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（五）应按照相关规定，做好甲方柜台债券分销工作和交易价格的报送工作。</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（六）乙方应将联络地址、电话、柜台债券分销和交易经办部门、授权代理人及其变更等情况及时书面通知甲方。</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（七）乙方应按照柜台市场债券做市有关管理规定，通过其柜台、网银等营业渠道向个人、企业、金融机构及人民银行在《办法》中规定的其他投资者开展双边报价做市。</w:t>
      </w:r>
    </w:p>
    <w:p>
      <w:pPr>
        <w:spacing w:line="360" w:lineRule="auto"/>
        <w:rPr>
          <w:rFonts w:hint="eastAsia" w:ascii="仿宋" w:hAnsi="仿宋" w:eastAsia="仿宋" w:cs="仿宋"/>
          <w:sz w:val="28"/>
          <w:szCs w:val="28"/>
          <w:highlight w:val="none"/>
        </w:rPr>
      </w:pPr>
    </w:p>
    <w:p>
      <w:pPr>
        <w:spacing w:line="360" w:lineRule="auto"/>
        <w:ind w:firstLine="550" w:firstLineChars="196"/>
        <w:rPr>
          <w:rFonts w:hint="eastAsia" w:ascii="仿宋" w:hAnsi="仿宋" w:eastAsia="仿宋" w:cs="仿宋"/>
          <w:b/>
          <w:sz w:val="28"/>
          <w:szCs w:val="28"/>
          <w:highlight w:val="none"/>
        </w:rPr>
      </w:pPr>
      <w:r>
        <w:rPr>
          <w:rFonts w:hint="eastAsia" w:ascii="仿宋" w:hAnsi="仿宋" w:eastAsia="仿宋" w:cs="仿宋"/>
          <w:b/>
          <w:sz w:val="28"/>
          <w:szCs w:val="28"/>
          <w:highlight w:val="none"/>
        </w:rPr>
        <w:t>第十四条 违约责任</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一、乙方如超额向甲方划付资金，必须向甲方递交多划资金退款申请，甲方在收到乙方退款申请后3个工作日内将多划资金退还乙方，对于多划资金滞留期间的利息，甲方不再返还；乙方如提前向甲方划付资金，必须向甲方递交退款申请，甲方在收到乙方退款申请后3个工作日内将资金退还乙方，对于该笔资金滞留期间的利息，甲方不再返还。</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二、甲方如未依约履行柜台债券还本付息义务或未按约定的时间向乙方支付柜台分销手续费，应立即足额向乙方补划有关款项；付款逾期一个工作日（不含）以上，未付部分应按万分之二点一的日利率向乙方支付违约金。</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三、乙方如借分销柜台债券之机超额分销债券，超额分销部分甲方不予确认，责任由乙方承担。</w:t>
      </w:r>
    </w:p>
    <w:p>
      <w:pPr>
        <w:spacing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四、乙方如未能依约支付分销的柜台债券分销款，应立即足额补划分销款，同时未付部分应按当期柜台债券票面利率向甲方补缴利息；缴款逾期一个工作日（不含）以上，甲方有权按未付部分万分之二点一的日利率向乙方收取违约金；缴款逾期三个工作日（不含）以上，甲方有权取消乙方未付款项部分的分销额度，乙方同时丧失甲方柜台债券分销资格，但对已分销的柜台债券仍应按本协议承担义务及支付违约金。</w:t>
      </w:r>
      <w:r>
        <w:rPr>
          <w:rFonts w:hint="eastAsia" w:ascii="仿宋" w:hAnsi="仿宋" w:eastAsia="仿宋" w:cs="仿宋"/>
          <w:sz w:val="28"/>
          <w:szCs w:val="28"/>
          <w:highlight w:val="none"/>
          <w:lang w:eastAsia="zh-CN"/>
        </w:rPr>
        <w:t>甲方收到乙方逾期缴款违约金之前，不向乙方支付柜台分销手续费。</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五、甲、乙任何一方违反本协议约定给对方造成损失的，应承担赔偿责任。</w:t>
      </w:r>
    </w:p>
    <w:p>
      <w:pPr>
        <w:pStyle w:val="2"/>
        <w:spacing w:line="360" w:lineRule="auto"/>
        <w:ind w:firstLine="560" w:firstLineChars="200"/>
        <w:rPr>
          <w:rFonts w:hint="eastAsia" w:ascii="仿宋" w:hAnsi="仿宋" w:eastAsia="仿宋" w:cs="仿宋"/>
          <w:sz w:val="28"/>
          <w:szCs w:val="28"/>
          <w:highlight w:val="none"/>
        </w:rPr>
      </w:pPr>
    </w:p>
    <w:p>
      <w:pPr>
        <w:spacing w:line="360" w:lineRule="auto"/>
        <w:ind w:firstLine="550" w:firstLineChars="196"/>
        <w:rPr>
          <w:rFonts w:hint="eastAsia" w:ascii="仿宋" w:hAnsi="仿宋" w:eastAsia="仿宋" w:cs="仿宋"/>
          <w:b/>
          <w:sz w:val="28"/>
          <w:szCs w:val="28"/>
          <w:highlight w:val="none"/>
        </w:rPr>
      </w:pPr>
      <w:r>
        <w:rPr>
          <w:rFonts w:hint="eastAsia" w:ascii="仿宋" w:hAnsi="仿宋" w:eastAsia="仿宋" w:cs="仿宋"/>
          <w:b/>
          <w:sz w:val="28"/>
          <w:szCs w:val="28"/>
          <w:highlight w:val="none"/>
        </w:rPr>
        <w:t>第十五条 协议的变更</w:t>
      </w:r>
    </w:p>
    <w:p>
      <w:pPr>
        <w:spacing w:line="360" w:lineRule="auto"/>
        <w:ind w:firstLine="548" w:firstLineChars="196"/>
        <w:rPr>
          <w:rFonts w:hint="eastAsia" w:ascii="仿宋" w:hAnsi="仿宋" w:eastAsia="仿宋" w:cs="仿宋"/>
          <w:sz w:val="28"/>
          <w:szCs w:val="28"/>
          <w:highlight w:val="none"/>
        </w:rPr>
      </w:pPr>
      <w:r>
        <w:rPr>
          <w:rFonts w:hint="eastAsia" w:ascii="仿宋" w:hAnsi="仿宋" w:eastAsia="仿宋" w:cs="仿宋"/>
          <w:sz w:val="28"/>
          <w:szCs w:val="28"/>
          <w:highlight w:val="none"/>
        </w:rPr>
        <w:t>本协议的变更应经双方协商一致，达成书面协议。</w:t>
      </w:r>
    </w:p>
    <w:p>
      <w:pPr>
        <w:spacing w:line="360" w:lineRule="auto"/>
        <w:ind w:firstLine="548" w:firstLineChars="196"/>
        <w:rPr>
          <w:rFonts w:hint="eastAsia" w:ascii="仿宋" w:hAnsi="仿宋" w:eastAsia="仿宋" w:cs="仿宋"/>
          <w:sz w:val="28"/>
          <w:szCs w:val="28"/>
          <w:highlight w:val="none"/>
        </w:rPr>
      </w:pPr>
      <w:r>
        <w:rPr>
          <w:rFonts w:hint="eastAsia" w:ascii="仿宋" w:hAnsi="仿宋" w:eastAsia="仿宋" w:cs="仿宋"/>
          <w:sz w:val="28"/>
          <w:szCs w:val="28"/>
          <w:highlight w:val="none"/>
        </w:rPr>
        <w:t>如在本协议有效期内，财政部关于通过商业银行柜台市场发行地方政府债券的有关规定发生变化时，甲乙双方应协商一致，对本协议进行修改。</w:t>
      </w:r>
    </w:p>
    <w:p>
      <w:pPr>
        <w:spacing w:line="360" w:lineRule="auto"/>
        <w:ind w:firstLine="550" w:firstLineChars="196"/>
        <w:rPr>
          <w:rFonts w:hint="eastAsia" w:ascii="仿宋" w:hAnsi="仿宋" w:eastAsia="仿宋" w:cs="仿宋"/>
          <w:b/>
          <w:sz w:val="28"/>
          <w:szCs w:val="28"/>
          <w:highlight w:val="none"/>
        </w:rPr>
      </w:pPr>
    </w:p>
    <w:p>
      <w:pPr>
        <w:spacing w:line="360" w:lineRule="auto"/>
        <w:ind w:firstLine="550" w:firstLineChars="196"/>
        <w:rPr>
          <w:rFonts w:hint="eastAsia" w:ascii="仿宋" w:hAnsi="仿宋" w:eastAsia="仿宋" w:cs="仿宋"/>
          <w:b/>
          <w:sz w:val="28"/>
          <w:szCs w:val="28"/>
          <w:highlight w:val="none"/>
        </w:rPr>
      </w:pPr>
      <w:r>
        <w:rPr>
          <w:rFonts w:hint="eastAsia" w:ascii="仿宋" w:hAnsi="仿宋" w:eastAsia="仿宋" w:cs="仿宋"/>
          <w:b/>
          <w:sz w:val="28"/>
          <w:szCs w:val="28"/>
          <w:highlight w:val="none"/>
        </w:rPr>
        <w:t>第十六条 争议解决</w:t>
      </w:r>
    </w:p>
    <w:p>
      <w:pPr>
        <w:spacing w:line="360" w:lineRule="auto"/>
        <w:ind w:firstLine="548" w:firstLineChars="196"/>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本协议发生争议或纠纷时，双方应通过协商解决；协商不成的，在甲方住所地的人民法院通过诉讼解决。 </w:t>
      </w:r>
    </w:p>
    <w:p>
      <w:pPr>
        <w:spacing w:line="360" w:lineRule="auto"/>
        <w:ind w:firstLine="560" w:firstLineChars="200"/>
        <w:rPr>
          <w:rFonts w:hint="eastAsia" w:ascii="仿宋" w:hAnsi="仿宋" w:eastAsia="仿宋" w:cs="仿宋"/>
          <w:sz w:val="28"/>
          <w:szCs w:val="28"/>
          <w:highlight w:val="none"/>
        </w:rPr>
      </w:pPr>
    </w:p>
    <w:p>
      <w:pPr>
        <w:spacing w:line="360" w:lineRule="auto"/>
        <w:ind w:firstLine="550" w:firstLineChars="196"/>
        <w:rPr>
          <w:rFonts w:hint="eastAsia" w:ascii="仿宋" w:hAnsi="仿宋" w:eastAsia="仿宋" w:cs="仿宋"/>
          <w:b/>
          <w:sz w:val="28"/>
          <w:szCs w:val="28"/>
          <w:highlight w:val="none"/>
        </w:rPr>
      </w:pPr>
      <w:r>
        <w:rPr>
          <w:rFonts w:hint="eastAsia" w:ascii="仿宋" w:hAnsi="仿宋" w:eastAsia="仿宋" w:cs="仿宋"/>
          <w:b/>
          <w:sz w:val="28"/>
          <w:szCs w:val="28"/>
          <w:highlight w:val="none"/>
        </w:rPr>
        <w:t>第十七条  其他条款</w:t>
      </w:r>
    </w:p>
    <w:p>
      <w:pPr>
        <w:spacing w:line="360" w:lineRule="auto"/>
        <w:ind w:firstLine="548" w:firstLineChars="196"/>
        <w:rPr>
          <w:rFonts w:hint="eastAsia" w:ascii="仿宋" w:hAnsi="仿宋" w:eastAsia="仿宋" w:cs="仿宋"/>
          <w:sz w:val="28"/>
          <w:szCs w:val="28"/>
          <w:highlight w:val="none"/>
        </w:rPr>
      </w:pPr>
      <w:r>
        <w:rPr>
          <w:rFonts w:hint="eastAsia" w:ascii="仿宋" w:hAnsi="仿宋" w:eastAsia="仿宋" w:cs="仿宋"/>
          <w:sz w:val="28"/>
          <w:szCs w:val="28"/>
          <w:highlight w:val="none"/>
        </w:rPr>
        <w:t>一、本协议项下附件包括：</w:t>
      </w:r>
    </w:p>
    <w:p>
      <w:pPr>
        <w:spacing w:line="360" w:lineRule="auto"/>
        <w:ind w:firstLine="548" w:firstLineChars="196"/>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（一）</w:t>
      </w:r>
      <w:r>
        <w:rPr>
          <w:rFonts w:hint="eastAsia" w:ascii="仿宋" w:hAnsi="仿宋" w:eastAsia="仿宋" w:cs="仿宋"/>
          <w:sz w:val="28"/>
          <w:szCs w:val="28"/>
          <w:highlight w:val="none"/>
        </w:rPr>
        <w:t>甲方关于发行相关债券的发行通知和信息披露文件、甲乙双方分别通过“财政部政府债券发行系统”出具的招标书和投标书、甲方关于当期债券的发行公告等相关发行文件</w:t>
      </w:r>
      <w:r>
        <w:rPr>
          <w:rFonts w:hint="eastAsia" w:ascii="仿宋" w:hAnsi="仿宋" w:eastAsia="仿宋" w:cs="仿宋"/>
          <w:sz w:val="28"/>
          <w:szCs w:val="28"/>
          <w:highlight w:val="none"/>
          <w:lang w:eastAsia="zh-CN"/>
        </w:rPr>
        <w:t>；</w:t>
      </w:r>
    </w:p>
    <w:p>
      <w:pPr>
        <w:spacing w:line="360" w:lineRule="auto"/>
        <w:ind w:firstLine="548" w:firstLineChars="196"/>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（二）乙方委托分支机构代理签署本协议的授权书。</w:t>
      </w:r>
    </w:p>
    <w:p>
      <w:pPr>
        <w:spacing w:line="360" w:lineRule="auto"/>
        <w:ind w:firstLine="548" w:firstLineChars="196"/>
        <w:rPr>
          <w:rFonts w:hint="eastAsia" w:ascii="仿宋" w:hAnsi="仿宋" w:eastAsia="仿宋" w:cs="仿宋"/>
          <w:sz w:val="28"/>
          <w:szCs w:val="28"/>
          <w:highlight w:val="none"/>
        </w:rPr>
      </w:pPr>
      <w:r>
        <w:rPr>
          <w:rFonts w:hint="eastAsia" w:ascii="仿宋" w:hAnsi="仿宋" w:eastAsia="仿宋" w:cs="仿宋"/>
          <w:sz w:val="28"/>
          <w:szCs w:val="28"/>
          <w:highlight w:val="none"/>
        </w:rPr>
        <w:t>附件为本协议不可分割的组成部分，与本协议具有同等法律效力。</w:t>
      </w:r>
    </w:p>
    <w:p>
      <w:pPr>
        <w:spacing w:line="360" w:lineRule="auto"/>
        <w:ind w:firstLine="548" w:firstLineChars="196"/>
        <w:rPr>
          <w:rFonts w:hint="eastAsia" w:ascii="仿宋" w:hAnsi="仿宋" w:eastAsia="仿宋" w:cs="仿宋"/>
          <w:sz w:val="28"/>
          <w:szCs w:val="28"/>
          <w:highlight w:val="none"/>
        </w:rPr>
      </w:pPr>
      <w:r>
        <w:rPr>
          <w:rFonts w:hint="eastAsia" w:ascii="仿宋" w:hAnsi="仿宋" w:eastAsia="仿宋" w:cs="仿宋"/>
          <w:sz w:val="28"/>
          <w:szCs w:val="28"/>
          <w:highlight w:val="none"/>
        </w:rPr>
        <w:t>二、本协议的未尽事宜，经甲乙双方协商一致，可签订补充协议。补充协议为本协议不可分割的组成部分，与本协议具有同等法律效力。</w:t>
      </w:r>
    </w:p>
    <w:p>
      <w:pPr>
        <w:spacing w:line="360" w:lineRule="auto"/>
        <w:ind w:firstLine="548" w:firstLineChars="196"/>
        <w:rPr>
          <w:rFonts w:hint="eastAsia" w:ascii="仿宋" w:hAnsi="仿宋" w:eastAsia="仿宋" w:cs="仿宋"/>
          <w:sz w:val="28"/>
          <w:szCs w:val="28"/>
          <w:highlight w:val="none"/>
        </w:rPr>
      </w:pPr>
      <w:r>
        <w:rPr>
          <w:rFonts w:hint="eastAsia" w:ascii="仿宋" w:hAnsi="仿宋" w:eastAsia="仿宋" w:cs="仿宋"/>
          <w:sz w:val="28"/>
          <w:szCs w:val="28"/>
          <w:highlight w:val="none"/>
        </w:rPr>
        <w:t>三、本协议正式文本一式</w:t>
      </w:r>
      <w:r>
        <w:rPr>
          <w:rFonts w:hint="eastAsia" w:ascii="仿宋" w:hAnsi="仿宋" w:eastAsia="仿宋" w:cs="仿宋"/>
          <w:sz w:val="28"/>
          <w:szCs w:val="28"/>
          <w:highlight w:val="none"/>
          <w:lang w:eastAsia="zh-CN"/>
        </w:rPr>
        <w:t>六</w:t>
      </w:r>
      <w:r>
        <w:rPr>
          <w:rFonts w:hint="eastAsia" w:ascii="仿宋" w:hAnsi="仿宋" w:eastAsia="仿宋" w:cs="仿宋"/>
          <w:sz w:val="28"/>
          <w:szCs w:val="28"/>
          <w:highlight w:val="none"/>
        </w:rPr>
        <w:t>份，甲</w:t>
      </w:r>
      <w:r>
        <w:rPr>
          <w:rFonts w:hint="eastAsia" w:ascii="仿宋" w:hAnsi="仿宋" w:eastAsia="仿宋" w:cs="仿宋"/>
          <w:sz w:val="28"/>
          <w:szCs w:val="28"/>
          <w:highlight w:val="none"/>
          <w:lang w:eastAsia="zh-CN"/>
        </w:rPr>
        <w:t>方执四份，</w:t>
      </w:r>
      <w:r>
        <w:rPr>
          <w:rFonts w:hint="eastAsia" w:ascii="仿宋" w:hAnsi="仿宋" w:eastAsia="仿宋" w:cs="仿宋"/>
          <w:sz w:val="28"/>
          <w:szCs w:val="28"/>
          <w:highlight w:val="none"/>
        </w:rPr>
        <w:t>乙方执一份，中央国债登记结算有限责任公司留存一份，具有同等法律效力。</w:t>
      </w:r>
    </w:p>
    <w:p>
      <w:pPr>
        <w:spacing w:line="360" w:lineRule="auto"/>
        <w:ind w:firstLine="548" w:firstLineChars="196"/>
        <w:rPr>
          <w:rFonts w:hint="eastAsia" w:ascii="仿宋" w:hAnsi="仿宋" w:eastAsia="仿宋" w:cs="仿宋"/>
          <w:sz w:val="28"/>
          <w:szCs w:val="28"/>
          <w:highlight w:val="none"/>
        </w:rPr>
      </w:pPr>
      <w:r>
        <w:rPr>
          <w:rFonts w:hint="eastAsia" w:ascii="仿宋" w:hAnsi="仿宋" w:eastAsia="仿宋" w:cs="仿宋"/>
          <w:sz w:val="28"/>
          <w:szCs w:val="28"/>
          <w:highlight w:val="none"/>
        </w:rPr>
        <w:t>四、本协议经双方法定代表人或授权代理人签字并加盖公章之日起生效。</w:t>
      </w:r>
    </w:p>
    <w:p>
      <w:pPr>
        <w:spacing w:line="360" w:lineRule="auto"/>
        <w:ind w:firstLine="548" w:firstLineChars="196"/>
        <w:rPr>
          <w:rFonts w:hint="eastAsia" w:ascii="仿宋" w:hAnsi="仿宋" w:eastAsia="仿宋" w:cs="仿宋"/>
          <w:sz w:val="28"/>
          <w:szCs w:val="28"/>
          <w:highlight w:val="none"/>
        </w:rPr>
      </w:pPr>
      <w:r>
        <w:rPr>
          <w:rFonts w:hint="eastAsia" w:ascii="仿宋" w:hAnsi="仿宋" w:eastAsia="仿宋" w:cs="仿宋"/>
          <w:sz w:val="28"/>
          <w:szCs w:val="28"/>
          <w:highlight w:val="none"/>
        </w:rPr>
        <w:t>五、本协议有效期至【</w:t>
      </w:r>
      <w:r>
        <w:rPr>
          <w:rFonts w:hint="eastAsia" w:ascii="仿宋" w:hAnsi="仿宋" w:eastAsia="仿宋" w:cs="仿宋"/>
          <w:sz w:val="28"/>
          <w:szCs w:val="28"/>
          <w:highlight w:val="none"/>
          <w:lang w:val="en-US" w:eastAsia="zh-CN"/>
        </w:rPr>
        <w:t>2023</w:t>
      </w:r>
      <w:r>
        <w:rPr>
          <w:rFonts w:hint="eastAsia" w:ascii="仿宋" w:hAnsi="仿宋" w:eastAsia="仿宋" w:cs="仿宋"/>
          <w:sz w:val="28"/>
          <w:szCs w:val="28"/>
          <w:highlight w:val="none"/>
        </w:rPr>
        <w:t>】年【</w:t>
      </w:r>
      <w:r>
        <w:rPr>
          <w:rFonts w:hint="eastAsia" w:ascii="仿宋" w:hAnsi="仿宋" w:eastAsia="仿宋" w:cs="仿宋"/>
          <w:sz w:val="28"/>
          <w:szCs w:val="28"/>
          <w:highlight w:val="none"/>
          <w:lang w:val="en-US" w:eastAsia="zh-CN"/>
        </w:rPr>
        <w:t>12</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31</w:t>
      </w:r>
      <w:r>
        <w:rPr>
          <w:rFonts w:hint="eastAsia" w:ascii="仿宋" w:hAnsi="仿宋" w:eastAsia="仿宋" w:cs="仿宋"/>
          <w:sz w:val="28"/>
          <w:szCs w:val="28"/>
          <w:highlight w:val="none"/>
        </w:rPr>
        <w:t>】日。</w:t>
      </w:r>
    </w:p>
    <w:p>
      <w:pPr>
        <w:spacing w:line="360" w:lineRule="exact"/>
        <w:rPr>
          <w:rFonts w:hint="eastAsia" w:ascii="仿宋" w:hAnsi="仿宋" w:eastAsia="仿宋" w:cs="仿宋"/>
          <w:sz w:val="28"/>
          <w:szCs w:val="28"/>
          <w:highlight w:val="none"/>
        </w:rPr>
      </w:pPr>
    </w:p>
    <w:p>
      <w:pPr>
        <w:spacing w:line="360" w:lineRule="exact"/>
        <w:rPr>
          <w:rFonts w:hint="eastAsia" w:ascii="仿宋" w:hAnsi="仿宋" w:eastAsia="仿宋" w:cs="仿宋"/>
          <w:sz w:val="28"/>
          <w:szCs w:val="28"/>
          <w:highlight w:val="none"/>
        </w:rPr>
      </w:pPr>
    </w:p>
    <w:p>
      <w:pPr>
        <w:spacing w:line="360" w:lineRule="exact"/>
        <w:rPr>
          <w:rFonts w:hint="eastAsia" w:ascii="仿宋" w:hAnsi="仿宋" w:eastAsia="仿宋" w:cs="仿宋"/>
          <w:sz w:val="28"/>
          <w:szCs w:val="28"/>
          <w:highlight w:val="none"/>
        </w:rPr>
      </w:pPr>
    </w:p>
    <w:p>
      <w:pPr>
        <w:spacing w:line="360" w:lineRule="exact"/>
        <w:rPr>
          <w:rFonts w:hint="eastAsia" w:ascii="仿宋" w:hAnsi="仿宋" w:eastAsia="仿宋" w:cs="仿宋"/>
          <w:sz w:val="28"/>
          <w:szCs w:val="28"/>
          <w:highlight w:val="none"/>
        </w:rPr>
      </w:pPr>
    </w:p>
    <w:p>
      <w:pPr>
        <w:spacing w:line="360" w:lineRule="exact"/>
        <w:rPr>
          <w:rFonts w:hint="eastAsia" w:ascii="仿宋" w:hAnsi="仿宋" w:eastAsia="仿宋" w:cs="仿宋"/>
          <w:sz w:val="28"/>
          <w:szCs w:val="28"/>
          <w:highlight w:val="none"/>
        </w:rPr>
      </w:pPr>
    </w:p>
    <w:p>
      <w:pPr>
        <w:spacing w:line="360" w:lineRule="exact"/>
        <w:rPr>
          <w:rFonts w:hint="eastAsia" w:ascii="仿宋" w:hAnsi="仿宋" w:eastAsia="仿宋" w:cs="仿宋"/>
          <w:sz w:val="28"/>
          <w:szCs w:val="28"/>
          <w:highlight w:val="none"/>
        </w:rPr>
      </w:pPr>
    </w:p>
    <w:p>
      <w:pPr>
        <w:spacing w:line="360" w:lineRule="exact"/>
        <w:rPr>
          <w:rFonts w:hint="eastAsia" w:ascii="仿宋" w:hAnsi="仿宋" w:eastAsia="仿宋" w:cs="仿宋"/>
          <w:sz w:val="28"/>
          <w:szCs w:val="28"/>
          <w:highlight w:val="none"/>
        </w:rPr>
      </w:pPr>
    </w:p>
    <w:p>
      <w:pPr>
        <w:spacing w:line="360" w:lineRule="exact"/>
        <w:rPr>
          <w:rFonts w:hint="eastAsia" w:ascii="仿宋" w:hAnsi="仿宋" w:eastAsia="仿宋" w:cs="仿宋"/>
          <w:sz w:val="28"/>
          <w:szCs w:val="28"/>
          <w:highlight w:val="none"/>
        </w:rPr>
      </w:pPr>
    </w:p>
    <w:p>
      <w:pPr>
        <w:spacing w:line="360" w:lineRule="exact"/>
        <w:rPr>
          <w:rFonts w:hint="eastAsia" w:ascii="仿宋" w:hAnsi="仿宋" w:eastAsia="仿宋" w:cs="仿宋"/>
          <w:sz w:val="28"/>
          <w:szCs w:val="28"/>
          <w:highlight w:val="none"/>
        </w:rPr>
      </w:pPr>
    </w:p>
    <w:p>
      <w:pPr>
        <w:spacing w:line="360" w:lineRule="exact"/>
        <w:rPr>
          <w:rFonts w:hint="eastAsia" w:ascii="仿宋" w:hAnsi="仿宋" w:eastAsia="仿宋" w:cs="仿宋"/>
          <w:sz w:val="28"/>
          <w:szCs w:val="28"/>
          <w:highlight w:val="none"/>
        </w:rPr>
      </w:pPr>
    </w:p>
    <w:p>
      <w:pPr>
        <w:spacing w:line="360" w:lineRule="exact"/>
        <w:rPr>
          <w:rFonts w:hint="eastAsia" w:ascii="仿宋" w:hAnsi="仿宋" w:eastAsia="仿宋" w:cs="仿宋"/>
          <w:sz w:val="28"/>
          <w:szCs w:val="28"/>
          <w:highlight w:val="none"/>
        </w:rPr>
      </w:pPr>
    </w:p>
    <w:p>
      <w:pPr>
        <w:spacing w:line="360" w:lineRule="exact"/>
        <w:rPr>
          <w:rFonts w:hint="eastAsia" w:ascii="仿宋" w:hAnsi="仿宋" w:eastAsia="仿宋" w:cs="仿宋"/>
          <w:sz w:val="28"/>
          <w:szCs w:val="28"/>
          <w:highlight w:val="none"/>
        </w:rPr>
      </w:pPr>
    </w:p>
    <w:p>
      <w:pPr>
        <w:spacing w:line="360" w:lineRule="exact"/>
        <w:rPr>
          <w:rFonts w:hint="eastAsia" w:ascii="仿宋" w:hAnsi="仿宋" w:eastAsia="仿宋" w:cs="仿宋"/>
          <w:sz w:val="28"/>
          <w:szCs w:val="28"/>
          <w:highlight w:val="none"/>
        </w:rPr>
      </w:pPr>
    </w:p>
    <w:p>
      <w:pPr>
        <w:spacing w:line="360" w:lineRule="exact"/>
        <w:rPr>
          <w:rFonts w:hint="eastAsia" w:ascii="仿宋" w:hAnsi="仿宋" w:eastAsia="仿宋" w:cs="仿宋"/>
          <w:sz w:val="28"/>
          <w:szCs w:val="28"/>
          <w:highlight w:val="none"/>
        </w:rPr>
      </w:pPr>
    </w:p>
    <w:p>
      <w:pPr>
        <w:spacing w:line="360" w:lineRule="exact"/>
        <w:rPr>
          <w:rFonts w:hint="eastAsia" w:ascii="仿宋" w:hAnsi="仿宋" w:eastAsia="仿宋" w:cs="仿宋"/>
          <w:sz w:val="28"/>
          <w:szCs w:val="28"/>
          <w:highlight w:val="none"/>
        </w:rPr>
      </w:pPr>
    </w:p>
    <w:p>
      <w:pPr>
        <w:spacing w:line="360" w:lineRule="exact"/>
        <w:rPr>
          <w:rFonts w:hint="eastAsia" w:ascii="仿宋" w:hAnsi="仿宋" w:eastAsia="仿宋" w:cs="仿宋"/>
          <w:sz w:val="28"/>
          <w:szCs w:val="28"/>
          <w:highlight w:val="none"/>
        </w:rPr>
      </w:pPr>
    </w:p>
    <w:p>
      <w:pPr>
        <w:spacing w:line="360" w:lineRule="exact"/>
        <w:rPr>
          <w:rFonts w:hint="eastAsia" w:ascii="仿宋" w:hAnsi="仿宋" w:eastAsia="仿宋" w:cs="仿宋"/>
          <w:sz w:val="28"/>
          <w:szCs w:val="28"/>
          <w:highlight w:val="none"/>
        </w:rPr>
      </w:pPr>
    </w:p>
    <w:p>
      <w:pPr>
        <w:spacing w:line="360" w:lineRule="exact"/>
        <w:rPr>
          <w:rFonts w:hint="eastAsia" w:ascii="仿宋" w:hAnsi="仿宋" w:eastAsia="仿宋" w:cs="仿宋"/>
          <w:sz w:val="28"/>
          <w:szCs w:val="28"/>
          <w:highlight w:val="none"/>
        </w:rPr>
      </w:pPr>
    </w:p>
    <w:p>
      <w:pPr>
        <w:spacing w:line="360" w:lineRule="exact"/>
        <w:rPr>
          <w:rFonts w:hint="eastAsia" w:ascii="仿宋" w:hAnsi="仿宋" w:eastAsia="仿宋" w:cs="仿宋"/>
          <w:sz w:val="28"/>
          <w:szCs w:val="28"/>
          <w:highlight w:val="none"/>
        </w:rPr>
      </w:pPr>
    </w:p>
    <w:p>
      <w:pPr>
        <w:spacing w:line="360" w:lineRule="exact"/>
        <w:rPr>
          <w:rFonts w:hint="eastAsia" w:ascii="仿宋" w:hAnsi="仿宋" w:eastAsia="仿宋" w:cs="仿宋"/>
          <w:sz w:val="28"/>
          <w:szCs w:val="28"/>
          <w:highlight w:val="none"/>
        </w:rPr>
      </w:pPr>
    </w:p>
    <w:p>
      <w:pPr>
        <w:spacing w:line="360" w:lineRule="exact"/>
        <w:rPr>
          <w:rFonts w:hint="eastAsia" w:ascii="仿宋" w:hAnsi="仿宋" w:eastAsia="仿宋" w:cs="仿宋"/>
          <w:sz w:val="28"/>
          <w:szCs w:val="28"/>
          <w:highlight w:val="none"/>
        </w:rPr>
      </w:pPr>
    </w:p>
    <w:p>
      <w:pPr>
        <w:spacing w:line="360" w:lineRule="exact"/>
        <w:rPr>
          <w:rFonts w:hint="eastAsia" w:ascii="仿宋" w:hAnsi="仿宋" w:eastAsia="仿宋" w:cs="仿宋"/>
          <w:sz w:val="28"/>
          <w:szCs w:val="28"/>
          <w:highlight w:val="none"/>
        </w:rPr>
      </w:pPr>
    </w:p>
    <w:p>
      <w:pPr>
        <w:spacing w:line="360" w:lineRule="exact"/>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（本页以下无正文，为</w:t>
      </w:r>
      <w:r>
        <w:rPr>
          <w:rFonts w:hint="eastAsia" w:ascii="仿宋" w:hAnsi="仿宋" w:eastAsia="仿宋" w:cs="仿宋"/>
          <w:sz w:val="28"/>
          <w:szCs w:val="28"/>
          <w:highlight w:val="none"/>
          <w:lang w:val="en-US" w:eastAsia="zh-CN"/>
        </w:rPr>
        <w:t>2023年陕西省政府债券通过商业银行柜台市场发行分销协议之签署页</w:t>
      </w:r>
      <w:r>
        <w:rPr>
          <w:rFonts w:hint="eastAsia" w:ascii="仿宋" w:hAnsi="仿宋" w:eastAsia="仿宋" w:cs="仿宋"/>
          <w:sz w:val="28"/>
          <w:szCs w:val="28"/>
          <w:highlight w:val="none"/>
          <w:lang w:eastAsia="zh-CN"/>
        </w:rPr>
        <w:t>）</w:t>
      </w:r>
    </w:p>
    <w:p>
      <w:pPr>
        <w:spacing w:line="360" w:lineRule="exact"/>
        <w:rPr>
          <w:rFonts w:hint="eastAsia" w:ascii="仿宋" w:hAnsi="仿宋" w:eastAsia="仿宋" w:cs="仿宋"/>
          <w:sz w:val="28"/>
          <w:szCs w:val="28"/>
          <w:highlight w:val="none"/>
        </w:rPr>
      </w:pPr>
    </w:p>
    <w:p>
      <w:pPr>
        <w:spacing w:line="360" w:lineRule="exact"/>
        <w:rPr>
          <w:rFonts w:hint="eastAsia" w:ascii="仿宋" w:hAnsi="仿宋" w:eastAsia="仿宋" w:cs="仿宋"/>
          <w:sz w:val="28"/>
          <w:szCs w:val="28"/>
          <w:highlight w:val="none"/>
        </w:rPr>
      </w:pPr>
    </w:p>
    <w:p>
      <w:pPr>
        <w:spacing w:line="360" w:lineRule="exact"/>
        <w:rPr>
          <w:rFonts w:hint="eastAsia" w:ascii="仿宋" w:hAnsi="仿宋" w:eastAsia="仿宋" w:cs="仿宋"/>
          <w:sz w:val="28"/>
          <w:szCs w:val="28"/>
          <w:highlight w:val="none"/>
        </w:rPr>
      </w:pPr>
    </w:p>
    <w:p>
      <w:pPr>
        <w:spacing w:line="360" w:lineRule="exact"/>
        <w:rPr>
          <w:rFonts w:hint="eastAsia" w:ascii="仿宋" w:hAnsi="仿宋" w:eastAsia="仿宋" w:cs="仿宋"/>
          <w:sz w:val="28"/>
          <w:szCs w:val="28"/>
          <w:highlight w:val="none"/>
        </w:rPr>
      </w:pPr>
    </w:p>
    <w:p>
      <w:pPr>
        <w:spacing w:line="360" w:lineRule="exact"/>
        <w:rPr>
          <w:rFonts w:hint="eastAsia" w:ascii="仿宋" w:hAnsi="仿宋" w:eastAsia="仿宋" w:cs="仿宋"/>
          <w:sz w:val="28"/>
          <w:szCs w:val="28"/>
          <w:highlight w:val="none"/>
        </w:rPr>
      </w:pPr>
    </w:p>
    <w:p>
      <w:pPr>
        <w:spacing w:line="360" w:lineRule="exact"/>
        <w:rPr>
          <w:rFonts w:hint="eastAsia" w:ascii="仿宋" w:hAnsi="仿宋" w:eastAsia="仿宋" w:cs="仿宋"/>
          <w:sz w:val="28"/>
          <w:szCs w:val="28"/>
          <w:highlight w:val="none"/>
        </w:rPr>
      </w:pPr>
    </w:p>
    <w:p>
      <w:pPr>
        <w:spacing w:line="360" w:lineRule="exact"/>
        <w:rPr>
          <w:rFonts w:hint="eastAsia" w:ascii="仿宋" w:hAnsi="仿宋" w:eastAsia="仿宋" w:cs="仿宋"/>
          <w:sz w:val="28"/>
          <w:szCs w:val="28"/>
          <w:highlight w:val="none"/>
        </w:rPr>
      </w:pPr>
    </w:p>
    <w:p>
      <w:pPr>
        <w:spacing w:line="36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甲方：</w:t>
      </w:r>
      <w:r>
        <w:rPr>
          <w:rFonts w:hint="eastAsia" w:ascii="仿宋" w:hAnsi="仿宋" w:eastAsia="仿宋" w:cs="仿宋"/>
          <w:sz w:val="28"/>
          <w:szCs w:val="28"/>
          <w:highlight w:val="none"/>
        </w:rPr>
        <w:tab/>
      </w:r>
      <w:r>
        <w:rPr>
          <w:rFonts w:hint="eastAsia" w:ascii="仿宋" w:hAnsi="仿宋" w:eastAsia="仿宋" w:cs="仿宋"/>
          <w:sz w:val="28"/>
          <w:szCs w:val="28"/>
          <w:highlight w:val="none"/>
        </w:rPr>
        <w:tab/>
      </w:r>
      <w:r>
        <w:rPr>
          <w:rFonts w:hint="eastAsia" w:ascii="仿宋" w:hAnsi="仿宋" w:eastAsia="仿宋" w:cs="仿宋"/>
          <w:sz w:val="28"/>
          <w:szCs w:val="28"/>
          <w:highlight w:val="none"/>
        </w:rPr>
        <w:tab/>
      </w:r>
      <w:r>
        <w:rPr>
          <w:rFonts w:hint="eastAsia" w:ascii="仿宋" w:hAnsi="仿宋" w:eastAsia="仿宋" w:cs="仿宋"/>
          <w:sz w:val="28"/>
          <w:szCs w:val="28"/>
          <w:highlight w:val="none"/>
        </w:rPr>
        <w:t>（公章）</w:t>
      </w:r>
    </w:p>
    <w:p>
      <w:pPr>
        <w:spacing w:line="36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法定代表人签字：</w:t>
      </w:r>
    </w:p>
    <w:p>
      <w:pPr>
        <w:spacing w:line="36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（或授权代理人）</w:t>
      </w:r>
      <w:r>
        <w:rPr>
          <w:rFonts w:hint="eastAsia" w:ascii="仿宋" w:hAnsi="仿宋" w:eastAsia="仿宋" w:cs="仿宋"/>
          <w:sz w:val="28"/>
          <w:szCs w:val="28"/>
          <w:highlight w:val="none"/>
        </w:rPr>
        <w:tab/>
      </w:r>
      <w:r>
        <w:rPr>
          <w:rFonts w:hint="eastAsia" w:ascii="仿宋" w:hAnsi="仿宋" w:eastAsia="仿宋" w:cs="仿宋"/>
          <w:sz w:val="28"/>
          <w:szCs w:val="28"/>
          <w:highlight w:val="none"/>
        </w:rPr>
        <w:tab/>
      </w:r>
      <w:r>
        <w:rPr>
          <w:rFonts w:hint="eastAsia" w:ascii="仿宋" w:hAnsi="仿宋" w:eastAsia="仿宋" w:cs="仿宋"/>
          <w:sz w:val="28"/>
          <w:szCs w:val="28"/>
          <w:highlight w:val="none"/>
        </w:rPr>
        <w:tab/>
      </w:r>
      <w:r>
        <w:rPr>
          <w:rFonts w:hint="eastAsia" w:ascii="仿宋" w:hAnsi="仿宋" w:eastAsia="仿宋" w:cs="仿宋"/>
          <w:sz w:val="28"/>
          <w:szCs w:val="28"/>
          <w:highlight w:val="none"/>
        </w:rPr>
        <w:tab/>
      </w:r>
      <w:r>
        <w:rPr>
          <w:rFonts w:hint="eastAsia" w:ascii="仿宋" w:hAnsi="仿宋" w:eastAsia="仿宋" w:cs="仿宋"/>
          <w:sz w:val="28"/>
          <w:szCs w:val="28"/>
          <w:highlight w:val="none"/>
        </w:rPr>
        <w:tab/>
      </w:r>
      <w:r>
        <w:rPr>
          <w:rFonts w:hint="eastAsia" w:ascii="仿宋" w:hAnsi="仿宋" w:eastAsia="仿宋" w:cs="仿宋"/>
          <w:sz w:val="28"/>
          <w:szCs w:val="28"/>
          <w:highlight w:val="none"/>
        </w:rPr>
        <w:tab/>
      </w:r>
      <w:r>
        <w:rPr>
          <w:rFonts w:hint="eastAsia" w:ascii="仿宋" w:hAnsi="仿宋" w:eastAsia="仿宋" w:cs="仿宋"/>
          <w:sz w:val="28"/>
          <w:szCs w:val="28"/>
          <w:highlight w:val="none"/>
        </w:rPr>
        <w:tab/>
      </w:r>
      <w:r>
        <w:rPr>
          <w:rFonts w:hint="eastAsia" w:ascii="仿宋" w:hAnsi="仿宋" w:eastAsia="仿宋" w:cs="仿宋"/>
          <w:sz w:val="28"/>
          <w:szCs w:val="28"/>
          <w:highlight w:val="none"/>
        </w:rPr>
        <w:tab/>
      </w:r>
      <w:r>
        <w:rPr>
          <w:rFonts w:hint="eastAsia" w:ascii="仿宋" w:hAnsi="仿宋" w:eastAsia="仿宋" w:cs="仿宋"/>
          <w:sz w:val="28"/>
          <w:szCs w:val="28"/>
          <w:highlight w:val="none"/>
        </w:rPr>
        <w:tab/>
      </w:r>
      <w:r>
        <w:rPr>
          <w:rFonts w:hint="eastAsia" w:ascii="仿宋" w:hAnsi="仿宋" w:eastAsia="仿宋" w:cs="仿宋"/>
          <w:sz w:val="28"/>
          <w:szCs w:val="28"/>
          <w:highlight w:val="none"/>
        </w:rPr>
        <w:t>年</w:t>
      </w:r>
      <w:r>
        <w:rPr>
          <w:rFonts w:hint="eastAsia" w:ascii="仿宋" w:hAnsi="仿宋" w:eastAsia="仿宋" w:cs="仿宋"/>
          <w:sz w:val="28"/>
          <w:szCs w:val="28"/>
          <w:highlight w:val="none"/>
        </w:rPr>
        <w:tab/>
      </w:r>
      <w:r>
        <w:rPr>
          <w:rFonts w:hint="eastAsia" w:ascii="仿宋" w:hAnsi="仿宋" w:eastAsia="仿宋" w:cs="仿宋"/>
          <w:sz w:val="28"/>
          <w:szCs w:val="28"/>
          <w:highlight w:val="none"/>
        </w:rPr>
        <w:tab/>
      </w:r>
      <w:r>
        <w:rPr>
          <w:rFonts w:hint="eastAsia" w:ascii="仿宋" w:hAnsi="仿宋" w:eastAsia="仿宋" w:cs="仿宋"/>
          <w:sz w:val="28"/>
          <w:szCs w:val="28"/>
          <w:highlight w:val="none"/>
        </w:rPr>
        <w:t>月</w:t>
      </w:r>
      <w:r>
        <w:rPr>
          <w:rFonts w:hint="eastAsia" w:ascii="仿宋" w:hAnsi="仿宋" w:eastAsia="仿宋" w:cs="仿宋"/>
          <w:sz w:val="28"/>
          <w:szCs w:val="28"/>
          <w:highlight w:val="none"/>
        </w:rPr>
        <w:tab/>
      </w:r>
      <w:r>
        <w:rPr>
          <w:rFonts w:hint="eastAsia" w:ascii="仿宋" w:hAnsi="仿宋" w:eastAsia="仿宋" w:cs="仿宋"/>
          <w:sz w:val="28"/>
          <w:szCs w:val="28"/>
          <w:highlight w:val="none"/>
        </w:rPr>
        <w:tab/>
      </w:r>
      <w:r>
        <w:rPr>
          <w:rFonts w:hint="eastAsia" w:ascii="仿宋" w:hAnsi="仿宋" w:eastAsia="仿宋" w:cs="仿宋"/>
          <w:sz w:val="28"/>
          <w:szCs w:val="28"/>
          <w:highlight w:val="none"/>
        </w:rPr>
        <w:t>日</w:t>
      </w:r>
    </w:p>
    <w:p>
      <w:pPr>
        <w:spacing w:line="360" w:lineRule="exact"/>
        <w:rPr>
          <w:rFonts w:hint="eastAsia" w:ascii="仿宋" w:hAnsi="仿宋" w:eastAsia="仿宋" w:cs="仿宋"/>
          <w:sz w:val="28"/>
          <w:szCs w:val="28"/>
          <w:highlight w:val="none"/>
        </w:rPr>
      </w:pPr>
    </w:p>
    <w:p>
      <w:pPr>
        <w:spacing w:line="360" w:lineRule="exact"/>
        <w:rPr>
          <w:rFonts w:hint="eastAsia" w:ascii="仿宋" w:hAnsi="仿宋" w:eastAsia="仿宋" w:cs="仿宋"/>
          <w:sz w:val="28"/>
          <w:szCs w:val="28"/>
          <w:highlight w:val="none"/>
        </w:rPr>
      </w:pPr>
    </w:p>
    <w:p>
      <w:pPr>
        <w:spacing w:line="360" w:lineRule="exact"/>
        <w:rPr>
          <w:rFonts w:hint="eastAsia" w:ascii="仿宋" w:hAnsi="仿宋" w:eastAsia="仿宋" w:cs="仿宋"/>
          <w:sz w:val="28"/>
          <w:szCs w:val="28"/>
          <w:highlight w:val="none"/>
        </w:rPr>
      </w:pPr>
    </w:p>
    <w:p>
      <w:pPr>
        <w:spacing w:line="360" w:lineRule="exact"/>
        <w:rPr>
          <w:rFonts w:hint="eastAsia" w:ascii="仿宋" w:hAnsi="仿宋" w:eastAsia="仿宋" w:cs="仿宋"/>
          <w:sz w:val="28"/>
          <w:szCs w:val="28"/>
          <w:highlight w:val="none"/>
        </w:rPr>
      </w:pPr>
    </w:p>
    <w:p>
      <w:pPr>
        <w:spacing w:line="360" w:lineRule="exact"/>
        <w:rPr>
          <w:rFonts w:hint="eastAsia" w:ascii="仿宋" w:hAnsi="仿宋" w:eastAsia="仿宋" w:cs="仿宋"/>
          <w:sz w:val="28"/>
          <w:szCs w:val="28"/>
          <w:highlight w:val="none"/>
        </w:rPr>
      </w:pPr>
    </w:p>
    <w:p>
      <w:pPr>
        <w:spacing w:line="360" w:lineRule="exact"/>
        <w:rPr>
          <w:rFonts w:hint="eastAsia" w:ascii="仿宋" w:hAnsi="仿宋" w:eastAsia="仿宋" w:cs="仿宋"/>
          <w:sz w:val="28"/>
          <w:szCs w:val="28"/>
          <w:highlight w:val="none"/>
        </w:rPr>
      </w:pPr>
    </w:p>
    <w:p>
      <w:pPr>
        <w:spacing w:line="360" w:lineRule="exact"/>
        <w:rPr>
          <w:rFonts w:hint="eastAsia" w:ascii="仿宋" w:hAnsi="仿宋" w:eastAsia="仿宋" w:cs="仿宋"/>
          <w:sz w:val="28"/>
          <w:szCs w:val="28"/>
          <w:highlight w:val="none"/>
        </w:rPr>
      </w:pPr>
    </w:p>
    <w:p>
      <w:pPr>
        <w:spacing w:line="360" w:lineRule="exact"/>
        <w:rPr>
          <w:rFonts w:hint="eastAsia" w:ascii="仿宋" w:hAnsi="仿宋" w:eastAsia="仿宋" w:cs="仿宋"/>
          <w:sz w:val="28"/>
          <w:szCs w:val="28"/>
          <w:highlight w:val="none"/>
        </w:rPr>
      </w:pPr>
    </w:p>
    <w:p>
      <w:pPr>
        <w:spacing w:line="360" w:lineRule="exact"/>
        <w:rPr>
          <w:rFonts w:hint="eastAsia" w:ascii="仿宋" w:hAnsi="仿宋" w:eastAsia="仿宋" w:cs="仿宋"/>
          <w:sz w:val="28"/>
          <w:szCs w:val="28"/>
          <w:highlight w:val="none"/>
        </w:rPr>
      </w:pPr>
    </w:p>
    <w:p>
      <w:pPr>
        <w:spacing w:line="36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乙方：</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（公章）</w:t>
      </w:r>
      <w:r>
        <w:rPr>
          <w:rFonts w:hint="eastAsia" w:ascii="仿宋" w:hAnsi="仿宋" w:eastAsia="仿宋" w:cs="仿宋"/>
          <w:sz w:val="28"/>
          <w:szCs w:val="28"/>
          <w:highlight w:val="none"/>
        </w:rPr>
        <w:tab/>
      </w:r>
      <w:r>
        <w:rPr>
          <w:rFonts w:hint="eastAsia" w:ascii="仿宋" w:hAnsi="仿宋" w:eastAsia="仿宋" w:cs="仿宋"/>
          <w:sz w:val="28"/>
          <w:szCs w:val="28"/>
          <w:highlight w:val="none"/>
        </w:rPr>
        <w:tab/>
      </w:r>
      <w:r>
        <w:rPr>
          <w:rFonts w:hint="eastAsia" w:ascii="仿宋" w:hAnsi="仿宋" w:eastAsia="仿宋" w:cs="仿宋"/>
          <w:sz w:val="28"/>
          <w:szCs w:val="28"/>
          <w:highlight w:val="none"/>
        </w:rPr>
        <w:tab/>
      </w:r>
      <w:r>
        <w:rPr>
          <w:rFonts w:hint="eastAsia" w:ascii="仿宋" w:hAnsi="仿宋" w:eastAsia="仿宋" w:cs="仿宋"/>
          <w:sz w:val="28"/>
          <w:szCs w:val="28"/>
          <w:highlight w:val="none"/>
        </w:rPr>
        <w:tab/>
      </w:r>
    </w:p>
    <w:p>
      <w:pPr>
        <w:spacing w:line="36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法定代表人签字：</w:t>
      </w:r>
    </w:p>
    <w:p>
      <w:pPr>
        <w:spacing w:line="360" w:lineRule="exact"/>
        <w:rPr>
          <w:highlight w:val="none"/>
        </w:rPr>
      </w:pPr>
      <w:r>
        <w:rPr>
          <w:rFonts w:hint="eastAsia" w:ascii="仿宋" w:hAnsi="仿宋" w:eastAsia="仿宋" w:cs="仿宋"/>
          <w:sz w:val="28"/>
          <w:szCs w:val="28"/>
          <w:highlight w:val="none"/>
        </w:rPr>
        <w:t>（或授权代理人）</w:t>
      </w:r>
      <w:r>
        <w:rPr>
          <w:rFonts w:hint="eastAsia" w:ascii="仿宋" w:hAnsi="仿宋" w:eastAsia="仿宋" w:cs="仿宋"/>
          <w:sz w:val="28"/>
          <w:szCs w:val="28"/>
          <w:highlight w:val="none"/>
        </w:rPr>
        <w:tab/>
      </w:r>
      <w:r>
        <w:rPr>
          <w:rFonts w:hint="eastAsia" w:ascii="仿宋" w:hAnsi="仿宋" w:eastAsia="仿宋" w:cs="仿宋"/>
          <w:sz w:val="28"/>
          <w:szCs w:val="28"/>
          <w:highlight w:val="none"/>
        </w:rPr>
        <w:tab/>
      </w:r>
      <w:r>
        <w:rPr>
          <w:rFonts w:hint="eastAsia" w:ascii="仿宋" w:hAnsi="仿宋" w:eastAsia="仿宋" w:cs="仿宋"/>
          <w:sz w:val="28"/>
          <w:szCs w:val="28"/>
          <w:highlight w:val="none"/>
        </w:rPr>
        <w:tab/>
      </w:r>
      <w:r>
        <w:rPr>
          <w:rFonts w:hint="eastAsia" w:ascii="仿宋" w:hAnsi="仿宋" w:eastAsia="仿宋" w:cs="仿宋"/>
          <w:sz w:val="28"/>
          <w:szCs w:val="28"/>
          <w:highlight w:val="none"/>
        </w:rPr>
        <w:tab/>
      </w:r>
      <w:r>
        <w:rPr>
          <w:rFonts w:hint="eastAsia" w:ascii="仿宋" w:hAnsi="仿宋" w:eastAsia="仿宋" w:cs="仿宋"/>
          <w:sz w:val="28"/>
          <w:szCs w:val="28"/>
          <w:highlight w:val="none"/>
        </w:rPr>
        <w:tab/>
      </w:r>
      <w:r>
        <w:rPr>
          <w:rFonts w:hint="eastAsia" w:ascii="仿宋" w:hAnsi="仿宋" w:eastAsia="仿宋" w:cs="仿宋"/>
          <w:sz w:val="28"/>
          <w:szCs w:val="28"/>
          <w:highlight w:val="none"/>
        </w:rPr>
        <w:tab/>
      </w:r>
      <w:r>
        <w:rPr>
          <w:rFonts w:hint="eastAsia" w:ascii="仿宋" w:hAnsi="仿宋" w:eastAsia="仿宋" w:cs="仿宋"/>
          <w:sz w:val="28"/>
          <w:szCs w:val="28"/>
          <w:highlight w:val="none"/>
        </w:rPr>
        <w:tab/>
      </w:r>
      <w:r>
        <w:rPr>
          <w:rFonts w:hint="eastAsia" w:ascii="仿宋" w:hAnsi="仿宋" w:eastAsia="仿宋" w:cs="仿宋"/>
          <w:sz w:val="28"/>
          <w:szCs w:val="28"/>
          <w:highlight w:val="none"/>
        </w:rPr>
        <w:tab/>
      </w:r>
      <w:r>
        <w:rPr>
          <w:rFonts w:hint="eastAsia" w:ascii="仿宋" w:hAnsi="仿宋" w:eastAsia="仿宋" w:cs="仿宋"/>
          <w:sz w:val="28"/>
          <w:szCs w:val="28"/>
          <w:highlight w:val="none"/>
        </w:rPr>
        <w:tab/>
      </w:r>
      <w:r>
        <w:rPr>
          <w:rFonts w:hint="eastAsia" w:ascii="仿宋" w:hAnsi="仿宋" w:eastAsia="仿宋" w:cs="仿宋"/>
          <w:sz w:val="28"/>
          <w:szCs w:val="28"/>
          <w:highlight w:val="none"/>
        </w:rPr>
        <w:t>年</w:t>
      </w:r>
      <w:r>
        <w:rPr>
          <w:rFonts w:hint="eastAsia" w:ascii="仿宋" w:hAnsi="仿宋" w:eastAsia="仿宋" w:cs="仿宋"/>
          <w:sz w:val="28"/>
          <w:szCs w:val="28"/>
          <w:highlight w:val="none"/>
        </w:rPr>
        <w:tab/>
      </w:r>
      <w:r>
        <w:rPr>
          <w:rFonts w:hint="eastAsia" w:ascii="仿宋" w:hAnsi="仿宋" w:eastAsia="仿宋" w:cs="仿宋"/>
          <w:sz w:val="28"/>
          <w:szCs w:val="28"/>
          <w:highlight w:val="none"/>
        </w:rPr>
        <w:tab/>
      </w:r>
      <w:r>
        <w:rPr>
          <w:rFonts w:hint="eastAsia" w:ascii="仿宋" w:hAnsi="仿宋" w:eastAsia="仿宋" w:cs="仿宋"/>
          <w:sz w:val="28"/>
          <w:szCs w:val="28"/>
          <w:highlight w:val="none"/>
        </w:rPr>
        <w:t>月</w:t>
      </w:r>
      <w:r>
        <w:rPr>
          <w:rFonts w:hint="eastAsia" w:ascii="仿宋" w:hAnsi="仿宋" w:eastAsia="仿宋" w:cs="仿宋"/>
          <w:sz w:val="28"/>
          <w:szCs w:val="28"/>
          <w:highlight w:val="none"/>
        </w:rPr>
        <w:tab/>
      </w:r>
      <w:r>
        <w:rPr>
          <w:rFonts w:hint="eastAsia" w:ascii="仿宋" w:hAnsi="仿宋" w:eastAsia="仿宋" w:cs="仿宋"/>
          <w:sz w:val="28"/>
          <w:szCs w:val="28"/>
          <w:highlight w:val="none"/>
        </w:rPr>
        <w:tab/>
      </w:r>
      <w:r>
        <w:rPr>
          <w:rFonts w:hint="eastAsia" w:ascii="仿宋" w:hAnsi="仿宋" w:eastAsia="仿宋" w:cs="仿宋"/>
          <w:sz w:val="28"/>
          <w:szCs w:val="28"/>
          <w:highlight w:val="none"/>
        </w:rPr>
        <w:t>日</w:t>
      </w:r>
    </w:p>
    <w:p>
      <w:pPr>
        <w:rPr>
          <w:rFonts w:hint="eastAsia" w:ascii="仿宋" w:hAnsi="仿宋" w:eastAsia="仿宋"/>
          <w:szCs w:val="21"/>
          <w:highlight w:val="none"/>
        </w:rPr>
      </w:pPr>
    </w:p>
    <w:p>
      <w:pPr/>
    </w:p>
    <w:p>
      <w:pPr/>
      <w:bookmarkStart w:id="0" w:name="_GoBack"/>
      <w:bookmarkEnd w:id="0"/>
    </w:p>
    <w:sectPr>
      <w:headerReference r:id="rId3" w:type="default"/>
      <w:footerReference r:id="rId4" w:type="default"/>
      <w:pgSz w:w="11906" w:h="16838"/>
      <w:pgMar w:top="1440" w:right="1803" w:bottom="1440" w:left="1803" w:header="851" w:footer="992" w:gutter="0"/>
      <w:pgBorders>
        <w:top w:val="none" w:color="auto" w:sz="0" w:space="0"/>
        <w:left w:val="none" w:color="auto" w:sz="0" w:space="0"/>
        <w:bottom w:val="none" w:color="auto" w:sz="0" w:space="0"/>
        <w:right w:val="none" w:color="auto" w:sz="0" w:space="0"/>
      </w:pgBorders>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altName w:val="仿宋"/>
    <w:panose1 w:val="02010609030101010101"/>
    <w:charset w:val="86"/>
    <w:family w:val="decorative"/>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decorative"/>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GmCS9MAAAAFAQAADwAAAAAAAAABACAAAAAiAAAAZHJzL2Rvd25yZXYueG1sUEsBAhQAFAAA&#10;AAgAh07iQDSm+r67AQAAYwMAAA4AAAAAAAAAAQAgAAAAIgEAAGRycy9lMm9Eb2MueG1sUEsFBgAA&#10;AAAGAAYAWQEAAE8FAAAAAA==&#10;">
              <v:path/>
              <v:fill on="f" focussize="0,0"/>
              <v:stroke on="f" weight="1.25pt"/>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nsid w:val="00000001"/>
    <w:multiLevelType w:val="multilevel"/>
    <w:tmpl w:val="00000001"/>
    <w:lvl w:ilvl="0" w:tentative="1">
      <w:start w:val="1"/>
      <w:numFmt w:val="chineseCountingThousand"/>
      <w:lvlText w:val="(%1)"/>
      <w:lvlJc w:val="left"/>
      <w:pPr>
        <w:ind w:left="900" w:hanging="420"/>
      </w:p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0710B1"/>
    <w:rsid w:val="790710B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uiPriority w:val="0"/>
    <w:pPr>
      <w:adjustRightInd w:val="0"/>
      <w:spacing w:line="300" w:lineRule="auto"/>
      <w:ind w:firstLine="540"/>
    </w:pPr>
    <w:rPr>
      <w:rFonts w:ascii="仿宋_GB2312" w:hAnsi="Times New Roman" w:eastAsia="仿宋_GB2312"/>
      <w:kern w:val="0"/>
      <w:sz w:val="32"/>
      <w:szCs w:val="32"/>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2023-07-12T01:29:00Z</dcterms:created>
  <dc:creator>lenovo</dc:creator>
  <cp:lastModifiedBy>lenovo</cp:lastModifiedBy>
  <dcterms:modified xsi:type="dcterms:W3CDTF">2023-07-12T01:29:58Z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