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center"/>
        <w:rPr>
          <w:rFonts w:hint="eastAsia" w:ascii="仿宋" w:hAnsi="仿宋" w:eastAsia="仿宋" w:cs="仿宋"/>
          <w:b/>
          <w:bCs/>
          <w:kern w:val="0"/>
          <w:sz w:val="32"/>
          <w:szCs w:val="32"/>
        </w:rPr>
      </w:pPr>
      <w:bookmarkStart w:id="0" w:name="_GoBack"/>
      <w:r>
        <w:rPr>
          <w:rFonts w:hint="eastAsia" w:ascii="仿宋" w:hAnsi="仿宋" w:eastAsia="仿宋" w:cs="仿宋"/>
          <w:b/>
          <w:bCs/>
          <w:kern w:val="0"/>
          <w:sz w:val="32"/>
          <w:szCs w:val="32"/>
        </w:rPr>
        <w:t>2023年江西省弋投建设（集团）有限公司公司债券（品种一）其他投资人申购意向函</w:t>
      </w:r>
    </w:p>
    <w:tbl>
      <w:tblPr>
        <w:tblStyle w:val="3"/>
        <w:tblpPr w:leftFromText="180" w:rightFromText="180" w:vertAnchor="text" w:horzAnchor="page" w:tblpX="1256" w:tblpY="444"/>
        <w:tblOverlap w:val="never"/>
        <w:tblW w:w="0" w:type="auto"/>
        <w:tblInd w:w="0" w:type="dxa"/>
        <w:tblLayout w:type="fixed"/>
        <w:tblCellMar>
          <w:top w:w="0" w:type="dxa"/>
          <w:left w:w="108" w:type="dxa"/>
          <w:bottom w:w="0" w:type="dxa"/>
          <w:right w:w="108" w:type="dxa"/>
        </w:tblCellMar>
      </w:tblPr>
      <w:tblGrid>
        <w:gridCol w:w="2076"/>
        <w:gridCol w:w="159"/>
        <w:gridCol w:w="1901"/>
        <w:gridCol w:w="367"/>
        <w:gridCol w:w="2153"/>
        <w:gridCol w:w="80"/>
        <w:gridCol w:w="3014"/>
      </w:tblGrid>
      <w:tr>
        <w:tblPrEx>
          <w:tblCellMar>
            <w:top w:w="0" w:type="dxa"/>
            <w:left w:w="108" w:type="dxa"/>
            <w:bottom w:w="0" w:type="dxa"/>
            <w:right w:w="108" w:type="dxa"/>
          </w:tblCellMar>
        </w:tblPrEx>
        <w:trPr>
          <w:trHeight w:val="1278" w:hRule="atLeast"/>
        </w:trPr>
        <w:tc>
          <w:tcPr>
            <w:tcW w:w="9750"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jc w:val="center"/>
              <w:rPr>
                <w:rFonts w:hint="eastAsia" w:ascii="仿宋" w:hAnsi="仿宋" w:eastAsia="仿宋" w:cs="仿宋"/>
                <w:b/>
                <w:bCs/>
                <w:kern w:val="0"/>
                <w:szCs w:val="21"/>
              </w:rPr>
            </w:pPr>
            <w:r>
              <w:rPr>
                <w:rFonts w:hint="eastAsia" w:ascii="仿宋" w:hAnsi="仿宋" w:eastAsia="仿宋" w:cs="仿宋"/>
                <w:b/>
                <w:bCs/>
                <w:kern w:val="0"/>
                <w:szCs w:val="21"/>
              </w:rPr>
              <w:t>重要声明</w:t>
            </w:r>
          </w:p>
          <w:p>
            <w:pPr>
              <w:widowControl/>
              <w:spacing w:line="240" w:lineRule="exact"/>
              <w:ind w:firstLine="420"/>
              <w:rPr>
                <w:rFonts w:hint="eastAsia" w:ascii="仿宋" w:hAnsi="仿宋" w:eastAsia="仿宋" w:cs="仿宋"/>
                <w:kern w:val="0"/>
                <w:szCs w:val="21"/>
              </w:rPr>
            </w:pPr>
            <w:r>
              <w:rPr>
                <w:rFonts w:hint="eastAsia" w:ascii="仿宋" w:hAnsi="仿宋" w:eastAsia="仿宋" w:cs="仿宋"/>
                <w:kern w:val="0"/>
                <w:szCs w:val="21"/>
              </w:rPr>
              <w:t>填表前请详细阅读募集说明书及填表说明。</w:t>
            </w:r>
          </w:p>
          <w:p>
            <w:pPr>
              <w:widowControl/>
              <w:spacing w:line="240" w:lineRule="exact"/>
              <w:ind w:firstLine="420"/>
              <w:rPr>
                <w:rFonts w:hint="eastAsia" w:ascii="仿宋" w:hAnsi="仿宋" w:eastAsia="仿宋" w:cs="仿宋"/>
                <w:kern w:val="0"/>
                <w:szCs w:val="21"/>
              </w:rPr>
            </w:pPr>
            <w:r>
              <w:rPr>
                <w:rFonts w:hint="eastAsia" w:ascii="仿宋" w:hAnsi="仿宋" w:eastAsia="仿宋" w:cs="仿宋"/>
                <w:kern w:val="0"/>
                <w:szCs w:val="21"/>
              </w:rPr>
              <w:t>本表一经申购人完整填写，且加盖单位公章，传真至主承销商后，即构成申购人发出的、对申购人具有法律约束力的要约。</w:t>
            </w:r>
          </w:p>
          <w:p>
            <w:pPr>
              <w:widowControl/>
              <w:spacing w:line="240" w:lineRule="exact"/>
              <w:ind w:firstLine="420"/>
              <w:rPr>
                <w:rFonts w:hint="eastAsia" w:ascii="仿宋" w:hAnsi="仿宋" w:eastAsia="仿宋" w:cs="仿宋"/>
                <w:kern w:val="0"/>
                <w:szCs w:val="21"/>
              </w:rPr>
            </w:pPr>
            <w:r>
              <w:rPr>
                <w:rFonts w:hint="eastAsia" w:ascii="仿宋" w:hAnsi="仿宋" w:eastAsia="仿宋" w:cs="仿宋"/>
                <w:kern w:val="0"/>
                <w:szCs w:val="21"/>
              </w:rPr>
              <w:t>申购人承诺并保证其将根据主承销商确定的配售数量按时完成缴款。</w:t>
            </w:r>
          </w:p>
        </w:tc>
      </w:tr>
      <w:tr>
        <w:tblPrEx>
          <w:tblCellMar>
            <w:top w:w="0" w:type="dxa"/>
            <w:left w:w="108" w:type="dxa"/>
            <w:bottom w:w="0" w:type="dxa"/>
            <w:right w:w="108" w:type="dxa"/>
          </w:tblCellMar>
        </w:tblPrEx>
        <w:trPr>
          <w:trHeight w:val="340" w:hRule="atLeast"/>
        </w:trPr>
        <w:tc>
          <w:tcPr>
            <w:tcW w:w="9750"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jc w:val="center"/>
              <w:rPr>
                <w:rFonts w:hint="eastAsia" w:ascii="仿宋" w:hAnsi="仿宋" w:eastAsia="仿宋" w:cs="仿宋"/>
                <w:b/>
                <w:bCs/>
                <w:kern w:val="0"/>
                <w:szCs w:val="21"/>
              </w:rPr>
            </w:pPr>
            <w:r>
              <w:rPr>
                <w:rFonts w:hint="eastAsia" w:ascii="仿宋" w:hAnsi="仿宋" w:eastAsia="仿宋" w:cs="仿宋"/>
                <w:b/>
                <w:bCs/>
                <w:kern w:val="0"/>
                <w:szCs w:val="21"/>
              </w:rPr>
              <w:t>基本信息</w:t>
            </w:r>
          </w:p>
        </w:tc>
      </w:tr>
      <w:tr>
        <w:tblPrEx>
          <w:tblCellMar>
            <w:top w:w="0" w:type="dxa"/>
            <w:left w:w="108" w:type="dxa"/>
            <w:bottom w:w="0" w:type="dxa"/>
            <w:right w:w="108" w:type="dxa"/>
          </w:tblCellMar>
        </w:tblPrEx>
        <w:trPr>
          <w:trHeight w:val="340" w:hRule="atLeast"/>
        </w:trPr>
        <w:tc>
          <w:tcPr>
            <w:tcW w:w="20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机构名称</w:t>
            </w:r>
          </w:p>
        </w:tc>
        <w:tc>
          <w:tcPr>
            <w:tcW w:w="7674" w:type="dxa"/>
            <w:gridSpan w:val="6"/>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40" w:hRule="atLeast"/>
        </w:trPr>
        <w:tc>
          <w:tcPr>
            <w:tcW w:w="20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户名</w:t>
            </w:r>
          </w:p>
        </w:tc>
        <w:tc>
          <w:tcPr>
            <w:tcW w:w="7674" w:type="dxa"/>
            <w:gridSpan w:val="6"/>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40" w:hRule="atLeast"/>
        </w:trPr>
        <w:tc>
          <w:tcPr>
            <w:tcW w:w="20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注册地址</w:t>
            </w:r>
          </w:p>
        </w:tc>
        <w:tc>
          <w:tcPr>
            <w:tcW w:w="7674" w:type="dxa"/>
            <w:gridSpan w:val="6"/>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40" w:hRule="atLeast"/>
        </w:trPr>
        <w:tc>
          <w:tcPr>
            <w:tcW w:w="20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法定代表人</w:t>
            </w:r>
          </w:p>
        </w:tc>
        <w:tc>
          <w:tcPr>
            <w:tcW w:w="206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c>
          <w:tcPr>
            <w:tcW w:w="252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营业执照注册号</w:t>
            </w:r>
          </w:p>
        </w:tc>
        <w:tc>
          <w:tcPr>
            <w:tcW w:w="3094"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40" w:hRule="atLeast"/>
        </w:trPr>
        <w:tc>
          <w:tcPr>
            <w:tcW w:w="20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经办人</w:t>
            </w:r>
          </w:p>
        </w:tc>
        <w:tc>
          <w:tcPr>
            <w:tcW w:w="206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c>
          <w:tcPr>
            <w:tcW w:w="252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经办人身份证号</w:t>
            </w:r>
          </w:p>
        </w:tc>
        <w:tc>
          <w:tcPr>
            <w:tcW w:w="3094"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40" w:hRule="atLeast"/>
        </w:trPr>
        <w:tc>
          <w:tcPr>
            <w:tcW w:w="20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联系电话</w:t>
            </w:r>
          </w:p>
        </w:tc>
        <w:tc>
          <w:tcPr>
            <w:tcW w:w="206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c>
          <w:tcPr>
            <w:tcW w:w="252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移动电话</w:t>
            </w:r>
          </w:p>
        </w:tc>
        <w:tc>
          <w:tcPr>
            <w:tcW w:w="3094"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14" w:hRule="atLeast"/>
        </w:trPr>
        <w:tc>
          <w:tcPr>
            <w:tcW w:w="20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传真号码</w:t>
            </w:r>
          </w:p>
        </w:tc>
        <w:tc>
          <w:tcPr>
            <w:tcW w:w="206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c>
          <w:tcPr>
            <w:tcW w:w="2520"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rPr>
            </w:pPr>
            <w:r>
              <w:rPr>
                <w:rFonts w:hint="eastAsia" w:ascii="仿宋" w:hAnsi="仿宋" w:eastAsia="仿宋" w:cs="仿宋"/>
                <w:kern w:val="0"/>
                <w:szCs w:val="21"/>
              </w:rPr>
              <w:t>电子邮箱</w:t>
            </w:r>
          </w:p>
        </w:tc>
        <w:tc>
          <w:tcPr>
            <w:tcW w:w="3094" w:type="dxa"/>
            <w:gridSpan w:val="2"/>
            <w:tcBorders>
              <w:top w:val="single" w:color="000000" w:sz="4" w:space="0"/>
              <w:left w:val="nil"/>
              <w:bottom w:val="single" w:color="000000" w:sz="4" w:space="0"/>
              <w:right w:val="single" w:color="000000" w:sz="4" w:space="0"/>
            </w:tcBorders>
            <w:noWrap w:val="0"/>
            <w:vAlign w:val="top"/>
          </w:tcPr>
          <w:p>
            <w:pPr>
              <w:widowControl/>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4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top"/>
          </w:tcPr>
          <w:p>
            <w:pPr>
              <w:widowControl/>
              <w:shd w:val="clear" w:fill="FFFFFF" w:themeFill="background1"/>
              <w:spacing w:line="240" w:lineRule="exact"/>
              <w:rPr>
                <w:rFonts w:hint="eastAsia" w:ascii="仿宋" w:hAnsi="仿宋" w:eastAsia="仿宋" w:cs="仿宋"/>
                <w:kern w:val="0"/>
                <w:szCs w:val="21"/>
              </w:rPr>
            </w:pPr>
            <w:r>
              <w:rPr>
                <w:rFonts w:hint="eastAsia" w:ascii="仿宋" w:hAnsi="仿宋" w:eastAsia="仿宋" w:cs="仿宋"/>
                <w:kern w:val="0"/>
                <w:szCs w:val="21"/>
              </w:rPr>
              <w:t>联系地址</w:t>
            </w:r>
          </w:p>
        </w:tc>
        <w:tc>
          <w:tcPr>
            <w:tcW w:w="2060" w:type="dxa"/>
            <w:gridSpan w:val="2"/>
            <w:tcBorders>
              <w:top w:val="single" w:color="000000" w:sz="4" w:space="0"/>
              <w:left w:val="nil"/>
              <w:bottom w:val="single" w:color="000000" w:sz="4" w:space="0"/>
              <w:right w:val="single" w:color="000000" w:sz="4" w:space="0"/>
            </w:tcBorders>
            <w:shd w:val="clear" w:color="auto" w:fill="FFFFFF" w:themeFill="background1"/>
            <w:noWrap w:val="0"/>
            <w:vAlign w:val="top"/>
          </w:tcPr>
          <w:p>
            <w:pPr>
              <w:widowControl/>
              <w:shd w:val="clear" w:fill="FFFFFF" w:themeFill="background1"/>
              <w:spacing w:line="240" w:lineRule="exact"/>
              <w:rPr>
                <w:rFonts w:hint="eastAsia" w:ascii="仿宋" w:hAnsi="仿宋" w:eastAsia="仿宋" w:cs="仿宋"/>
                <w:kern w:val="0"/>
                <w:szCs w:val="21"/>
                <w:lang w:eastAsia="zh-CN"/>
              </w:rPr>
            </w:pPr>
          </w:p>
        </w:tc>
        <w:tc>
          <w:tcPr>
            <w:tcW w:w="2520" w:type="dxa"/>
            <w:gridSpan w:val="2"/>
            <w:tcBorders>
              <w:top w:val="single" w:color="000000" w:sz="4" w:space="0"/>
              <w:left w:val="nil"/>
              <w:bottom w:val="single" w:color="000000" w:sz="4" w:space="0"/>
              <w:right w:val="single" w:color="000000" w:sz="4" w:space="0"/>
            </w:tcBorders>
            <w:shd w:val="clear" w:color="auto" w:fill="FFFFFF" w:themeFill="background1"/>
            <w:noWrap w:val="0"/>
            <w:vAlign w:val="top"/>
          </w:tcPr>
          <w:p>
            <w:pPr>
              <w:widowControl/>
              <w:shd w:val="clear" w:fill="FFFFFF" w:themeFill="background1"/>
              <w:spacing w:line="240" w:lineRule="exact"/>
              <w:rPr>
                <w:rFonts w:hint="eastAsia" w:ascii="仿宋" w:hAnsi="仿宋" w:eastAsia="仿宋" w:cs="仿宋"/>
                <w:kern w:val="0"/>
                <w:szCs w:val="21"/>
              </w:rPr>
            </w:pPr>
            <w:r>
              <w:rPr>
                <w:rFonts w:hint="eastAsia" w:ascii="仿宋" w:hAnsi="仿宋" w:eastAsia="仿宋" w:cs="仿宋"/>
                <w:kern w:val="0"/>
                <w:szCs w:val="21"/>
              </w:rPr>
              <w:t>邮编</w:t>
            </w:r>
          </w:p>
        </w:tc>
        <w:tc>
          <w:tcPr>
            <w:tcW w:w="3094" w:type="dxa"/>
            <w:gridSpan w:val="2"/>
            <w:tcBorders>
              <w:top w:val="single" w:color="000000" w:sz="4" w:space="0"/>
              <w:left w:val="nil"/>
              <w:bottom w:val="single" w:color="000000" w:sz="4" w:space="0"/>
              <w:right w:val="single" w:color="000000" w:sz="4" w:space="0"/>
            </w:tcBorders>
            <w:shd w:val="clear" w:color="auto" w:fill="FFFFFF" w:themeFill="background1"/>
            <w:noWrap w:val="0"/>
            <w:vAlign w:val="top"/>
          </w:tcPr>
          <w:p>
            <w:pPr>
              <w:widowControl/>
              <w:shd w:val="clear" w:fill="FFFFFF" w:themeFill="background1"/>
              <w:spacing w:line="240" w:lineRule="exact"/>
              <w:rPr>
                <w:rFonts w:hint="eastAsia" w:ascii="仿宋" w:hAnsi="仿宋" w:eastAsia="仿宋" w:cs="仿宋"/>
                <w:kern w:val="0"/>
                <w:szCs w:val="21"/>
                <w:lang w:eastAsia="zh-CN"/>
              </w:rPr>
            </w:pPr>
          </w:p>
        </w:tc>
      </w:tr>
      <w:tr>
        <w:tblPrEx>
          <w:tblCellMar>
            <w:top w:w="0" w:type="dxa"/>
            <w:left w:w="108" w:type="dxa"/>
            <w:bottom w:w="0" w:type="dxa"/>
            <w:right w:w="108" w:type="dxa"/>
          </w:tblCellMar>
        </w:tblPrEx>
        <w:trPr>
          <w:trHeight w:val="340" w:hRule="atLeast"/>
        </w:trPr>
        <w:tc>
          <w:tcPr>
            <w:tcW w:w="9750"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top"/>
          </w:tcPr>
          <w:p>
            <w:pPr>
              <w:widowControl/>
              <w:shd w:val="clear" w:fill="FFFFFF" w:themeFill="background1"/>
              <w:spacing w:line="240" w:lineRule="exact"/>
              <w:jc w:val="center"/>
              <w:rPr>
                <w:rFonts w:hint="eastAsia" w:ascii="仿宋" w:hAnsi="仿宋" w:eastAsia="仿宋" w:cs="仿宋"/>
                <w:b/>
                <w:bCs/>
                <w:kern w:val="0"/>
                <w:szCs w:val="21"/>
              </w:rPr>
            </w:pPr>
            <w:r>
              <w:rPr>
                <w:rFonts w:hint="eastAsia" w:ascii="仿宋" w:hAnsi="仿宋" w:eastAsia="仿宋" w:cs="仿宋"/>
                <w:b/>
                <w:bCs/>
                <w:kern w:val="0"/>
                <w:szCs w:val="21"/>
              </w:rPr>
              <w:t>申购利率及申购金额（申购利率区间上限为</w:t>
            </w:r>
            <w:r>
              <w:rPr>
                <w:rFonts w:hint="eastAsia" w:ascii="仿宋" w:hAnsi="仿宋" w:eastAsia="仿宋" w:cs="仿宋"/>
                <w:b/>
                <w:bCs/>
                <w:kern w:val="0"/>
                <w:szCs w:val="21"/>
                <w:lang w:val="en-US" w:eastAsia="zh-CN"/>
              </w:rPr>
              <w:t>6.00</w:t>
            </w:r>
            <w:r>
              <w:rPr>
                <w:rFonts w:hint="eastAsia" w:ascii="仿宋" w:hAnsi="仿宋" w:eastAsia="仿宋" w:cs="仿宋"/>
                <w:b/>
                <w:bCs/>
                <w:kern w:val="0"/>
                <w:szCs w:val="21"/>
              </w:rPr>
              <w:t>%）</w:t>
            </w:r>
          </w:p>
        </w:tc>
      </w:tr>
      <w:tr>
        <w:tblPrEx>
          <w:tblCellMar>
            <w:top w:w="0" w:type="dxa"/>
            <w:left w:w="108" w:type="dxa"/>
            <w:bottom w:w="0" w:type="dxa"/>
            <w:right w:w="108" w:type="dxa"/>
          </w:tblCellMar>
        </w:tblPrEx>
        <w:trPr>
          <w:trHeight w:val="340" w:hRule="atLeast"/>
        </w:trPr>
        <w:tc>
          <w:tcPr>
            <w:tcW w:w="2235" w:type="dxa"/>
            <w:gridSpan w:val="2"/>
            <w:vMerge w:val="restart"/>
            <w:tcBorders>
              <w:top w:val="nil"/>
              <w:left w:val="single" w:color="000000" w:sz="4" w:space="0"/>
              <w:bottom w:val="single" w:color="000000" w:sz="4" w:space="0"/>
              <w:right w:val="single" w:color="000000" w:sz="4" w:space="0"/>
            </w:tcBorders>
            <w:noWrap w:val="0"/>
            <w:vAlign w:val="center"/>
          </w:tcPr>
          <w:p>
            <w:pPr>
              <w:widowControl/>
              <w:shd w:val="clear" w:fill="FFFFFF" w:themeFill="background1"/>
              <w:spacing w:line="240" w:lineRule="exact"/>
              <w:jc w:val="center"/>
              <w:rPr>
                <w:rFonts w:hint="eastAsia" w:ascii="仿宋" w:hAnsi="仿宋" w:eastAsia="仿宋" w:cs="仿宋"/>
                <w:kern w:val="0"/>
                <w:szCs w:val="21"/>
              </w:rPr>
            </w:pPr>
            <w:r>
              <w:rPr>
                <w:rFonts w:hint="eastAsia" w:ascii="仿宋" w:hAnsi="仿宋" w:eastAsia="仿宋" w:cs="仿宋"/>
                <w:kern w:val="0"/>
                <w:szCs w:val="21"/>
              </w:rPr>
              <w:t>申购利率（%）</w:t>
            </w:r>
          </w:p>
        </w:tc>
        <w:tc>
          <w:tcPr>
            <w:tcW w:w="2268" w:type="dxa"/>
            <w:gridSpan w:val="2"/>
            <w:vMerge w:val="restart"/>
            <w:tcBorders>
              <w:top w:val="single" w:color="000000" w:sz="4" w:space="0"/>
              <w:left w:val="nil"/>
              <w:bottom w:val="single" w:color="000000" w:sz="4" w:space="0"/>
              <w:right w:val="single" w:color="000000" w:sz="4" w:space="0"/>
            </w:tcBorders>
            <w:noWrap w:val="0"/>
            <w:vAlign w:val="center"/>
          </w:tcPr>
          <w:p>
            <w:pPr>
              <w:widowControl/>
              <w:shd w:val="clear" w:fill="FFFFFF" w:themeFill="background1"/>
              <w:spacing w:line="240" w:lineRule="exact"/>
              <w:jc w:val="center"/>
              <w:rPr>
                <w:rFonts w:hint="eastAsia" w:ascii="仿宋" w:hAnsi="仿宋" w:eastAsia="仿宋" w:cs="仿宋"/>
                <w:kern w:val="0"/>
                <w:szCs w:val="21"/>
              </w:rPr>
            </w:pPr>
            <w:r>
              <w:rPr>
                <w:rFonts w:hint="eastAsia" w:ascii="仿宋" w:hAnsi="仿宋" w:eastAsia="仿宋" w:cs="仿宋"/>
                <w:kern w:val="0"/>
                <w:szCs w:val="21"/>
              </w:rPr>
              <w:t>申购金额（万元）</w:t>
            </w:r>
          </w:p>
        </w:tc>
        <w:tc>
          <w:tcPr>
            <w:tcW w:w="5247" w:type="dxa"/>
            <w:gridSpan w:val="3"/>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jc w:val="center"/>
              <w:rPr>
                <w:rFonts w:hint="eastAsia" w:ascii="仿宋" w:hAnsi="仿宋" w:eastAsia="仿宋" w:cs="仿宋"/>
                <w:kern w:val="0"/>
                <w:szCs w:val="21"/>
              </w:rPr>
            </w:pPr>
            <w:r>
              <w:rPr>
                <w:rFonts w:hint="eastAsia" w:ascii="仿宋" w:hAnsi="仿宋" w:eastAsia="仿宋" w:cs="仿宋"/>
                <w:kern w:val="0"/>
                <w:szCs w:val="21"/>
              </w:rPr>
              <w:t>托管场所选择（</w:t>
            </w:r>
            <w:r>
              <w:rPr>
                <w:rFonts w:hint="eastAsia" w:ascii="仿宋" w:hAnsi="仿宋" w:eastAsia="仿宋" w:cs="仿宋"/>
                <w:b/>
                <w:kern w:val="0"/>
                <w:szCs w:val="21"/>
              </w:rPr>
              <w:t>如不填写则默认为中央国债登记公司</w:t>
            </w:r>
            <w:r>
              <w:rPr>
                <w:rFonts w:hint="eastAsia" w:ascii="仿宋" w:hAnsi="仿宋" w:eastAsia="仿宋" w:cs="仿宋"/>
                <w:kern w:val="0"/>
                <w:szCs w:val="21"/>
              </w:rPr>
              <w:t>）</w:t>
            </w:r>
          </w:p>
        </w:tc>
      </w:tr>
      <w:tr>
        <w:tblPrEx>
          <w:tblCellMar>
            <w:top w:w="0" w:type="dxa"/>
            <w:left w:w="108" w:type="dxa"/>
            <w:bottom w:w="0" w:type="dxa"/>
            <w:right w:w="108" w:type="dxa"/>
          </w:tblCellMar>
        </w:tblPrEx>
        <w:trPr>
          <w:trHeight w:val="231" w:hRule="atLeast"/>
        </w:trPr>
        <w:tc>
          <w:tcPr>
            <w:tcW w:w="2235" w:type="dxa"/>
            <w:gridSpan w:val="2"/>
            <w:vMerge w:val="continue"/>
            <w:tcBorders>
              <w:top w:val="nil"/>
              <w:left w:val="single" w:color="000000" w:sz="4" w:space="0"/>
              <w:bottom w:val="single" w:color="000000" w:sz="4" w:space="0"/>
              <w:right w:val="single" w:color="000000" w:sz="4" w:space="0"/>
            </w:tcBorders>
            <w:noWrap w:val="0"/>
            <w:vAlign w:val="center"/>
          </w:tcPr>
          <w:p>
            <w:pPr>
              <w:widowControl/>
              <w:shd w:val="clear" w:fill="FFFFFF" w:themeFill="background1"/>
              <w:spacing w:line="240" w:lineRule="exact"/>
              <w:jc w:val="left"/>
              <w:rPr>
                <w:rFonts w:hint="eastAsia" w:ascii="仿宋" w:hAnsi="仿宋" w:eastAsia="仿宋" w:cs="仿宋"/>
                <w:kern w:val="0"/>
                <w:szCs w:val="21"/>
              </w:rPr>
            </w:pPr>
          </w:p>
        </w:tc>
        <w:tc>
          <w:tcPr>
            <w:tcW w:w="2268" w:type="dxa"/>
            <w:gridSpan w:val="2"/>
            <w:vMerge w:val="continue"/>
            <w:tcBorders>
              <w:top w:val="single" w:color="000000" w:sz="4" w:space="0"/>
              <w:left w:val="nil"/>
              <w:bottom w:val="single" w:color="000000" w:sz="4" w:space="0"/>
              <w:right w:val="single" w:color="000000" w:sz="4" w:space="0"/>
            </w:tcBorders>
            <w:noWrap w:val="0"/>
            <w:vAlign w:val="center"/>
          </w:tcPr>
          <w:p>
            <w:pPr>
              <w:widowControl/>
              <w:shd w:val="clear" w:fill="FFFFFF" w:themeFill="background1"/>
              <w:spacing w:line="240" w:lineRule="exact"/>
              <w:jc w:val="lef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r>
              <w:rPr>
                <w:rFonts w:hint="eastAsia" w:ascii="仿宋" w:hAnsi="仿宋" w:eastAsia="仿宋" w:cs="仿宋"/>
                <w:kern w:val="0"/>
                <w:szCs w:val="21"/>
              </w:rPr>
              <w:t>中央国债登记公司</w:t>
            </w: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r>
              <w:rPr>
                <w:rFonts w:hint="eastAsia" w:ascii="仿宋" w:hAnsi="仿宋" w:eastAsia="仿宋" w:cs="仿宋"/>
                <w:kern w:val="0"/>
                <w:szCs w:val="21"/>
              </w:rPr>
              <w:t>中国证券登记公司上海分公司</w:t>
            </w: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340" w:hRule="atLeast"/>
        </w:trPr>
        <w:tc>
          <w:tcPr>
            <w:tcW w:w="223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68"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2233" w:type="dxa"/>
            <w:gridSpan w:val="2"/>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c>
          <w:tcPr>
            <w:tcW w:w="3014" w:type="dxa"/>
            <w:tcBorders>
              <w:top w:val="single" w:color="000000" w:sz="4" w:space="0"/>
              <w:left w:val="nil"/>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trPr>
        <w:tc>
          <w:tcPr>
            <w:tcW w:w="9750"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ind w:firstLine="424" w:firstLineChars="202"/>
              <w:jc w:val="left"/>
              <w:rPr>
                <w:rFonts w:hint="eastAsia" w:ascii="仿宋" w:hAnsi="仿宋" w:eastAsia="仿宋" w:cs="仿宋"/>
                <w:kern w:val="0"/>
                <w:szCs w:val="21"/>
              </w:rPr>
            </w:pPr>
            <w:r>
              <w:rPr>
                <w:rFonts w:hint="eastAsia" w:ascii="仿宋" w:hAnsi="仿宋" w:eastAsia="仿宋" w:cs="仿宋"/>
                <w:kern w:val="0"/>
                <w:szCs w:val="21"/>
              </w:rPr>
              <w:t> 注：1、本期债券簿记建档利率区间上</w:t>
            </w:r>
            <w:r>
              <w:rPr>
                <w:rFonts w:hint="eastAsia" w:ascii="仿宋" w:hAnsi="仿宋" w:eastAsia="仿宋" w:cs="仿宋"/>
                <w:kern w:val="0"/>
                <w:szCs w:val="21"/>
                <w:shd w:val="clear" w:fill="FFFFFF" w:themeFill="background1"/>
              </w:rPr>
              <w:t>限</w:t>
            </w:r>
            <w:r>
              <w:rPr>
                <w:rFonts w:hint="eastAsia" w:ascii="仿宋" w:hAnsi="仿宋" w:eastAsia="仿宋" w:cs="仿宋"/>
                <w:kern w:val="0"/>
                <w:szCs w:val="21"/>
                <w:shd w:val="clear" w:fill="FFFFFF" w:themeFill="background1"/>
                <w:lang w:val="en-US" w:eastAsia="zh-CN"/>
              </w:rPr>
              <w:t xml:space="preserve">6.00 </w:t>
            </w:r>
            <w:r>
              <w:rPr>
                <w:rFonts w:hint="eastAsia" w:ascii="仿宋" w:hAnsi="仿宋" w:eastAsia="仿宋" w:cs="仿宋"/>
                <w:kern w:val="0"/>
                <w:szCs w:val="21"/>
                <w:shd w:val="clear" w:fill="FFFFFF" w:themeFill="background1"/>
              </w:rPr>
              <w:t>%；2、申购利率应在簿记建档申购利率区间内由低到高填写，最小变动单位为0.01%；3、</w:t>
            </w:r>
            <w:r>
              <w:rPr>
                <w:rFonts w:hint="eastAsia" w:ascii="仿宋" w:hAnsi="仿宋" w:eastAsia="仿宋" w:cs="仿宋"/>
                <w:b/>
                <w:bCs/>
                <w:kern w:val="0"/>
                <w:szCs w:val="21"/>
                <w:shd w:val="clear" w:fill="FFFFFF" w:themeFill="background1"/>
              </w:rPr>
              <w:t>每一申购利率对应的申购金额是指当最终确定的发行利率不低于该申购利率时申购人新增的投资需求，非累计</w:t>
            </w:r>
            <w:r>
              <w:rPr>
                <w:rFonts w:hint="eastAsia" w:ascii="仿宋" w:hAnsi="仿宋" w:eastAsia="仿宋" w:cs="仿宋"/>
                <w:kern w:val="0"/>
                <w:szCs w:val="21"/>
                <w:shd w:val="clear" w:fill="FFFFFF" w:themeFill="background1"/>
              </w:rPr>
              <w:t>；4、每个申购利率对应的申购金额不得少于</w:t>
            </w:r>
            <w:r>
              <w:rPr>
                <w:rFonts w:hint="eastAsia" w:ascii="仿宋" w:hAnsi="仿宋" w:eastAsia="仿宋" w:cs="仿宋"/>
                <w:kern w:val="0"/>
                <w:szCs w:val="21"/>
                <w:shd w:val="clear" w:fill="FFFFFF" w:themeFill="background1"/>
                <w:lang w:val="en-US" w:eastAsia="zh-CN"/>
              </w:rPr>
              <w:t>1000</w:t>
            </w:r>
            <w:r>
              <w:rPr>
                <w:rFonts w:hint="eastAsia" w:ascii="仿宋" w:hAnsi="仿宋" w:eastAsia="仿宋" w:cs="仿宋"/>
                <w:kern w:val="0"/>
                <w:szCs w:val="21"/>
                <w:shd w:val="clear" w:fill="FFFFFF" w:themeFill="background1"/>
              </w:rPr>
              <w:t>万元（含</w:t>
            </w:r>
            <w:r>
              <w:rPr>
                <w:rFonts w:hint="eastAsia" w:ascii="仿宋" w:hAnsi="仿宋" w:eastAsia="仿宋" w:cs="仿宋"/>
                <w:kern w:val="0"/>
                <w:szCs w:val="21"/>
                <w:shd w:val="clear" w:fill="FFFFFF" w:themeFill="background1"/>
                <w:lang w:val="en-US" w:eastAsia="zh-CN"/>
              </w:rPr>
              <w:t>1000</w:t>
            </w:r>
            <w:r>
              <w:rPr>
                <w:rFonts w:hint="eastAsia" w:ascii="仿宋" w:hAnsi="仿宋" w:eastAsia="仿宋" w:cs="仿宋"/>
                <w:kern w:val="0"/>
                <w:szCs w:val="21"/>
                <w:shd w:val="clear" w:fill="FFFFFF" w:themeFill="background1"/>
              </w:rPr>
              <w:t>万元），且增量必须是</w:t>
            </w:r>
            <w:r>
              <w:rPr>
                <w:rFonts w:hint="eastAsia" w:ascii="仿宋" w:hAnsi="仿宋" w:eastAsia="仿宋" w:cs="仿宋"/>
                <w:kern w:val="0"/>
                <w:szCs w:val="21"/>
                <w:shd w:val="clear" w:fill="FFFFFF" w:themeFill="background1"/>
                <w:lang w:val="en-US" w:eastAsia="zh-CN"/>
              </w:rPr>
              <w:t>100</w:t>
            </w:r>
            <w:r>
              <w:rPr>
                <w:rFonts w:hint="eastAsia" w:ascii="仿宋" w:hAnsi="仿宋" w:eastAsia="仿宋" w:cs="仿宋"/>
                <w:kern w:val="0"/>
                <w:szCs w:val="21"/>
                <w:shd w:val="clear" w:fill="FFFFFF" w:themeFill="background1"/>
              </w:rPr>
              <w:t>万元的整数倍，并且不超过本期债券</w:t>
            </w:r>
            <w:r>
              <w:rPr>
                <w:rFonts w:hint="eastAsia" w:ascii="仿宋" w:hAnsi="仿宋" w:eastAsia="仿宋" w:cs="仿宋"/>
                <w:kern w:val="0"/>
                <w:szCs w:val="21"/>
                <w:shd w:val="clear" w:fill="FFFFFF" w:themeFill="background1"/>
                <w:lang w:val="en-US" w:eastAsia="zh-CN"/>
              </w:rPr>
              <w:t>品种一</w:t>
            </w:r>
            <w:r>
              <w:rPr>
                <w:rFonts w:hint="eastAsia" w:ascii="仿宋" w:hAnsi="仿宋" w:eastAsia="仿宋" w:cs="仿宋"/>
                <w:kern w:val="0"/>
                <w:szCs w:val="21"/>
                <w:shd w:val="clear" w:fill="FFFFFF" w:themeFill="background1"/>
              </w:rPr>
              <w:t>的发行总额（即</w:t>
            </w:r>
            <w:r>
              <w:rPr>
                <w:rFonts w:hint="eastAsia" w:ascii="仿宋" w:hAnsi="仿宋" w:eastAsia="仿宋" w:cs="仿宋"/>
                <w:kern w:val="0"/>
                <w:szCs w:val="21"/>
                <w:shd w:val="clear" w:fill="FFFFFF" w:themeFill="background1"/>
                <w:lang w:val="en-US" w:eastAsia="zh-CN"/>
              </w:rPr>
              <w:t>4.25</w:t>
            </w:r>
            <w:r>
              <w:rPr>
                <w:rFonts w:hint="eastAsia" w:ascii="仿宋" w:hAnsi="仿宋" w:eastAsia="仿宋" w:cs="仿宋"/>
                <w:kern w:val="0"/>
                <w:szCs w:val="21"/>
                <w:shd w:val="clear" w:fill="FFFFFF" w:themeFill="background1"/>
              </w:rPr>
              <w:t>亿元）；5、请将此表</w:t>
            </w:r>
            <w:r>
              <w:rPr>
                <w:rFonts w:hint="eastAsia" w:ascii="仿宋" w:hAnsi="仿宋" w:eastAsia="仿宋" w:cs="仿宋"/>
                <w:b/>
                <w:kern w:val="0"/>
                <w:szCs w:val="21"/>
                <w:u w:val="single"/>
                <w:shd w:val="clear" w:fill="FFFFFF" w:themeFill="background1"/>
              </w:rPr>
              <w:t>填妥后连同本说明投资者资料中要求的其他文件按要求盖章后</w:t>
            </w:r>
            <w:r>
              <w:rPr>
                <w:rFonts w:hint="eastAsia" w:ascii="仿宋" w:hAnsi="仿宋" w:eastAsia="仿宋" w:cs="仿宋"/>
                <w:kern w:val="0"/>
                <w:szCs w:val="21"/>
                <w:shd w:val="clear" w:fill="FFFFFF" w:themeFill="background1"/>
              </w:rPr>
              <w:t>一同传真至指定的传真号码；6、簿记建档时间：</w:t>
            </w:r>
            <w:r>
              <w:rPr>
                <w:rFonts w:hint="eastAsia" w:ascii="仿宋" w:hAnsi="仿宋" w:eastAsia="仿宋" w:cs="仿宋"/>
                <w:kern w:val="0"/>
                <w:szCs w:val="21"/>
                <w:shd w:val="clear" w:fill="FFFFFF" w:themeFill="background1"/>
                <w:lang w:val="en-US" w:eastAsia="zh-CN"/>
              </w:rPr>
              <w:t>2023</w:t>
            </w:r>
            <w:r>
              <w:rPr>
                <w:rFonts w:hint="eastAsia" w:ascii="仿宋" w:hAnsi="仿宋" w:eastAsia="仿宋" w:cs="仿宋"/>
                <w:kern w:val="0"/>
                <w:szCs w:val="21"/>
                <w:shd w:val="clear" w:fill="FFFFFF" w:themeFill="background1"/>
              </w:rPr>
              <w:t>年</w:t>
            </w:r>
            <w:r>
              <w:rPr>
                <w:rFonts w:hint="eastAsia" w:ascii="仿宋" w:hAnsi="仿宋" w:eastAsia="仿宋" w:cs="仿宋"/>
                <w:kern w:val="0"/>
                <w:szCs w:val="21"/>
                <w:shd w:val="clear" w:fill="FFFFFF" w:themeFill="background1"/>
                <w:lang w:val="en-US" w:eastAsia="zh-CN"/>
              </w:rPr>
              <w:t>6</w:t>
            </w:r>
            <w:r>
              <w:rPr>
                <w:rFonts w:hint="eastAsia" w:ascii="仿宋" w:hAnsi="仿宋" w:eastAsia="仿宋" w:cs="仿宋"/>
                <w:kern w:val="0"/>
                <w:szCs w:val="21"/>
                <w:shd w:val="clear" w:fill="FFFFFF" w:themeFill="background1"/>
              </w:rPr>
              <w:t>月</w:t>
            </w:r>
            <w:r>
              <w:rPr>
                <w:rFonts w:hint="eastAsia" w:ascii="仿宋" w:hAnsi="仿宋" w:eastAsia="仿宋" w:cs="仿宋"/>
                <w:kern w:val="0"/>
                <w:szCs w:val="21"/>
                <w:shd w:val="clear" w:fill="FFFFFF" w:themeFill="background1"/>
                <w:lang w:val="en-US" w:eastAsia="zh-CN"/>
              </w:rPr>
              <w:t>28</w:t>
            </w:r>
            <w:r>
              <w:rPr>
                <w:rFonts w:hint="eastAsia" w:ascii="仿宋" w:hAnsi="仿宋" w:eastAsia="仿宋" w:cs="仿宋"/>
                <w:kern w:val="0"/>
                <w:szCs w:val="21"/>
                <w:shd w:val="clear" w:fill="FFFFFF" w:themeFill="background1"/>
              </w:rPr>
              <w:t>日北京时间</w:t>
            </w:r>
            <w:r>
              <w:rPr>
                <w:rFonts w:hint="eastAsia" w:ascii="仿宋" w:hAnsi="仿宋" w:eastAsia="仿宋" w:cs="仿宋"/>
                <w:kern w:val="0"/>
                <w:szCs w:val="21"/>
                <w:shd w:val="clear" w:fill="FFFFFF" w:themeFill="background1"/>
                <w:lang w:val="en-US" w:eastAsia="zh-CN"/>
              </w:rPr>
              <w:t>14</w:t>
            </w:r>
            <w:r>
              <w:rPr>
                <w:rFonts w:hint="eastAsia" w:ascii="仿宋" w:hAnsi="仿宋" w:eastAsia="仿宋" w:cs="仿宋"/>
                <w:kern w:val="0"/>
                <w:szCs w:val="21"/>
                <w:shd w:val="clear" w:fill="FFFFFF" w:themeFill="background1"/>
              </w:rPr>
              <w:t>:00至</w:t>
            </w:r>
            <w:r>
              <w:rPr>
                <w:rFonts w:hint="eastAsia" w:ascii="仿宋" w:hAnsi="仿宋" w:eastAsia="仿宋" w:cs="仿宋"/>
                <w:kern w:val="0"/>
                <w:szCs w:val="21"/>
                <w:shd w:val="clear" w:fill="FFFFFF" w:themeFill="background1"/>
                <w:lang w:val="en-US" w:eastAsia="zh-CN"/>
              </w:rPr>
              <w:t>16</w:t>
            </w:r>
            <w:r>
              <w:rPr>
                <w:rFonts w:hint="eastAsia" w:ascii="仿宋" w:hAnsi="仿宋" w:eastAsia="仿宋" w:cs="仿宋"/>
                <w:kern w:val="0"/>
                <w:szCs w:val="21"/>
                <w:shd w:val="clear" w:fill="FFFFFF" w:themeFill="background1"/>
              </w:rPr>
              <w:t>:00，</w:t>
            </w:r>
            <w:r>
              <w:rPr>
                <w:rFonts w:hint="eastAsia" w:ascii="仿宋" w:hAnsi="仿宋" w:eastAsia="仿宋" w:cs="仿宋"/>
                <w:b w:val="0"/>
                <w:bCs/>
                <w:shd w:val="clear" w:fill="FFFFFF" w:themeFill="background1"/>
                <w:lang w:eastAsia="zh-CN"/>
              </w:rPr>
              <w:t>申购传真专线：010-</w:t>
            </w:r>
            <w:r>
              <w:rPr>
                <w:rFonts w:hint="eastAsia" w:ascii="仿宋" w:hAnsi="仿宋" w:eastAsia="仿宋" w:cs="仿宋"/>
                <w:kern w:val="0"/>
                <w:shd w:val="clear" w:fill="FFFFFF" w:themeFill="background1"/>
              </w:rPr>
              <w:t>88170901</w:t>
            </w:r>
            <w:r>
              <w:rPr>
                <w:rFonts w:hint="eastAsia" w:ascii="仿宋" w:hAnsi="仿宋" w:eastAsia="仿宋" w:cs="仿宋"/>
                <w:b w:val="0"/>
                <w:bCs/>
                <w:shd w:val="clear" w:fill="FFFFFF" w:themeFill="background1"/>
                <w:lang w:eastAsia="zh-CN"/>
              </w:rPr>
              <w:t>，咨询电话：010-</w:t>
            </w:r>
            <w:r>
              <w:rPr>
                <w:rFonts w:hint="eastAsia" w:ascii="仿宋" w:hAnsi="仿宋" w:eastAsia="仿宋" w:cs="仿宋"/>
                <w:kern w:val="0"/>
                <w:shd w:val="clear" w:fill="FFFFFF" w:themeFill="background1"/>
              </w:rPr>
              <w:t>88170571</w:t>
            </w:r>
            <w:r>
              <w:rPr>
                <w:rFonts w:hint="eastAsia" w:ascii="仿宋" w:hAnsi="仿宋" w:eastAsia="仿宋" w:cs="仿宋"/>
                <w:b/>
                <w:kern w:val="0"/>
                <w:szCs w:val="21"/>
                <w:shd w:val="clear" w:fill="FFFFFF" w:themeFill="background1"/>
              </w:rPr>
              <w:t>。</w:t>
            </w:r>
          </w:p>
        </w:tc>
      </w:tr>
      <w:tr>
        <w:tblPrEx>
          <w:tblCellMar>
            <w:top w:w="0" w:type="dxa"/>
            <w:left w:w="108" w:type="dxa"/>
            <w:bottom w:w="0" w:type="dxa"/>
            <w:right w:w="108" w:type="dxa"/>
          </w:tblCellMar>
        </w:tblPrEx>
        <w:trPr>
          <w:trHeight w:val="90" w:hRule="atLeast"/>
        </w:trPr>
        <w:tc>
          <w:tcPr>
            <w:tcW w:w="9750"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hd w:val="clear" w:fill="FFFFFF" w:themeFill="background1"/>
              <w:spacing w:line="240" w:lineRule="exact"/>
              <w:rPr>
                <w:rFonts w:hint="eastAsia" w:ascii="仿宋" w:hAnsi="仿宋" w:eastAsia="仿宋" w:cs="仿宋"/>
                <w:color w:val="000000"/>
                <w:kern w:val="0"/>
                <w:szCs w:val="21"/>
              </w:rPr>
            </w:pPr>
          </w:p>
          <w:p>
            <w:pPr>
              <w:widowControl/>
              <w:shd w:val="clear" w:fill="FFFFFF" w:themeFill="background1"/>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（单位盖章） </w:t>
            </w:r>
          </w:p>
          <w:p>
            <w:pPr>
              <w:widowControl/>
              <w:shd w:val="clear" w:fill="FFFFFF" w:themeFill="background1"/>
              <w:spacing w:line="240" w:lineRule="exact"/>
              <w:jc w:val="both"/>
              <w:rPr>
                <w:rFonts w:hint="eastAsia" w:ascii="仿宋" w:hAnsi="仿宋" w:eastAsia="仿宋" w:cs="仿宋"/>
                <w:color w:val="000000"/>
                <w:kern w:val="0"/>
                <w:szCs w:val="21"/>
              </w:rPr>
            </w:pPr>
          </w:p>
          <w:p>
            <w:pPr>
              <w:widowControl/>
              <w:shd w:val="clear" w:fill="FFFFFF" w:themeFill="background1"/>
              <w:spacing w:line="240" w:lineRule="exact"/>
              <w:jc w:val="center"/>
              <w:rPr>
                <w:rFonts w:hint="eastAsia" w:ascii="仿宋" w:hAnsi="仿宋" w:eastAsia="仿宋" w:cs="仿宋"/>
                <w:color w:val="000000"/>
                <w:kern w:val="0"/>
                <w:szCs w:val="21"/>
              </w:rPr>
            </w:pPr>
          </w:p>
          <w:p>
            <w:pPr>
              <w:widowControl/>
              <w:shd w:val="clear" w:fill="FFFFFF" w:themeFill="background1"/>
              <w:spacing w:line="240" w:lineRule="exact"/>
              <w:jc w:val="both"/>
              <w:rPr>
                <w:rFonts w:hint="eastAsia" w:ascii="仿宋" w:hAnsi="仿宋" w:eastAsia="仿宋" w:cs="仿宋"/>
                <w:color w:val="000000"/>
                <w:kern w:val="0"/>
                <w:szCs w:val="21"/>
              </w:rPr>
            </w:pPr>
          </w:p>
          <w:p>
            <w:pPr>
              <w:widowControl/>
              <w:shd w:val="clear" w:fill="FFFFFF" w:themeFill="background1"/>
              <w:spacing w:line="240" w:lineRule="exact"/>
              <w:jc w:val="center"/>
              <w:rPr>
                <w:rFonts w:hint="eastAsia" w:ascii="仿宋" w:hAnsi="仿宋" w:eastAsia="仿宋" w:cs="仿宋"/>
                <w:color w:val="000000"/>
                <w:kern w:val="0"/>
                <w:szCs w:val="21"/>
              </w:rPr>
            </w:pPr>
          </w:p>
          <w:p>
            <w:pPr>
              <w:widowControl/>
              <w:shd w:val="clear" w:fill="FFFFFF" w:themeFill="background1"/>
              <w:spacing w:line="240" w:lineRule="exact"/>
              <w:ind w:right="420"/>
              <w:jc w:val="right"/>
              <w:rPr>
                <w:rFonts w:hint="eastAsia" w:ascii="仿宋" w:hAnsi="仿宋" w:eastAsia="仿宋" w:cs="仿宋"/>
                <w:kern w:val="0"/>
                <w:szCs w:val="21"/>
              </w:rPr>
            </w:pPr>
            <w:r>
              <w:rPr>
                <w:rFonts w:hint="eastAsia" w:ascii="仿宋" w:hAnsi="仿宋" w:eastAsia="仿宋" w:cs="仿宋"/>
                <w:kern w:val="0"/>
                <w:szCs w:val="21"/>
              </w:rPr>
              <w:t xml:space="preserve">     年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xml:space="preserve"> 月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xml:space="preserve">  日 </w:t>
            </w:r>
          </w:p>
        </w:tc>
      </w:tr>
    </w:tbl>
    <w:p>
      <w:pPr>
        <w:shd w:val="clear" w:fill="FFFFFF" w:themeFill="background1"/>
        <w:spacing w:line="400" w:lineRule="exact"/>
        <w:jc w:val="both"/>
        <w:rPr>
          <w:rFonts w:hint="eastAsia" w:ascii="仿宋" w:hAnsi="仿宋" w:eastAsia="仿宋" w:cs="仿宋"/>
          <w:b/>
          <w:kern w:val="0"/>
          <w:sz w:val="32"/>
          <w:szCs w:val="32"/>
        </w:rPr>
      </w:pPr>
    </w:p>
    <w:p>
      <w:pPr>
        <w:shd w:val="clear" w:fill="FFFFFF" w:themeFill="background1"/>
        <w:spacing w:line="400" w:lineRule="exact"/>
        <w:jc w:val="left"/>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附件一</w:t>
      </w:r>
    </w:p>
    <w:p>
      <w:pPr>
        <w:shd w:val="clear" w:fill="FFFFFF" w:themeFill="background1"/>
        <w:spacing w:line="40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《2023年江西省弋投建设（集团）有限公司公司债券（品种一）其他投资人申购意向函》投资者的陈述、承诺和保证</w:t>
      </w:r>
    </w:p>
    <w:p>
      <w:pPr>
        <w:shd w:val="clear" w:fill="FFFFFF" w:themeFill="background1"/>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bdr w:val="single" w:color="auto" w:sz="4" w:space="0"/>
        </w:rPr>
        <w:t>提示：投资者向簿记管理人提交订单时不必传真本陈述、承诺和保证。</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本投资者依法具有购买本《2023年江西省弋投建设（集团）有限公司公司债券（品种一）其他投资人申购意向函》（简称“本申购意向函”）承诺申购总金额的2023年江西省弋投建设（集团）有限公司公司债券（品种一）的资格，有权向簿记管理人提交本申购意向函。并且，在任何适用的法律、法规和国家有关主管部门的规定要求的情况下，已就此取得所有必要的批准、核准、同意、决议和内部批准，并将在申购2023年江西省弋投建设（集团）有限公司公司债券（品种一）后按相关法律、法规的要求办理必要的手续。</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2、本投资者用于申购2023年江西省弋投建设（集团）有限公司公司债券（品种一）的资金来源合法，不违反《企业债券管理条例》及其他适用的法律、法规和国家有关主管部门的规定。</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3、本订单项下的全部申购资金系从本投资者的银行账户划出。</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4、本投资者保证并确认，本投资者向簿记管理人发出的资料真实、准确、完整、有效。</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本投资者已经完全了解并愿意接受《2023年江西省弋投建设（集团）有限公司公司债券募集说明书》及其摘要、《2023年江西省弋投建设（集团）有限公司公司债券（品种一）申购和配售办法说明》（简称“申购和配售办法说明”）的有关规定和要求，也充分了解并愿意承担投资和交易风险，并确认该有关规定和要求对本投资者具有约束力，承诺按照申购和配售办法说明的要求填写本申购意向函。</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6、本投资者同意并确认，本订单一经发出，即对本投资者具有法律效力，未经簿记管理人许可不得修改、撤销或撤回。</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本投资者同意发行人和簿记管理人根据簿记建档等情况确定本投资者的具体配售金额，并接受所确定的最终债券配售结果；簿记管理人向本投资者发出了《2023年江西省弋投建设（集团）有限公司公司债券（品种一）配售缴款通知书》（简称“配售缴款通知书”），即构成对本申购意向函的承诺。</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本投资者理解并接受，本投资者如果获得配售，则本投资者即有义务按照配售缴款通知书（或分销协议）规定的时间、金额和方式，将认购款足额划至簿记管理人通知的划款账户，并按照配售缴款通知书（或分销协议）要求及时提交有关原件。如果本投资者未能按照配售缴款通知书（或分销协议）规定的时间、金额和方式，将认购款足额划至簿记管理人通知的划款账户，簿记管理人有权处置本投资者申购意向函项下的全部债券，同时，本投资者同意就逾时未划部分按每日万分之二的比例向主承销商支付违约金，并赔偿主承销商由此遭受的损失。</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9、本申购意向函中使用的已在申购和配售办法说明中作出定义的词语，具有申购和配售办法说明规定的含义。</w:t>
      </w:r>
    </w:p>
    <w:p>
      <w:pPr>
        <w:shd w:val="clear" w:fill="FFFFFF" w:themeFill="background1"/>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10、本投资者理解并接受，如果遇不可抗力、监管者要求或其他可能对本次发行造成重大不利影响的情况，在经与主管机关协商后，发行人及主承销商有权暂停或终止本次发行.</w:t>
      </w:r>
    </w:p>
    <w:p>
      <w:pPr>
        <w:shd w:val="clear" w:fill="FFFFFF" w:themeFill="background1"/>
        <w:autoSpaceDE w:val="0"/>
        <w:autoSpaceDN w:val="0"/>
        <w:spacing w:line="320" w:lineRule="exact"/>
        <w:jc w:val="left"/>
        <w:rPr>
          <w:rFonts w:hint="eastAsia" w:ascii="仿宋" w:hAnsi="仿宋" w:eastAsia="仿宋" w:cs="仿宋"/>
          <w:b/>
          <w:bCs/>
          <w:kern w:val="0"/>
          <w:sz w:val="28"/>
          <w:szCs w:val="28"/>
        </w:rPr>
      </w:pPr>
      <w:r>
        <w:rPr>
          <w:rFonts w:hint="eastAsia" w:ascii="仿宋" w:hAnsi="仿宋" w:eastAsia="仿宋" w:cs="仿宋"/>
          <w:kern w:val="0"/>
          <w:sz w:val="24"/>
          <w:szCs w:val="24"/>
        </w:rPr>
        <w:br w:type="page"/>
      </w:r>
      <w:r>
        <w:rPr>
          <w:rFonts w:hint="eastAsia" w:ascii="仿宋" w:hAnsi="仿宋" w:eastAsia="仿宋" w:cs="仿宋"/>
          <w:b/>
          <w:bCs/>
          <w:kern w:val="0"/>
          <w:sz w:val="28"/>
          <w:szCs w:val="28"/>
        </w:rPr>
        <w:t>附件二</w:t>
      </w:r>
    </w:p>
    <w:p>
      <w:pPr>
        <w:shd w:val="clear" w:fill="FFFFFF" w:themeFill="background1"/>
        <w:autoSpaceDE w:val="0"/>
        <w:autoSpaceDN w:val="0"/>
        <w:adjustRightInd w:val="0"/>
        <w:jc w:val="center"/>
        <w:rPr>
          <w:rFonts w:hint="eastAsia" w:ascii="仿宋" w:hAnsi="仿宋" w:eastAsia="仿宋" w:cs="仿宋"/>
          <w:b/>
          <w:kern w:val="0"/>
          <w:sz w:val="32"/>
          <w:szCs w:val="32"/>
        </w:rPr>
      </w:pPr>
      <w:r>
        <w:rPr>
          <w:rFonts w:hint="eastAsia" w:ascii="仿宋" w:hAnsi="仿宋" w:eastAsia="仿宋" w:cs="仿宋"/>
          <w:b/>
          <w:kern w:val="0"/>
          <w:sz w:val="32"/>
          <w:szCs w:val="32"/>
        </w:rPr>
        <w:t>2023年江西省弋投建设（集团）有限公司公司债券（品种一）其他投资人申购意向函填报说明</w:t>
      </w:r>
    </w:p>
    <w:p>
      <w:pPr>
        <w:shd w:val="clear" w:fill="FFFFFF" w:themeFill="background1"/>
        <w:autoSpaceDE w:val="0"/>
        <w:autoSpaceDN w:val="0"/>
        <w:adjustRightInd w:val="0"/>
        <w:ind w:right="105"/>
        <w:jc w:val="center"/>
        <w:rPr>
          <w:rFonts w:hint="eastAsia" w:ascii="仿宋" w:hAnsi="仿宋" w:eastAsia="仿宋" w:cs="仿宋"/>
          <w:b/>
          <w:bCs/>
          <w:kern w:val="0"/>
          <w:sz w:val="24"/>
          <w:szCs w:val="24"/>
        </w:rPr>
      </w:pPr>
    </w:p>
    <w:p>
      <w:pPr>
        <w:pBdr>
          <w:top w:val="single" w:color="auto" w:sz="4" w:space="0"/>
          <w:left w:val="single" w:color="auto" w:sz="4" w:space="0"/>
          <w:bottom w:val="single" w:color="auto" w:sz="4" w:space="0"/>
          <w:right w:val="single" w:color="auto" w:sz="4" w:space="0"/>
        </w:pBdr>
        <w:shd w:val="clear" w:fill="FFFFFF" w:themeFill="background1"/>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rPr>
        <w:t>声明及提示：以下示例中的利率和金额均为虚设，不含任何暗示，请投资者根据自己的判断填写。以下填表说明部分不必传真至簿记管理人处，但应被视为本申购和配售办法说明不可分割的部分，填表前请仔细阅读。</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1、请将申购意向函填妥并加盖公章后，于规定时间前连同下列资料传真至簿记管理人处：</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（1）2023年江西省弋投建设（集团）有限公司公司债券（品种一）其他投资人申购意向函；</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（2）业务专用章授权委托书（如</w:t>
      </w:r>
      <w:r>
        <w:rPr>
          <w:rFonts w:hint="eastAsia" w:ascii="仿宋" w:hAnsi="仿宋" w:eastAsia="仿宋" w:cs="仿宋"/>
          <w:kern w:val="0"/>
          <w:sz w:val="24"/>
          <w:szCs w:val="24"/>
          <w:shd w:val="clear" w:fill="FFFFFF" w:themeFill="background1"/>
        </w:rPr>
        <w:t>有）；</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（3）证明经办人身份证复印件（身份证正反面在同一页纸上）；</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（4）有效的企业法人营业执照（副本）复印件，或其他有效的法人资格证明文件复印件；</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eastAsia="zh-CN"/>
        </w:rPr>
        <w:t>专业投资者</w:t>
      </w:r>
      <w:r>
        <w:rPr>
          <w:rFonts w:hint="eastAsia" w:ascii="仿宋" w:hAnsi="仿宋" w:eastAsia="仿宋" w:cs="仿宋"/>
          <w:kern w:val="0"/>
          <w:sz w:val="24"/>
          <w:szCs w:val="24"/>
        </w:rPr>
        <w:t>中的机构投资者确认函（附件三）</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（6）债券市场</w:t>
      </w:r>
      <w:r>
        <w:rPr>
          <w:rFonts w:hint="eastAsia" w:ascii="仿宋" w:hAnsi="仿宋" w:eastAsia="仿宋" w:cs="仿宋"/>
          <w:kern w:val="0"/>
          <w:sz w:val="24"/>
          <w:szCs w:val="24"/>
          <w:lang w:eastAsia="zh-CN"/>
        </w:rPr>
        <w:t>专业投资者</w:t>
      </w:r>
      <w:r>
        <w:rPr>
          <w:rFonts w:hint="eastAsia" w:ascii="仿宋" w:hAnsi="仿宋" w:eastAsia="仿宋" w:cs="仿宋"/>
          <w:kern w:val="0"/>
          <w:sz w:val="24"/>
          <w:szCs w:val="24"/>
        </w:rPr>
        <w:t>中的机构投资者风险揭示书（附件四）</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（7）主承销商有权根据询价情况要求投资者提供其他资质证明文件。</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2、申购利率及申购金额填写示例（</w:t>
      </w:r>
      <w:r>
        <w:rPr>
          <w:rFonts w:hint="eastAsia" w:ascii="仿宋" w:hAnsi="仿宋" w:eastAsia="仿宋" w:cs="仿宋"/>
          <w:b/>
          <w:sz w:val="24"/>
          <w:szCs w:val="24"/>
        </w:rPr>
        <w:t>每一申购利率对应的申购金额是指当最终确定的发行利率不低于该申购利率时申购人新增的投资需求，非累计</w:t>
      </w:r>
      <w:r>
        <w:rPr>
          <w:rFonts w:hint="eastAsia" w:ascii="仿宋" w:hAnsi="仿宋" w:eastAsia="仿宋" w:cs="仿宋"/>
          <w:kern w:val="0"/>
          <w:sz w:val="24"/>
          <w:szCs w:val="24"/>
        </w:rPr>
        <w:t>）。</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本期债券簿记建档利</w:t>
      </w:r>
      <w:r>
        <w:rPr>
          <w:rFonts w:hint="eastAsia" w:ascii="仿宋" w:hAnsi="仿宋" w:eastAsia="仿宋" w:cs="仿宋"/>
          <w:kern w:val="0"/>
          <w:sz w:val="24"/>
          <w:szCs w:val="24"/>
          <w:shd w:val="clear" w:fill="FFFFFF" w:themeFill="background1"/>
        </w:rPr>
        <w:t>率区间上限为</w:t>
      </w:r>
      <w:r>
        <w:rPr>
          <w:rFonts w:hint="eastAsia" w:ascii="仿宋" w:hAnsi="仿宋" w:eastAsia="仿宋" w:cs="仿宋"/>
          <w:kern w:val="0"/>
          <w:sz w:val="24"/>
          <w:szCs w:val="24"/>
          <w:shd w:val="clear" w:fill="FFFFFF" w:themeFill="background1"/>
          <w:lang w:val="en-US" w:eastAsia="zh-CN"/>
        </w:rPr>
        <w:t>6.00</w:t>
      </w:r>
      <w:r>
        <w:rPr>
          <w:rFonts w:hint="eastAsia" w:ascii="仿宋" w:hAnsi="仿宋" w:eastAsia="仿宋" w:cs="仿宋"/>
          <w:kern w:val="0"/>
          <w:sz w:val="24"/>
          <w:szCs w:val="24"/>
          <w:shd w:val="clear" w:fill="FFFFFF" w:themeFill="background1"/>
        </w:rPr>
        <w:t>%。某</w:t>
      </w:r>
      <w:r>
        <w:rPr>
          <w:rFonts w:hint="eastAsia" w:ascii="仿宋" w:hAnsi="仿宋" w:eastAsia="仿宋" w:cs="仿宋"/>
          <w:kern w:val="0"/>
          <w:sz w:val="24"/>
          <w:szCs w:val="24"/>
        </w:rPr>
        <w:t>投资者拟在不同的申购利率分别申购不同的金额，其可做出如下填写：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9"/>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3949" w:type="dxa"/>
          </w:tcPr>
          <w:p>
            <w:pPr>
              <w:shd w:val="clear" w:fill="FFFFFF" w:themeFill="background1"/>
              <w:autoSpaceDE w:val="0"/>
              <w:autoSpaceDN w:val="0"/>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申购利率 </w:t>
            </w:r>
          </w:p>
        </w:tc>
        <w:tc>
          <w:tcPr>
            <w:tcW w:w="4573" w:type="dxa"/>
          </w:tcPr>
          <w:p>
            <w:pPr>
              <w:shd w:val="clear" w:fill="FFFFFF" w:themeFill="background1"/>
              <w:autoSpaceDE w:val="0"/>
              <w:autoSpaceDN w:val="0"/>
              <w:spacing w:line="360" w:lineRule="exact"/>
              <w:ind w:right="105"/>
              <w:jc w:val="center"/>
              <w:rPr>
                <w:rFonts w:hint="eastAsia" w:ascii="仿宋" w:hAnsi="仿宋" w:eastAsia="仿宋" w:cs="仿宋"/>
                <w:kern w:val="0"/>
                <w:sz w:val="24"/>
                <w:szCs w:val="24"/>
              </w:rPr>
            </w:pPr>
            <w:r>
              <w:rPr>
                <w:rFonts w:hint="eastAsia" w:ascii="仿宋" w:hAnsi="仿宋" w:eastAsia="仿宋" w:cs="仿宋"/>
                <w:kern w:val="0"/>
                <w:sz w:val="24"/>
                <w:szCs w:val="24"/>
              </w:rPr>
              <w:t>申购金额（万元）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exact"/>
        </w:trPr>
        <w:tc>
          <w:tcPr>
            <w:tcW w:w="3949" w:type="dxa"/>
          </w:tcPr>
          <w:p>
            <w:pPr>
              <w:shd w:val="clear" w:fill="FFFFFF" w:themeFill="background1"/>
              <w:autoSpaceDE w:val="0"/>
              <w:autoSpaceDN w:val="0"/>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3.40%</w:t>
            </w:r>
          </w:p>
        </w:tc>
        <w:tc>
          <w:tcPr>
            <w:tcW w:w="4573" w:type="dxa"/>
          </w:tcPr>
          <w:p>
            <w:pPr>
              <w:shd w:val="clear" w:fill="FFFFFF" w:themeFill="background1"/>
              <w:autoSpaceDE w:val="0"/>
              <w:autoSpaceDN w:val="0"/>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3949" w:type="dxa"/>
          </w:tcPr>
          <w:p>
            <w:pPr>
              <w:shd w:val="clear" w:fill="FFFFFF" w:themeFill="background1"/>
              <w:autoSpaceDE w:val="0"/>
              <w:autoSpaceDN w:val="0"/>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3.45%</w:t>
            </w:r>
          </w:p>
        </w:tc>
        <w:tc>
          <w:tcPr>
            <w:tcW w:w="4573" w:type="dxa"/>
          </w:tcPr>
          <w:p>
            <w:pPr>
              <w:shd w:val="clear" w:fill="FFFFFF" w:themeFill="background1"/>
              <w:autoSpaceDE w:val="0"/>
              <w:autoSpaceDN w:val="0"/>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949" w:type="dxa"/>
          </w:tcPr>
          <w:p>
            <w:pPr>
              <w:shd w:val="clear" w:fill="FFFFFF" w:themeFill="background1"/>
              <w:autoSpaceDE w:val="0"/>
              <w:autoSpaceDN w:val="0"/>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3.50%</w:t>
            </w:r>
          </w:p>
        </w:tc>
        <w:tc>
          <w:tcPr>
            <w:tcW w:w="4573" w:type="dxa"/>
          </w:tcPr>
          <w:p>
            <w:pPr>
              <w:shd w:val="clear" w:fill="FFFFFF" w:themeFill="background1"/>
              <w:autoSpaceDE w:val="0"/>
              <w:autoSpaceDN w:val="0"/>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5,000</w:t>
            </w:r>
          </w:p>
        </w:tc>
      </w:tr>
    </w:tbl>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上述报价的含义如下：</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◆当最终确定的发行利率低于3.40%时，该申购意向函无效。</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◆当最终确定的发行利率高于或等于3.40%，但低于3.45%时，有效申购金额为1,000万元；</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◆当最终确定的发行利率高于或等于3.45%，但低于3.50%时，有效申购金额合计为4,000万元；</w:t>
      </w:r>
    </w:p>
    <w:p>
      <w:pPr>
        <w:shd w:val="clear" w:fill="FFFFFF" w:themeFill="background1"/>
        <w:autoSpaceDE w:val="0"/>
        <w:autoSpaceDN w:val="0"/>
        <w:adjustRightInd w:val="0"/>
        <w:spacing w:line="360" w:lineRule="exact"/>
        <w:ind w:left="19" w:leftChars="9" w:firstLine="388" w:firstLineChars="162"/>
        <w:jc w:val="left"/>
        <w:rPr>
          <w:rFonts w:hint="eastAsia" w:ascii="仿宋" w:hAnsi="仿宋" w:eastAsia="仿宋" w:cs="仿宋"/>
          <w:kern w:val="0"/>
          <w:sz w:val="24"/>
          <w:szCs w:val="24"/>
        </w:rPr>
      </w:pPr>
      <w:r>
        <w:rPr>
          <w:rFonts w:hint="eastAsia" w:ascii="仿宋" w:hAnsi="仿宋" w:eastAsia="仿宋" w:cs="仿宋"/>
          <w:kern w:val="0"/>
          <w:sz w:val="24"/>
          <w:szCs w:val="24"/>
        </w:rPr>
        <w:t>◆当最终确定的发行利率高于或等于3.50%时，有效申购金额合计为9,000万元；</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3、其他投资人须以传真方式参与本次簿记建档过程，以其他方式传送、送达一概无效。</w:t>
      </w:r>
    </w:p>
    <w:p>
      <w:pPr>
        <w:shd w:val="clear" w:fill="FFFFFF" w:themeFill="background1"/>
        <w:autoSpaceDE w:val="0"/>
        <w:autoSpaceDN w:val="0"/>
        <w:adjustRightInd w:val="0"/>
        <w:spacing w:line="360" w:lineRule="exact"/>
        <w:ind w:right="105"/>
        <w:rPr>
          <w:rFonts w:hint="eastAsia" w:ascii="仿宋" w:hAnsi="仿宋" w:eastAsia="仿宋" w:cs="仿宋"/>
          <w:b/>
          <w:kern w:val="0"/>
          <w:sz w:val="28"/>
          <w:szCs w:val="28"/>
        </w:rPr>
      </w:pPr>
      <w:r>
        <w:rPr>
          <w:rFonts w:hint="eastAsia" w:ascii="仿宋" w:hAnsi="仿宋" w:eastAsia="仿宋" w:cs="仿宋"/>
          <w:kern w:val="0"/>
          <w:sz w:val="24"/>
          <w:szCs w:val="24"/>
        </w:rPr>
        <w:br w:type="page"/>
      </w:r>
      <w:r>
        <w:rPr>
          <w:rFonts w:hint="eastAsia" w:ascii="仿宋" w:hAnsi="仿宋" w:eastAsia="仿宋" w:cs="仿宋"/>
          <w:b/>
          <w:kern w:val="0"/>
          <w:sz w:val="28"/>
          <w:szCs w:val="28"/>
        </w:rPr>
        <w:t>附件三</w:t>
      </w:r>
    </w:p>
    <w:p>
      <w:pPr>
        <w:shd w:val="clear" w:fill="FFFFFF" w:themeFill="background1"/>
        <w:autoSpaceDE w:val="0"/>
        <w:autoSpaceDN w:val="0"/>
        <w:adjustRightInd w:val="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专业投资者</w:t>
      </w:r>
      <w:r>
        <w:rPr>
          <w:rFonts w:hint="eastAsia" w:ascii="仿宋" w:hAnsi="仿宋" w:eastAsia="仿宋" w:cs="仿宋"/>
          <w:b/>
          <w:kern w:val="0"/>
          <w:sz w:val="32"/>
          <w:szCs w:val="32"/>
        </w:rPr>
        <w:t>中的机构投资者确认函</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根据《公司债券发行与交易管理办法》、《证券期货投资者适当性管理办法》及《上海证券交易所债券市场投资者适当性管理办法（2022年修订）》之规定，请确认本机构的投资者类型，请在（）中勾选：</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  ）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  ）上述机构面向投资者发行的理财产品，包括但不限于证券公司资产管理产品、基金管理公司及其子公司产品、期货公司资产管理产品、银行理财产品、保险产品、信托产品、经行业协会备案的私募基金。</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  ）社会保障基金、企业年金等养老基金，慈善基金等社会公益基金，合格境外机构投资者（QFII）、人民币合格境外机构投资者（RQFII）。</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  ）同时符合下列条件的法人或者其他组织：</w:t>
      </w:r>
    </w:p>
    <w:p>
      <w:pPr>
        <w:shd w:val="clear" w:fill="FFFFFF" w:themeFill="background1"/>
        <w:autoSpaceDE w:val="0"/>
        <w:autoSpaceDN w:val="0"/>
        <w:adjustRightInd w:val="0"/>
        <w:spacing w:line="360" w:lineRule="exact"/>
        <w:ind w:left="649" w:leftChars="309" w:right="105" w:rightChars="50"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1、最近1年末净资产不低于2000万元；</w:t>
      </w:r>
    </w:p>
    <w:p>
      <w:pPr>
        <w:shd w:val="clear" w:fill="FFFFFF" w:themeFill="background1"/>
        <w:autoSpaceDE w:val="0"/>
        <w:autoSpaceDN w:val="0"/>
        <w:adjustRightInd w:val="0"/>
        <w:spacing w:line="360" w:lineRule="exact"/>
        <w:ind w:left="649" w:leftChars="309" w:right="105" w:rightChars="50"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2、最近1年末金融资产不低于1,000万元；</w:t>
      </w:r>
    </w:p>
    <w:p>
      <w:pPr>
        <w:shd w:val="clear" w:fill="FFFFFF" w:themeFill="background1"/>
        <w:autoSpaceDE w:val="0"/>
        <w:autoSpaceDN w:val="0"/>
        <w:adjustRightInd w:val="0"/>
        <w:spacing w:line="360" w:lineRule="exact"/>
        <w:ind w:left="649" w:leftChars="309" w:right="105" w:rightChars="50"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3、具有2年以上证券、基金、期货、黄金、外汇等投资经历。</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  ）中国证监会和本所认可的其他投资者。</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前款所称金融资产，是指银行存款、股票、债券、基金份额、资产管理计划、银行理财产品、信托计划、保险产品、期货及其他衍生产品等。</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本单位郑重承诺，确认属于</w:t>
      </w:r>
      <w:r>
        <w:rPr>
          <w:rFonts w:hint="eastAsia" w:ascii="仿宋" w:hAnsi="仿宋" w:eastAsia="仿宋" w:cs="仿宋"/>
          <w:kern w:val="0"/>
          <w:sz w:val="24"/>
          <w:szCs w:val="24"/>
          <w:lang w:eastAsia="zh-CN"/>
        </w:rPr>
        <w:t>专业投资者</w:t>
      </w:r>
      <w:r>
        <w:rPr>
          <w:rFonts w:hint="eastAsia" w:ascii="仿宋" w:hAnsi="仿宋" w:eastAsia="仿宋" w:cs="仿宋"/>
          <w:kern w:val="0"/>
          <w:sz w:val="24"/>
          <w:szCs w:val="24"/>
        </w:rPr>
        <w:t>中的机构投资者！</w:t>
      </w:r>
    </w:p>
    <w:p>
      <w:pPr>
        <w:shd w:val="clear" w:fill="FFFFFF" w:themeFill="background1"/>
        <w:autoSpaceDE w:val="0"/>
        <w:autoSpaceDN w:val="0"/>
        <w:adjustRightInd w:val="0"/>
        <w:spacing w:line="360" w:lineRule="exact"/>
        <w:ind w:right="105"/>
        <w:jc w:val="center"/>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right="105"/>
        <w:jc w:val="center"/>
        <w:rPr>
          <w:rFonts w:hint="eastAsia" w:ascii="仿宋" w:hAnsi="仿宋" w:eastAsia="仿宋" w:cs="仿宋"/>
          <w:kern w:val="0"/>
          <w:sz w:val="24"/>
          <w:szCs w:val="24"/>
        </w:rPr>
      </w:pPr>
    </w:p>
    <w:p>
      <w:pPr>
        <w:shd w:val="clear" w:fill="FFFFFF" w:themeFill="background1"/>
        <w:wordWrap w:val="0"/>
        <w:autoSpaceDE w:val="0"/>
        <w:autoSpaceDN w:val="0"/>
        <w:adjustRightInd w:val="0"/>
        <w:spacing w:line="360" w:lineRule="exact"/>
        <w:ind w:right="105"/>
        <w:jc w:val="center"/>
        <w:rPr>
          <w:rFonts w:hint="eastAsia" w:ascii="仿宋" w:hAnsi="仿宋" w:eastAsia="仿宋" w:cs="仿宋"/>
          <w:kern w:val="0"/>
          <w:sz w:val="24"/>
          <w:szCs w:val="24"/>
        </w:rPr>
      </w:pPr>
      <w:r>
        <w:rPr>
          <w:rFonts w:hint="eastAsia" w:ascii="仿宋" w:hAnsi="仿宋" w:eastAsia="仿宋" w:cs="仿宋"/>
          <w:kern w:val="0"/>
          <w:sz w:val="24"/>
          <w:szCs w:val="24"/>
        </w:rPr>
        <w:t>单位名称（请加盖公章）：</w:t>
      </w: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r>
        <w:rPr>
          <w:rFonts w:hint="eastAsia" w:ascii="仿宋" w:hAnsi="仿宋" w:eastAsia="仿宋" w:cs="仿宋"/>
          <w:kern w:val="0"/>
          <w:sz w:val="24"/>
          <w:szCs w:val="24"/>
        </w:rPr>
        <w:t>日期：     年     月     日</w:t>
      </w:r>
    </w:p>
    <w:p>
      <w:pPr>
        <w:shd w:val="clear" w:fill="FFFFFF" w:themeFill="background1"/>
        <w:autoSpaceDE w:val="0"/>
        <w:autoSpaceDN w:val="0"/>
        <w:adjustRightInd w:val="0"/>
        <w:spacing w:line="360" w:lineRule="exact"/>
        <w:ind w:right="105"/>
        <w:rPr>
          <w:rFonts w:hint="eastAsia" w:ascii="仿宋" w:hAnsi="仿宋" w:eastAsia="仿宋" w:cs="仿宋"/>
          <w:b/>
          <w:bCs/>
          <w:kern w:val="0"/>
          <w:sz w:val="28"/>
          <w:szCs w:val="28"/>
        </w:rPr>
      </w:pPr>
      <w:r>
        <w:rPr>
          <w:rFonts w:hint="eastAsia" w:ascii="仿宋" w:hAnsi="仿宋" w:eastAsia="仿宋" w:cs="仿宋"/>
          <w:kern w:val="0"/>
          <w:sz w:val="24"/>
          <w:szCs w:val="24"/>
        </w:rPr>
        <w:br w:type="page"/>
      </w:r>
      <w:r>
        <w:rPr>
          <w:rFonts w:hint="eastAsia" w:ascii="仿宋" w:hAnsi="仿宋" w:eastAsia="仿宋" w:cs="仿宋"/>
          <w:b/>
          <w:bCs/>
          <w:kern w:val="0"/>
          <w:sz w:val="28"/>
          <w:szCs w:val="28"/>
        </w:rPr>
        <w:t>附件四：</w:t>
      </w:r>
    </w:p>
    <w:p>
      <w:pPr>
        <w:shd w:val="clear" w:fill="FFFFFF" w:themeFill="background1"/>
        <w:autoSpaceDE w:val="0"/>
        <w:autoSpaceDN w:val="0"/>
        <w:adjustRightInd w:val="0"/>
        <w:spacing w:line="360" w:lineRule="exact"/>
        <w:ind w:left="19" w:leftChars="9" w:right="105" w:firstLine="390" w:firstLineChars="162"/>
        <w:rPr>
          <w:rFonts w:hint="eastAsia" w:ascii="仿宋" w:hAnsi="仿宋" w:eastAsia="仿宋" w:cs="仿宋"/>
          <w:b/>
          <w:kern w:val="0"/>
          <w:sz w:val="24"/>
          <w:szCs w:val="24"/>
        </w:rPr>
      </w:pPr>
      <w:r>
        <w:rPr>
          <w:rFonts w:hint="eastAsia" w:ascii="仿宋" w:hAnsi="仿宋" w:eastAsia="仿宋" w:cs="仿宋"/>
          <w:b/>
          <w:kern w:val="0"/>
          <w:sz w:val="24"/>
          <w:szCs w:val="24"/>
        </w:rPr>
        <w:t>重要声明：本风险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pPr>
        <w:shd w:val="clear" w:fill="FFFFFF" w:themeFill="background1"/>
        <w:autoSpaceDE w:val="0"/>
        <w:autoSpaceDN w:val="0"/>
        <w:adjustRightInd w:val="0"/>
        <w:spacing w:line="360" w:lineRule="exact"/>
        <w:ind w:left="19" w:leftChars="9" w:right="105" w:firstLine="390" w:firstLineChars="162"/>
        <w:rPr>
          <w:rFonts w:hint="eastAsia" w:ascii="仿宋" w:hAnsi="仿宋" w:eastAsia="仿宋" w:cs="仿宋"/>
          <w:b/>
          <w:kern w:val="0"/>
          <w:sz w:val="24"/>
          <w:szCs w:val="24"/>
        </w:rPr>
      </w:pPr>
    </w:p>
    <w:p>
      <w:pPr>
        <w:shd w:val="clear" w:fill="FFFFFF" w:themeFill="background1"/>
        <w:autoSpaceDE w:val="0"/>
        <w:autoSpaceDN w:val="0"/>
        <w:adjustRightInd w:val="0"/>
        <w:spacing w:line="400" w:lineRule="exact"/>
        <w:ind w:right="108"/>
        <w:jc w:val="center"/>
        <w:rPr>
          <w:rFonts w:hint="eastAsia" w:ascii="仿宋" w:hAnsi="仿宋" w:eastAsia="仿宋" w:cs="仿宋"/>
          <w:b/>
          <w:kern w:val="0"/>
          <w:sz w:val="32"/>
          <w:szCs w:val="32"/>
        </w:rPr>
      </w:pPr>
      <w:r>
        <w:rPr>
          <w:rFonts w:hint="eastAsia" w:ascii="仿宋" w:hAnsi="仿宋" w:eastAsia="仿宋" w:cs="仿宋"/>
          <w:b/>
          <w:kern w:val="0"/>
          <w:sz w:val="32"/>
          <w:szCs w:val="32"/>
        </w:rPr>
        <w:t>债券市场</w:t>
      </w:r>
      <w:r>
        <w:rPr>
          <w:rFonts w:hint="eastAsia" w:ascii="仿宋" w:hAnsi="仿宋" w:eastAsia="仿宋" w:cs="仿宋"/>
          <w:b/>
          <w:kern w:val="0"/>
          <w:sz w:val="32"/>
          <w:szCs w:val="32"/>
          <w:lang w:eastAsia="zh-CN"/>
        </w:rPr>
        <w:t>专业投资者</w:t>
      </w:r>
      <w:r>
        <w:rPr>
          <w:rFonts w:hint="eastAsia" w:ascii="仿宋" w:hAnsi="仿宋" w:eastAsia="仿宋" w:cs="仿宋"/>
          <w:b/>
          <w:kern w:val="0"/>
          <w:sz w:val="32"/>
          <w:szCs w:val="32"/>
        </w:rPr>
        <w:t>中的机构投资者风险揭示书</w:t>
      </w:r>
    </w:p>
    <w:p>
      <w:pPr>
        <w:shd w:val="clear" w:fill="FFFFFF" w:themeFill="background1"/>
        <w:autoSpaceDE w:val="0"/>
        <w:autoSpaceDN w:val="0"/>
        <w:adjustRightInd w:val="0"/>
        <w:spacing w:line="400" w:lineRule="exact"/>
        <w:ind w:right="108"/>
        <w:jc w:val="center"/>
        <w:rPr>
          <w:rFonts w:hint="eastAsia" w:ascii="仿宋" w:hAnsi="仿宋" w:eastAsia="仿宋" w:cs="仿宋"/>
          <w:b/>
          <w:kern w:val="0"/>
          <w:sz w:val="30"/>
          <w:szCs w:val="30"/>
        </w:rPr>
      </w:pP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一、总则：参与债券投资或交易具有信用风险、市场风险、流动性风险、放大交易风险、标准券欠库风险、政策风险及其他各类风险。</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二、投资者适当性：投资者应当根据自身的财务状况、实际需求、风险承受能力，以及内部制度（若为机构），审慎决定参与债券投资或交易。</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三、信用风险：投资者参与债券投资或交易将面临债券发行人无法按期还本付息的风险。如果投资者购买或持有资信评级较低的信用债，将面临显著的信用风险。</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四、市场风险：投资者参与债券投资或交易将面临由于市场环境或供求关系等因素导致的债券价格波动的风险。</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五、流动性风险：投资者参与债券投资或交易将面临在短期内无法以合理价格买入或卖出债券，从而遭受损失的风险。</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六、放大交易风险：投资人利用现券和回购两个品种进行债券投资的放大操作，从而放大投资损失的风险。</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七、标准券欠库风险：投资者在回购期间需要保证回购标准券足额。如果回购期间债券价格下跌，标准券折算率相应下调，融资方面临标准券欠库风险。融资方需要及时补充质押券避免标准券不足。</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r>
        <w:rPr>
          <w:rFonts w:hint="eastAsia" w:ascii="仿宋" w:hAnsi="仿宋" w:eastAsia="仿宋" w:cs="仿宋"/>
          <w:kern w:val="0"/>
          <w:sz w:val="24"/>
          <w:szCs w:val="24"/>
        </w:rPr>
        <w:t>八、政策风险：由于国家法律、法规、政策、交易所规则的变化、修改等原因，可能会对投资者的交易产生不利影响，甚至造成经济损失。</w:t>
      </w: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right="105"/>
        <w:jc w:val="center"/>
        <w:rPr>
          <w:rFonts w:hint="eastAsia" w:ascii="仿宋" w:hAnsi="仿宋" w:eastAsia="仿宋" w:cs="仿宋"/>
          <w:kern w:val="0"/>
          <w:sz w:val="24"/>
          <w:szCs w:val="24"/>
        </w:rPr>
      </w:pPr>
      <w:r>
        <w:rPr>
          <w:rFonts w:hint="eastAsia" w:ascii="仿宋" w:hAnsi="仿宋" w:eastAsia="仿宋" w:cs="仿宋"/>
          <w:kern w:val="0"/>
          <w:sz w:val="24"/>
          <w:szCs w:val="24"/>
        </w:rPr>
        <w:t>单位名称（请加盖公章）：</w:t>
      </w:r>
    </w:p>
    <w:p>
      <w:pPr>
        <w:shd w:val="clear" w:fill="FFFFFF" w:themeFill="background1"/>
        <w:autoSpaceDE w:val="0"/>
        <w:autoSpaceDN w:val="0"/>
        <w:adjustRightInd w:val="0"/>
        <w:spacing w:line="360" w:lineRule="exact"/>
        <w:ind w:left="19" w:leftChars="9" w:right="105" w:firstLine="2301" w:firstLineChars="959"/>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2301" w:firstLineChars="959"/>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2301" w:firstLineChars="959"/>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2301" w:firstLineChars="959"/>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2301" w:firstLineChars="959"/>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r>
        <w:rPr>
          <w:rFonts w:hint="eastAsia" w:ascii="仿宋" w:hAnsi="仿宋" w:eastAsia="仿宋" w:cs="仿宋"/>
          <w:kern w:val="0"/>
          <w:sz w:val="24"/>
          <w:szCs w:val="24"/>
        </w:rPr>
        <w:t>日期：     年     月     日</w:t>
      </w:r>
    </w:p>
    <w:p>
      <w:pPr>
        <w:shd w:val="clear" w:fill="FFFFFF" w:themeFill="background1"/>
        <w:autoSpaceDE w:val="0"/>
        <w:autoSpaceDN w:val="0"/>
        <w:adjustRightInd w:val="0"/>
        <w:spacing w:line="360" w:lineRule="exact"/>
        <w:ind w:left="19" w:leftChars="9" w:right="105" w:firstLine="388" w:firstLineChars="162"/>
        <w:jc w:val="right"/>
        <w:rPr>
          <w:rFonts w:hint="eastAsia" w:ascii="仿宋" w:hAnsi="仿宋" w:eastAsia="仿宋" w:cs="仿宋"/>
          <w:kern w:val="0"/>
          <w:sz w:val="24"/>
          <w:szCs w:val="24"/>
        </w:rPr>
      </w:pPr>
    </w:p>
    <w:p>
      <w:pPr>
        <w:shd w:val="clear" w:fill="FFFFFF" w:themeFill="background1"/>
        <w:autoSpaceDE w:val="0"/>
        <w:autoSpaceDN w:val="0"/>
        <w:adjustRightInd w:val="0"/>
        <w:spacing w:line="360" w:lineRule="exact"/>
        <w:ind w:left="19" w:leftChars="9" w:right="105" w:firstLine="388" w:firstLineChars="162"/>
        <w:rPr>
          <w:rFonts w:hint="eastAsia" w:ascii="仿宋" w:hAnsi="仿宋" w:eastAsia="仿宋" w:cs="仿宋"/>
          <w:kern w:val="0"/>
          <w:sz w:val="24"/>
          <w:szCs w:val="24"/>
        </w:rPr>
      </w:pPr>
    </w:p>
    <w:p>
      <w:pPr>
        <w:shd w:val="clear" w:fill="FFFFFF" w:themeFill="background1"/>
        <w:rPr>
          <w:rFonts w:hint="eastAsia" w:ascii="仿宋" w:hAnsi="仿宋" w:eastAsia="仿宋" w:cs="仿宋"/>
        </w:rPr>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15</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DU0Y2Y4NjE3ZjZjZDU2NzA0NGU0NDU4NTIyZGYifQ=="/>
  </w:docVars>
  <w:rsids>
    <w:rsidRoot w:val="00000000"/>
    <w:rsid w:val="093F7288"/>
    <w:rsid w:val="39183593"/>
    <w:rsid w:val="39374592"/>
    <w:rsid w:val="5C60569C"/>
    <w:rsid w:val="5CDF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3670</Words>
  <Characters>3841</Characters>
  <Lines>0</Lines>
  <Paragraphs>0</Paragraphs>
  <TotalTime>1</TotalTime>
  <ScaleCrop>false</ScaleCrop>
  <LinksUpToDate>false</LinksUpToDate>
  <CharactersWithSpaces>3967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2023-06-26T02:17:00Z</dcterms:created>
  <dc:creator>45276</dc:creator>
  <cp:lastModifiedBy>褚宏昭</cp:lastModifiedBy>
  <dcterms:modified xsi:type="dcterms:W3CDTF">2023-06-26T07:36:58Z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0B8FDBDFADD94065AFBA56B83C045224</vt:lpwstr>
  </property>
</Properties>
</file>