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eastAsia="仿宋"/>
          <w:b/>
          <w:kern w:val="0"/>
          <w:sz w:val="24"/>
          <w:szCs w:val="28"/>
        </w:rPr>
      </w:pPr>
      <w:r>
        <w:rPr>
          <w:rFonts w:eastAsia="仿宋"/>
          <w:b/>
          <w:kern w:val="0"/>
          <w:sz w:val="24"/>
          <w:szCs w:val="28"/>
        </w:rPr>
        <w:t>附件</w:t>
      </w:r>
      <w:r>
        <w:rPr>
          <w:rFonts w:hint="eastAsia" w:eastAsia="仿宋"/>
          <w:b/>
          <w:kern w:val="0"/>
          <w:sz w:val="24"/>
          <w:szCs w:val="28"/>
        </w:rPr>
        <w:t>1</w:t>
      </w:r>
    </w:p>
    <w:p>
      <w:pPr>
        <w:autoSpaceDE w:val="0"/>
        <w:autoSpaceDN w:val="0"/>
        <w:adjustRightInd w:val="0"/>
        <w:jc w:val="center"/>
        <w:rPr>
          <w:rFonts w:hint="eastAsia" w:eastAsia="仿宋"/>
          <w:b/>
          <w:sz w:val="28"/>
          <w:szCs w:val="28"/>
          <w:lang w:eastAsia="zh-CN"/>
        </w:rPr>
      </w:pPr>
      <w:r>
        <w:rPr>
          <w:rFonts w:hint="eastAsia" w:eastAsia="仿宋"/>
          <w:b/>
          <w:sz w:val="28"/>
          <w:szCs w:val="28"/>
          <w:lang w:eastAsia="zh-CN"/>
        </w:rPr>
        <w:t>2023年第一期武汉临空港投资集团有限公司公司债券</w:t>
      </w:r>
    </w:p>
    <w:p>
      <w:pPr>
        <w:autoSpaceDE w:val="0"/>
        <w:autoSpaceDN w:val="0"/>
        <w:adjustRightInd w:val="0"/>
        <w:snapToGrid w:val="0"/>
        <w:jc w:val="center"/>
        <w:rPr>
          <w:rFonts w:eastAsia="仿宋"/>
          <w:b/>
          <w:sz w:val="28"/>
          <w:szCs w:val="28"/>
        </w:rPr>
      </w:pPr>
      <w:r>
        <w:rPr>
          <w:rFonts w:eastAsia="仿宋"/>
          <w:b/>
          <w:sz w:val="28"/>
          <w:szCs w:val="28"/>
        </w:rPr>
        <w:t>申购意向函</w:t>
      </w:r>
    </w:p>
    <w:p>
      <w:pPr>
        <w:autoSpaceDE w:val="0"/>
        <w:autoSpaceDN w:val="0"/>
        <w:adjustRightInd w:val="0"/>
        <w:jc w:val="center"/>
        <w:rPr>
          <w:rFonts w:hint="default" w:eastAsia="仿宋"/>
          <w:b/>
          <w:sz w:val="28"/>
          <w:szCs w:val="28"/>
          <w:highlight w:val="yellow"/>
          <w:lang w:val="en-US" w:eastAsia="zh-CN"/>
        </w:rPr>
      </w:pPr>
      <w:r>
        <w:rPr>
          <w:rFonts w:hint="eastAsia" w:eastAsia="仿宋"/>
          <w:sz w:val="24"/>
        </w:rPr>
        <w:t>申购传真专线：</w:t>
      </w:r>
      <w:r>
        <w:rPr>
          <w:rFonts w:hint="eastAsia" w:eastAsia="仿宋"/>
          <w:sz w:val="24"/>
          <w:lang w:eastAsia="zh-CN"/>
        </w:rPr>
        <w:t>010-88170903</w:t>
      </w:r>
      <w:r>
        <w:rPr>
          <w:rFonts w:hint="eastAsia" w:eastAsia="仿宋"/>
          <w:sz w:val="24"/>
          <w:lang w:val="en-US" w:eastAsia="zh-CN"/>
        </w:rPr>
        <w:t xml:space="preserve">       </w:t>
      </w:r>
      <w:r>
        <w:rPr>
          <w:rFonts w:hint="eastAsia" w:eastAsia="仿宋"/>
          <w:sz w:val="24"/>
        </w:rPr>
        <w:t>，咨询电话：</w:t>
      </w:r>
      <w:r>
        <w:rPr>
          <w:rFonts w:hint="eastAsia" w:eastAsia="仿宋"/>
          <w:sz w:val="24"/>
          <w:lang w:eastAsia="zh-CN"/>
        </w:rPr>
        <w:t>010-88170588</w:t>
      </w:r>
      <w:r>
        <w:rPr>
          <w:rFonts w:hint="eastAsia" w:eastAsia="仿宋"/>
          <w:sz w:val="24"/>
          <w:lang w:val="en-US" w:eastAsia="zh-CN"/>
        </w:rPr>
        <w:t xml:space="preserve">        </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21"/>
        <w:gridCol w:w="101"/>
        <w:gridCol w:w="1719"/>
        <w:gridCol w:w="201"/>
        <w:gridCol w:w="2134"/>
        <w:gridCol w:w="347"/>
        <w:gridCol w:w="117"/>
        <w:gridCol w:w="2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2" w:hRule="atLeast"/>
          <w:jc w:val="center"/>
        </w:trPr>
        <w:tc>
          <w:tcPr>
            <w:tcW w:w="9216" w:type="dxa"/>
            <w:gridSpan w:val="8"/>
            <w:noWrap w:val="0"/>
            <w:vAlign w:val="top"/>
          </w:tcPr>
          <w:p>
            <w:pPr>
              <w:autoSpaceDE w:val="0"/>
              <w:autoSpaceDN w:val="0"/>
              <w:adjustRightInd w:val="0"/>
              <w:jc w:val="center"/>
              <w:rPr>
                <w:rFonts w:eastAsia="仿宋"/>
                <w:b/>
                <w:sz w:val="24"/>
              </w:rPr>
            </w:pPr>
            <w:r>
              <w:rPr>
                <w:rFonts w:eastAsia="仿宋"/>
                <w:b/>
                <w:sz w:val="24"/>
              </w:rPr>
              <w:t>重要声明</w:t>
            </w:r>
          </w:p>
          <w:p>
            <w:pPr>
              <w:autoSpaceDE w:val="0"/>
              <w:autoSpaceDN w:val="0"/>
              <w:adjustRightInd w:val="0"/>
              <w:ind w:firstLine="480" w:firstLineChars="200"/>
              <w:rPr>
                <w:rFonts w:eastAsia="仿宋"/>
                <w:sz w:val="24"/>
              </w:rPr>
            </w:pPr>
            <w:r>
              <w:rPr>
                <w:rFonts w:eastAsia="仿宋"/>
                <w:sz w:val="24"/>
              </w:rPr>
              <w:t>填写申购意向函前请详细阅读募集说明书及申购意向函填报说明。</w:t>
            </w:r>
          </w:p>
          <w:p>
            <w:pPr>
              <w:autoSpaceDE w:val="0"/>
              <w:autoSpaceDN w:val="0"/>
              <w:adjustRightInd w:val="0"/>
              <w:ind w:firstLine="480" w:firstLineChars="200"/>
              <w:rPr>
                <w:rFonts w:eastAsia="仿宋"/>
                <w:sz w:val="24"/>
              </w:rPr>
            </w:pPr>
            <w:r>
              <w:rPr>
                <w:rFonts w:eastAsia="仿宋"/>
                <w:sz w:val="24"/>
              </w:rPr>
              <w:t>本申购意向函一经申购人完整填写，且加盖单位</w:t>
            </w:r>
            <w:r>
              <w:rPr>
                <w:rFonts w:hint="eastAsia" w:eastAsia="仿宋"/>
                <w:sz w:val="24"/>
              </w:rPr>
              <w:t>印</w:t>
            </w:r>
            <w:r>
              <w:rPr>
                <w:rFonts w:eastAsia="仿宋"/>
                <w:sz w:val="24"/>
              </w:rPr>
              <w:t>章，传真至簿记管理人后，即构成申购人发出的、对申购人具有法律约束力的要约。</w:t>
            </w:r>
          </w:p>
          <w:p>
            <w:pPr>
              <w:autoSpaceDE w:val="0"/>
              <w:autoSpaceDN w:val="0"/>
              <w:adjustRightInd w:val="0"/>
              <w:ind w:firstLine="480" w:firstLineChars="200"/>
              <w:rPr>
                <w:rFonts w:eastAsia="仿宋"/>
                <w:sz w:val="24"/>
              </w:rPr>
            </w:pPr>
            <w:r>
              <w:rPr>
                <w:rFonts w:eastAsia="仿宋"/>
                <w:sz w:val="24"/>
              </w:rPr>
              <w:t>申购人承诺并保证其将根据主承销商确定的配售数量按时完成缴款。</w:t>
            </w:r>
          </w:p>
          <w:p>
            <w:pPr>
              <w:autoSpaceDE w:val="0"/>
              <w:autoSpaceDN w:val="0"/>
              <w:adjustRightInd w:val="0"/>
              <w:ind w:firstLine="480" w:firstLineChars="200"/>
              <w:rPr>
                <w:rFonts w:eastAsia="仿宋"/>
                <w:sz w:val="24"/>
              </w:rPr>
            </w:pPr>
            <w:r>
              <w:rPr>
                <w:rFonts w:hint="eastAsia" w:eastAsia="仿宋"/>
                <w:sz w:val="24"/>
              </w:rPr>
              <w:t>簿记建档时间：</w:t>
            </w:r>
            <w:r>
              <w:rPr>
                <w:rFonts w:hint="eastAsia" w:eastAsia="仿宋"/>
                <w:sz w:val="24"/>
                <w:lang w:val="en-US" w:eastAsia="zh-CN"/>
              </w:rPr>
              <w:t>2023</w:t>
            </w:r>
            <w:r>
              <w:rPr>
                <w:rFonts w:hint="eastAsia" w:eastAsia="仿宋"/>
                <w:sz w:val="24"/>
              </w:rPr>
              <w:t>年</w:t>
            </w:r>
            <w:r>
              <w:rPr>
                <w:rFonts w:hint="eastAsia" w:eastAsia="仿宋"/>
                <w:sz w:val="24"/>
                <w:lang w:val="en-US" w:eastAsia="zh-CN"/>
              </w:rPr>
              <w:t>3</w:t>
            </w:r>
            <w:r>
              <w:rPr>
                <w:rFonts w:hint="eastAsia" w:eastAsia="仿宋"/>
                <w:sz w:val="24"/>
              </w:rPr>
              <w:t>月</w:t>
            </w:r>
            <w:r>
              <w:rPr>
                <w:rFonts w:hint="eastAsia" w:eastAsia="仿宋"/>
                <w:sz w:val="24"/>
                <w:lang w:val="en-US" w:eastAsia="zh-CN"/>
              </w:rPr>
              <w:t>28</w:t>
            </w:r>
            <w:r>
              <w:rPr>
                <w:rFonts w:hint="eastAsia" w:eastAsia="仿宋"/>
                <w:sz w:val="24"/>
              </w:rPr>
              <w:t>日</w:t>
            </w:r>
            <w:r>
              <w:rPr>
                <w:rFonts w:hint="eastAsia" w:eastAsia="仿宋"/>
                <w:sz w:val="24"/>
                <w:lang w:val="en-US" w:eastAsia="zh-CN"/>
              </w:rPr>
              <w:t xml:space="preserve">14 </w:t>
            </w:r>
            <w:r>
              <w:rPr>
                <w:rFonts w:hint="eastAsia" w:eastAsia="仿宋"/>
                <w:sz w:val="24"/>
              </w:rPr>
              <w:t>:</w:t>
            </w:r>
            <w:r>
              <w:rPr>
                <w:rFonts w:hint="eastAsia" w:eastAsia="仿宋"/>
                <w:sz w:val="24"/>
                <w:lang w:val="en-US" w:eastAsia="zh-CN"/>
              </w:rPr>
              <w:t xml:space="preserve"> 00 </w:t>
            </w:r>
            <w:r>
              <w:rPr>
                <w:rFonts w:hint="eastAsia" w:eastAsia="仿宋"/>
                <w:sz w:val="24"/>
              </w:rPr>
              <w:t>-</w:t>
            </w:r>
            <w:r>
              <w:rPr>
                <w:rFonts w:hint="eastAsia" w:eastAsia="仿宋"/>
                <w:sz w:val="24"/>
                <w:lang w:val="en-US" w:eastAsia="zh-CN"/>
              </w:rPr>
              <w:t xml:space="preserve"> 16 </w:t>
            </w:r>
            <w:r>
              <w:rPr>
                <w:rFonts w:hint="eastAsia" w:eastAsia="仿宋"/>
                <w:sz w:val="24"/>
              </w:rPr>
              <w:t>:</w:t>
            </w:r>
            <w:r>
              <w:rPr>
                <w:rFonts w:hint="eastAsia" w:eastAsia="仿宋"/>
                <w:sz w:val="24"/>
                <w:lang w:val="en-US" w:eastAsia="zh-CN"/>
              </w:rPr>
              <w:t xml:space="preserve"> 00 </w:t>
            </w:r>
            <w:r>
              <w:rPr>
                <w:rFonts w:hint="eastAsia" w:eastAsia="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9216" w:type="dxa"/>
            <w:gridSpan w:val="8"/>
            <w:noWrap w:val="0"/>
            <w:vAlign w:val="top"/>
          </w:tcPr>
          <w:p>
            <w:pPr>
              <w:autoSpaceDE w:val="0"/>
              <w:autoSpaceDN w:val="0"/>
              <w:adjustRightInd w:val="0"/>
              <w:jc w:val="center"/>
              <w:rPr>
                <w:rFonts w:eastAsia="仿宋"/>
                <w:b/>
                <w:sz w:val="28"/>
                <w:szCs w:val="28"/>
              </w:rPr>
            </w:pPr>
            <w:r>
              <w:rPr>
                <w:rFonts w:eastAsia="仿宋"/>
                <w:b/>
                <w:sz w:val="24"/>
              </w:rPr>
              <w:t>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2122" w:type="dxa"/>
            <w:gridSpan w:val="2"/>
            <w:noWrap w:val="0"/>
            <w:vAlign w:val="top"/>
          </w:tcPr>
          <w:p>
            <w:pPr>
              <w:autoSpaceDE w:val="0"/>
              <w:autoSpaceDN w:val="0"/>
              <w:adjustRightInd w:val="0"/>
              <w:jc w:val="left"/>
              <w:rPr>
                <w:rFonts w:eastAsia="仿宋"/>
                <w:sz w:val="24"/>
              </w:rPr>
            </w:pPr>
            <w:r>
              <w:rPr>
                <w:rFonts w:eastAsia="仿宋"/>
                <w:sz w:val="24"/>
              </w:rPr>
              <w:t>机构名称</w:t>
            </w:r>
          </w:p>
        </w:tc>
        <w:tc>
          <w:tcPr>
            <w:tcW w:w="7094" w:type="dxa"/>
            <w:gridSpan w:val="6"/>
            <w:noWrap w:val="0"/>
            <w:vAlign w:val="top"/>
          </w:tcPr>
          <w:p>
            <w:pPr>
              <w:autoSpaceDE w:val="0"/>
              <w:autoSpaceDN w:val="0"/>
              <w:adjustRightInd w:val="0"/>
              <w:jc w:val="left"/>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2122" w:type="dxa"/>
            <w:gridSpan w:val="2"/>
            <w:noWrap w:val="0"/>
            <w:vAlign w:val="top"/>
          </w:tcPr>
          <w:p>
            <w:pPr>
              <w:autoSpaceDE w:val="0"/>
              <w:autoSpaceDN w:val="0"/>
              <w:adjustRightInd w:val="0"/>
              <w:jc w:val="left"/>
              <w:rPr>
                <w:rFonts w:eastAsia="仿宋"/>
                <w:sz w:val="24"/>
              </w:rPr>
            </w:pPr>
            <w:r>
              <w:rPr>
                <w:rFonts w:eastAsia="仿宋"/>
                <w:sz w:val="24"/>
              </w:rPr>
              <w:t>注册地址</w:t>
            </w:r>
          </w:p>
        </w:tc>
        <w:tc>
          <w:tcPr>
            <w:tcW w:w="7094" w:type="dxa"/>
            <w:gridSpan w:val="6"/>
            <w:noWrap w:val="0"/>
            <w:vAlign w:val="top"/>
          </w:tcPr>
          <w:p>
            <w:pPr>
              <w:autoSpaceDE w:val="0"/>
              <w:autoSpaceDN w:val="0"/>
              <w:adjustRightInd w:val="0"/>
              <w:jc w:val="left"/>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2122" w:type="dxa"/>
            <w:gridSpan w:val="2"/>
            <w:noWrap w:val="0"/>
            <w:vAlign w:val="top"/>
          </w:tcPr>
          <w:p>
            <w:pPr>
              <w:autoSpaceDE w:val="0"/>
              <w:autoSpaceDN w:val="0"/>
              <w:adjustRightInd w:val="0"/>
              <w:jc w:val="left"/>
              <w:rPr>
                <w:rFonts w:eastAsia="仿宋"/>
                <w:sz w:val="24"/>
              </w:rPr>
            </w:pPr>
            <w:r>
              <w:rPr>
                <w:rFonts w:eastAsia="仿宋"/>
                <w:sz w:val="24"/>
              </w:rPr>
              <w:t>法定代表人姓名</w:t>
            </w:r>
          </w:p>
        </w:tc>
        <w:tc>
          <w:tcPr>
            <w:tcW w:w="1719" w:type="dxa"/>
            <w:noWrap w:val="0"/>
            <w:vAlign w:val="top"/>
          </w:tcPr>
          <w:p>
            <w:pPr>
              <w:autoSpaceDE w:val="0"/>
              <w:autoSpaceDN w:val="0"/>
              <w:adjustRightInd w:val="0"/>
              <w:jc w:val="left"/>
              <w:rPr>
                <w:rFonts w:eastAsia="仿宋"/>
                <w:sz w:val="24"/>
              </w:rPr>
            </w:pPr>
          </w:p>
        </w:tc>
        <w:tc>
          <w:tcPr>
            <w:tcW w:w="2682" w:type="dxa"/>
            <w:gridSpan w:val="3"/>
            <w:noWrap w:val="0"/>
            <w:vAlign w:val="top"/>
          </w:tcPr>
          <w:p>
            <w:pPr>
              <w:autoSpaceDE w:val="0"/>
              <w:autoSpaceDN w:val="0"/>
              <w:adjustRightInd w:val="0"/>
              <w:jc w:val="left"/>
              <w:rPr>
                <w:rFonts w:eastAsia="仿宋"/>
                <w:sz w:val="24"/>
              </w:rPr>
            </w:pPr>
            <w:r>
              <w:rPr>
                <w:rFonts w:hint="eastAsia" w:eastAsia="仿宋"/>
                <w:sz w:val="24"/>
              </w:rPr>
              <w:t>法定</w:t>
            </w:r>
            <w:r>
              <w:rPr>
                <w:rFonts w:eastAsia="仿宋"/>
                <w:sz w:val="24"/>
              </w:rPr>
              <w:t>代表人证件号</w:t>
            </w:r>
          </w:p>
        </w:tc>
        <w:tc>
          <w:tcPr>
            <w:tcW w:w="2693" w:type="dxa"/>
            <w:gridSpan w:val="2"/>
            <w:noWrap w:val="0"/>
            <w:vAlign w:val="top"/>
          </w:tcPr>
          <w:p>
            <w:pPr>
              <w:autoSpaceDE w:val="0"/>
              <w:autoSpaceDN w:val="0"/>
              <w:adjustRightInd w:val="0"/>
              <w:jc w:val="left"/>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2122" w:type="dxa"/>
            <w:gridSpan w:val="2"/>
            <w:noWrap w:val="0"/>
            <w:vAlign w:val="top"/>
          </w:tcPr>
          <w:p>
            <w:pPr>
              <w:autoSpaceDE w:val="0"/>
              <w:autoSpaceDN w:val="0"/>
              <w:adjustRightInd w:val="0"/>
              <w:jc w:val="left"/>
              <w:rPr>
                <w:rFonts w:eastAsia="仿宋"/>
                <w:sz w:val="24"/>
              </w:rPr>
            </w:pPr>
            <w:r>
              <w:rPr>
                <w:rFonts w:eastAsia="仿宋"/>
                <w:sz w:val="24"/>
              </w:rPr>
              <w:t>营业执照注册号</w:t>
            </w:r>
          </w:p>
        </w:tc>
        <w:tc>
          <w:tcPr>
            <w:tcW w:w="1719" w:type="dxa"/>
            <w:noWrap w:val="0"/>
            <w:vAlign w:val="top"/>
          </w:tcPr>
          <w:p>
            <w:pPr>
              <w:autoSpaceDE w:val="0"/>
              <w:autoSpaceDN w:val="0"/>
              <w:adjustRightInd w:val="0"/>
              <w:jc w:val="left"/>
              <w:rPr>
                <w:rFonts w:eastAsia="仿宋"/>
                <w:sz w:val="24"/>
              </w:rPr>
            </w:pPr>
          </w:p>
        </w:tc>
        <w:tc>
          <w:tcPr>
            <w:tcW w:w="2682" w:type="dxa"/>
            <w:gridSpan w:val="3"/>
            <w:noWrap w:val="0"/>
            <w:vAlign w:val="top"/>
          </w:tcPr>
          <w:p>
            <w:pPr>
              <w:autoSpaceDE w:val="0"/>
              <w:autoSpaceDN w:val="0"/>
              <w:adjustRightInd w:val="0"/>
              <w:jc w:val="left"/>
              <w:rPr>
                <w:rFonts w:eastAsia="仿宋"/>
                <w:sz w:val="24"/>
              </w:rPr>
            </w:pPr>
            <w:r>
              <w:rPr>
                <w:rFonts w:eastAsia="仿宋"/>
                <w:sz w:val="24"/>
              </w:rPr>
              <w:t>经办人</w:t>
            </w:r>
            <w:r>
              <w:rPr>
                <w:rFonts w:hint="eastAsia" w:eastAsia="仿宋"/>
                <w:sz w:val="24"/>
              </w:rPr>
              <w:t>姓名</w:t>
            </w:r>
          </w:p>
        </w:tc>
        <w:tc>
          <w:tcPr>
            <w:tcW w:w="2693" w:type="dxa"/>
            <w:gridSpan w:val="2"/>
            <w:noWrap w:val="0"/>
            <w:vAlign w:val="top"/>
          </w:tcPr>
          <w:p>
            <w:pPr>
              <w:autoSpaceDE w:val="0"/>
              <w:autoSpaceDN w:val="0"/>
              <w:adjustRightInd w:val="0"/>
              <w:jc w:val="left"/>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2122" w:type="dxa"/>
            <w:gridSpan w:val="2"/>
            <w:noWrap w:val="0"/>
            <w:vAlign w:val="top"/>
          </w:tcPr>
          <w:p>
            <w:pPr>
              <w:autoSpaceDE w:val="0"/>
              <w:autoSpaceDN w:val="0"/>
              <w:adjustRightInd w:val="0"/>
              <w:jc w:val="left"/>
              <w:rPr>
                <w:rFonts w:eastAsia="仿宋"/>
                <w:sz w:val="24"/>
              </w:rPr>
            </w:pPr>
            <w:r>
              <w:rPr>
                <w:rFonts w:eastAsia="仿宋"/>
                <w:sz w:val="24"/>
              </w:rPr>
              <w:t>联系电话</w:t>
            </w:r>
          </w:p>
        </w:tc>
        <w:tc>
          <w:tcPr>
            <w:tcW w:w="1719" w:type="dxa"/>
            <w:noWrap w:val="0"/>
            <w:vAlign w:val="top"/>
          </w:tcPr>
          <w:p>
            <w:pPr>
              <w:autoSpaceDE w:val="0"/>
              <w:autoSpaceDN w:val="0"/>
              <w:adjustRightInd w:val="0"/>
              <w:jc w:val="left"/>
              <w:rPr>
                <w:rFonts w:eastAsia="仿宋"/>
                <w:sz w:val="24"/>
              </w:rPr>
            </w:pPr>
          </w:p>
        </w:tc>
        <w:tc>
          <w:tcPr>
            <w:tcW w:w="2682" w:type="dxa"/>
            <w:gridSpan w:val="3"/>
            <w:noWrap w:val="0"/>
            <w:vAlign w:val="top"/>
          </w:tcPr>
          <w:p>
            <w:pPr>
              <w:autoSpaceDE w:val="0"/>
              <w:autoSpaceDN w:val="0"/>
              <w:adjustRightInd w:val="0"/>
              <w:jc w:val="left"/>
              <w:rPr>
                <w:rFonts w:eastAsia="仿宋"/>
                <w:sz w:val="24"/>
              </w:rPr>
            </w:pPr>
            <w:r>
              <w:rPr>
                <w:rFonts w:eastAsia="仿宋"/>
                <w:sz w:val="24"/>
              </w:rPr>
              <w:t>移动电话</w:t>
            </w:r>
          </w:p>
        </w:tc>
        <w:tc>
          <w:tcPr>
            <w:tcW w:w="2693" w:type="dxa"/>
            <w:gridSpan w:val="2"/>
            <w:noWrap w:val="0"/>
            <w:vAlign w:val="top"/>
          </w:tcPr>
          <w:p>
            <w:pPr>
              <w:autoSpaceDE w:val="0"/>
              <w:autoSpaceDN w:val="0"/>
              <w:adjustRightInd w:val="0"/>
              <w:jc w:val="left"/>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2122" w:type="dxa"/>
            <w:gridSpan w:val="2"/>
            <w:noWrap w:val="0"/>
            <w:vAlign w:val="top"/>
          </w:tcPr>
          <w:p>
            <w:pPr>
              <w:autoSpaceDE w:val="0"/>
              <w:autoSpaceDN w:val="0"/>
              <w:adjustRightInd w:val="0"/>
              <w:jc w:val="left"/>
              <w:rPr>
                <w:rFonts w:eastAsia="仿宋"/>
                <w:sz w:val="24"/>
              </w:rPr>
            </w:pPr>
            <w:r>
              <w:rPr>
                <w:rFonts w:eastAsia="仿宋"/>
                <w:sz w:val="24"/>
              </w:rPr>
              <w:t>传真号码</w:t>
            </w:r>
          </w:p>
        </w:tc>
        <w:tc>
          <w:tcPr>
            <w:tcW w:w="1719" w:type="dxa"/>
            <w:noWrap w:val="0"/>
            <w:vAlign w:val="top"/>
          </w:tcPr>
          <w:p>
            <w:pPr>
              <w:autoSpaceDE w:val="0"/>
              <w:autoSpaceDN w:val="0"/>
              <w:adjustRightInd w:val="0"/>
              <w:jc w:val="left"/>
              <w:rPr>
                <w:rFonts w:eastAsia="仿宋"/>
                <w:sz w:val="24"/>
              </w:rPr>
            </w:pPr>
          </w:p>
        </w:tc>
        <w:tc>
          <w:tcPr>
            <w:tcW w:w="2682" w:type="dxa"/>
            <w:gridSpan w:val="3"/>
            <w:noWrap w:val="0"/>
            <w:vAlign w:val="top"/>
          </w:tcPr>
          <w:p>
            <w:pPr>
              <w:autoSpaceDE w:val="0"/>
              <w:autoSpaceDN w:val="0"/>
              <w:adjustRightInd w:val="0"/>
              <w:jc w:val="left"/>
              <w:rPr>
                <w:rFonts w:eastAsia="仿宋"/>
                <w:sz w:val="24"/>
              </w:rPr>
            </w:pPr>
            <w:r>
              <w:rPr>
                <w:rFonts w:eastAsia="仿宋"/>
                <w:sz w:val="24"/>
              </w:rPr>
              <w:t>电子邮箱</w:t>
            </w:r>
          </w:p>
        </w:tc>
        <w:tc>
          <w:tcPr>
            <w:tcW w:w="2693" w:type="dxa"/>
            <w:gridSpan w:val="2"/>
            <w:noWrap w:val="0"/>
            <w:vAlign w:val="top"/>
          </w:tcPr>
          <w:p>
            <w:pPr>
              <w:autoSpaceDE w:val="0"/>
              <w:autoSpaceDN w:val="0"/>
              <w:adjustRightInd w:val="0"/>
              <w:jc w:val="left"/>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2122" w:type="dxa"/>
            <w:gridSpan w:val="2"/>
            <w:noWrap w:val="0"/>
            <w:vAlign w:val="top"/>
          </w:tcPr>
          <w:p>
            <w:pPr>
              <w:autoSpaceDE w:val="0"/>
              <w:autoSpaceDN w:val="0"/>
              <w:adjustRightInd w:val="0"/>
              <w:jc w:val="left"/>
              <w:rPr>
                <w:rFonts w:eastAsia="仿宋"/>
                <w:sz w:val="24"/>
              </w:rPr>
            </w:pPr>
            <w:r>
              <w:rPr>
                <w:rFonts w:eastAsia="仿宋"/>
                <w:sz w:val="24"/>
              </w:rPr>
              <w:t>联系地址</w:t>
            </w:r>
          </w:p>
        </w:tc>
        <w:tc>
          <w:tcPr>
            <w:tcW w:w="1719" w:type="dxa"/>
            <w:noWrap w:val="0"/>
            <w:vAlign w:val="top"/>
          </w:tcPr>
          <w:p>
            <w:pPr>
              <w:autoSpaceDE w:val="0"/>
              <w:autoSpaceDN w:val="0"/>
              <w:adjustRightInd w:val="0"/>
              <w:jc w:val="left"/>
              <w:rPr>
                <w:rFonts w:eastAsia="仿宋"/>
                <w:sz w:val="24"/>
              </w:rPr>
            </w:pPr>
          </w:p>
        </w:tc>
        <w:tc>
          <w:tcPr>
            <w:tcW w:w="2682" w:type="dxa"/>
            <w:gridSpan w:val="3"/>
            <w:noWrap w:val="0"/>
            <w:vAlign w:val="top"/>
          </w:tcPr>
          <w:p>
            <w:pPr>
              <w:autoSpaceDE w:val="0"/>
              <w:autoSpaceDN w:val="0"/>
              <w:adjustRightInd w:val="0"/>
              <w:jc w:val="left"/>
              <w:rPr>
                <w:rFonts w:eastAsia="仿宋"/>
                <w:sz w:val="24"/>
              </w:rPr>
            </w:pPr>
            <w:r>
              <w:rPr>
                <w:rFonts w:eastAsia="仿宋"/>
                <w:sz w:val="24"/>
              </w:rPr>
              <w:t>邮编</w:t>
            </w:r>
          </w:p>
        </w:tc>
        <w:tc>
          <w:tcPr>
            <w:tcW w:w="2693" w:type="dxa"/>
            <w:gridSpan w:val="2"/>
            <w:noWrap w:val="0"/>
            <w:vAlign w:val="top"/>
          </w:tcPr>
          <w:p>
            <w:pPr>
              <w:autoSpaceDE w:val="0"/>
              <w:autoSpaceDN w:val="0"/>
              <w:adjustRightInd w:val="0"/>
              <w:jc w:val="left"/>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9216" w:type="dxa"/>
            <w:gridSpan w:val="8"/>
            <w:noWrap w:val="0"/>
            <w:vAlign w:val="top"/>
          </w:tcPr>
          <w:p>
            <w:pPr>
              <w:autoSpaceDE w:val="0"/>
              <w:autoSpaceDN w:val="0"/>
              <w:adjustRightInd w:val="0"/>
              <w:jc w:val="center"/>
              <w:rPr>
                <w:rFonts w:eastAsia="仿宋"/>
                <w:sz w:val="24"/>
              </w:rPr>
            </w:pPr>
            <w:r>
              <w:rPr>
                <w:rFonts w:eastAsia="仿宋"/>
                <w:b/>
                <w:sz w:val="24"/>
              </w:rPr>
              <w:t>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3841" w:type="dxa"/>
            <w:gridSpan w:val="3"/>
            <w:vMerge w:val="restart"/>
            <w:noWrap w:val="0"/>
            <w:vAlign w:val="top"/>
          </w:tcPr>
          <w:p>
            <w:pPr>
              <w:autoSpaceDE w:val="0"/>
              <w:autoSpaceDN w:val="0"/>
              <w:adjustRightInd w:val="0"/>
              <w:jc w:val="left"/>
              <w:rPr>
                <w:rFonts w:eastAsia="仿宋"/>
                <w:sz w:val="24"/>
              </w:rPr>
            </w:pPr>
            <w:r>
              <w:rPr>
                <w:rFonts w:eastAsia="仿宋"/>
                <w:sz w:val="24"/>
              </w:rPr>
              <w:t>中央国债登记公司的一级托管账户</w:t>
            </w:r>
          </w:p>
        </w:tc>
        <w:tc>
          <w:tcPr>
            <w:tcW w:w="2335" w:type="dxa"/>
            <w:gridSpan w:val="2"/>
            <w:noWrap w:val="0"/>
            <w:vAlign w:val="top"/>
          </w:tcPr>
          <w:p>
            <w:pPr>
              <w:autoSpaceDE w:val="0"/>
              <w:autoSpaceDN w:val="0"/>
              <w:adjustRightInd w:val="0"/>
              <w:jc w:val="left"/>
              <w:rPr>
                <w:rFonts w:eastAsia="仿宋"/>
                <w:sz w:val="24"/>
              </w:rPr>
            </w:pPr>
            <w:r>
              <w:rPr>
                <w:rFonts w:eastAsia="仿宋"/>
                <w:sz w:val="24"/>
              </w:rPr>
              <w:t>户名</w:t>
            </w:r>
          </w:p>
        </w:tc>
        <w:tc>
          <w:tcPr>
            <w:tcW w:w="3040" w:type="dxa"/>
            <w:gridSpan w:val="3"/>
            <w:noWrap w:val="0"/>
            <w:vAlign w:val="top"/>
          </w:tcPr>
          <w:p>
            <w:pPr>
              <w:autoSpaceDE w:val="0"/>
              <w:autoSpaceDN w:val="0"/>
              <w:adjustRightInd w:val="0"/>
              <w:jc w:val="center"/>
              <w:rPr>
                <w:rFonts w:eastAsia="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3841" w:type="dxa"/>
            <w:gridSpan w:val="3"/>
            <w:vMerge w:val="continue"/>
            <w:noWrap w:val="0"/>
            <w:vAlign w:val="top"/>
          </w:tcPr>
          <w:p>
            <w:pPr>
              <w:autoSpaceDE w:val="0"/>
              <w:autoSpaceDN w:val="0"/>
              <w:adjustRightInd w:val="0"/>
              <w:jc w:val="left"/>
              <w:rPr>
                <w:rFonts w:eastAsia="仿宋"/>
                <w:sz w:val="24"/>
              </w:rPr>
            </w:pPr>
          </w:p>
        </w:tc>
        <w:tc>
          <w:tcPr>
            <w:tcW w:w="2335" w:type="dxa"/>
            <w:gridSpan w:val="2"/>
            <w:noWrap w:val="0"/>
            <w:vAlign w:val="top"/>
          </w:tcPr>
          <w:p>
            <w:pPr>
              <w:autoSpaceDE w:val="0"/>
              <w:autoSpaceDN w:val="0"/>
              <w:adjustRightInd w:val="0"/>
              <w:jc w:val="left"/>
              <w:rPr>
                <w:rFonts w:eastAsia="仿宋"/>
                <w:sz w:val="24"/>
              </w:rPr>
            </w:pPr>
            <w:r>
              <w:rPr>
                <w:rFonts w:eastAsia="仿宋"/>
                <w:sz w:val="24"/>
              </w:rPr>
              <w:t>账号</w:t>
            </w:r>
          </w:p>
        </w:tc>
        <w:tc>
          <w:tcPr>
            <w:tcW w:w="3040" w:type="dxa"/>
            <w:gridSpan w:val="3"/>
            <w:noWrap w:val="0"/>
            <w:vAlign w:val="top"/>
          </w:tcPr>
          <w:p>
            <w:pPr>
              <w:autoSpaceDE w:val="0"/>
              <w:autoSpaceDN w:val="0"/>
              <w:adjustRightInd w:val="0"/>
              <w:jc w:val="center"/>
              <w:rPr>
                <w:rFonts w:eastAsia="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3841" w:type="dxa"/>
            <w:gridSpan w:val="3"/>
            <w:vMerge w:val="restart"/>
            <w:noWrap w:val="0"/>
            <w:vAlign w:val="top"/>
          </w:tcPr>
          <w:p>
            <w:pPr>
              <w:autoSpaceDE w:val="0"/>
              <w:autoSpaceDN w:val="0"/>
              <w:adjustRightInd w:val="0"/>
              <w:jc w:val="left"/>
              <w:rPr>
                <w:rFonts w:eastAsia="仿宋"/>
                <w:sz w:val="24"/>
              </w:rPr>
            </w:pPr>
            <w:r>
              <w:rPr>
                <w:rFonts w:eastAsia="仿宋"/>
                <w:color w:val="333333"/>
                <w:sz w:val="24"/>
              </w:rPr>
              <w:t>中国证券登记公司上海分公司的托管账户</w:t>
            </w:r>
          </w:p>
        </w:tc>
        <w:tc>
          <w:tcPr>
            <w:tcW w:w="2335" w:type="dxa"/>
            <w:gridSpan w:val="2"/>
            <w:noWrap w:val="0"/>
            <w:vAlign w:val="top"/>
          </w:tcPr>
          <w:p>
            <w:pPr>
              <w:autoSpaceDE w:val="0"/>
              <w:autoSpaceDN w:val="0"/>
              <w:adjustRightInd w:val="0"/>
              <w:jc w:val="left"/>
              <w:rPr>
                <w:rFonts w:eastAsia="仿宋"/>
                <w:sz w:val="24"/>
              </w:rPr>
            </w:pPr>
            <w:r>
              <w:rPr>
                <w:rFonts w:eastAsia="仿宋"/>
                <w:sz w:val="24"/>
              </w:rPr>
              <w:t>户名</w:t>
            </w:r>
          </w:p>
        </w:tc>
        <w:tc>
          <w:tcPr>
            <w:tcW w:w="3040" w:type="dxa"/>
            <w:gridSpan w:val="3"/>
            <w:noWrap w:val="0"/>
            <w:vAlign w:val="top"/>
          </w:tcPr>
          <w:p>
            <w:pPr>
              <w:autoSpaceDE w:val="0"/>
              <w:autoSpaceDN w:val="0"/>
              <w:adjustRightInd w:val="0"/>
              <w:jc w:val="center"/>
              <w:rPr>
                <w:rFonts w:eastAsia="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3841" w:type="dxa"/>
            <w:gridSpan w:val="3"/>
            <w:vMerge w:val="continue"/>
            <w:noWrap w:val="0"/>
            <w:vAlign w:val="top"/>
          </w:tcPr>
          <w:p>
            <w:pPr>
              <w:autoSpaceDE w:val="0"/>
              <w:autoSpaceDN w:val="0"/>
              <w:adjustRightInd w:val="0"/>
              <w:jc w:val="left"/>
              <w:rPr>
                <w:rFonts w:eastAsia="仿宋"/>
                <w:sz w:val="24"/>
              </w:rPr>
            </w:pPr>
          </w:p>
        </w:tc>
        <w:tc>
          <w:tcPr>
            <w:tcW w:w="2335" w:type="dxa"/>
            <w:gridSpan w:val="2"/>
            <w:noWrap w:val="0"/>
            <w:vAlign w:val="top"/>
          </w:tcPr>
          <w:p>
            <w:pPr>
              <w:autoSpaceDE w:val="0"/>
              <w:autoSpaceDN w:val="0"/>
              <w:adjustRightInd w:val="0"/>
              <w:jc w:val="left"/>
              <w:rPr>
                <w:rFonts w:eastAsia="仿宋"/>
                <w:sz w:val="24"/>
              </w:rPr>
            </w:pPr>
            <w:r>
              <w:rPr>
                <w:rFonts w:eastAsia="仿宋"/>
                <w:sz w:val="24"/>
              </w:rPr>
              <w:t>账号</w:t>
            </w:r>
          </w:p>
        </w:tc>
        <w:tc>
          <w:tcPr>
            <w:tcW w:w="3040" w:type="dxa"/>
            <w:gridSpan w:val="3"/>
            <w:noWrap w:val="0"/>
            <w:vAlign w:val="top"/>
          </w:tcPr>
          <w:p>
            <w:pPr>
              <w:autoSpaceDE w:val="0"/>
              <w:autoSpaceDN w:val="0"/>
              <w:adjustRightInd w:val="0"/>
              <w:jc w:val="center"/>
              <w:rPr>
                <w:rFonts w:eastAsia="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9216" w:type="dxa"/>
            <w:gridSpan w:val="8"/>
            <w:noWrap w:val="0"/>
            <w:vAlign w:val="top"/>
          </w:tcPr>
          <w:p>
            <w:pPr>
              <w:autoSpaceDE w:val="0"/>
              <w:autoSpaceDN w:val="0"/>
              <w:adjustRightInd w:val="0"/>
              <w:jc w:val="center"/>
              <w:rPr>
                <w:rFonts w:eastAsia="仿宋"/>
                <w:b/>
                <w:sz w:val="24"/>
              </w:rPr>
            </w:pPr>
            <w:r>
              <w:rPr>
                <w:rFonts w:eastAsia="仿宋"/>
                <w:b/>
                <w:sz w:val="24"/>
              </w:rPr>
              <w:t>申购利率及申购金额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jc w:val="center"/>
        </w:trPr>
        <w:tc>
          <w:tcPr>
            <w:tcW w:w="2021" w:type="dxa"/>
            <w:vMerge w:val="restart"/>
            <w:noWrap w:val="0"/>
            <w:vAlign w:val="center"/>
          </w:tcPr>
          <w:p>
            <w:pPr>
              <w:autoSpaceDE w:val="0"/>
              <w:autoSpaceDN w:val="0"/>
              <w:adjustRightInd w:val="0"/>
              <w:jc w:val="center"/>
              <w:rPr>
                <w:rFonts w:eastAsia="仿宋"/>
                <w:sz w:val="24"/>
              </w:rPr>
            </w:pPr>
            <w:r>
              <w:rPr>
                <w:rFonts w:eastAsia="仿宋"/>
                <w:sz w:val="24"/>
              </w:rPr>
              <w:t>申购利率（%）</w:t>
            </w:r>
          </w:p>
        </w:tc>
        <w:tc>
          <w:tcPr>
            <w:tcW w:w="2021" w:type="dxa"/>
            <w:gridSpan w:val="3"/>
            <w:vMerge w:val="restart"/>
            <w:tcBorders>
              <w:right w:val="single" w:color="auto" w:sz="2" w:space="0"/>
            </w:tcBorders>
            <w:noWrap w:val="0"/>
            <w:vAlign w:val="center"/>
          </w:tcPr>
          <w:p>
            <w:pPr>
              <w:autoSpaceDE w:val="0"/>
              <w:autoSpaceDN w:val="0"/>
              <w:adjustRightInd w:val="0"/>
              <w:jc w:val="center"/>
              <w:rPr>
                <w:rFonts w:eastAsia="仿宋"/>
                <w:b/>
                <w:sz w:val="24"/>
              </w:rPr>
            </w:pPr>
            <w:r>
              <w:rPr>
                <w:rFonts w:eastAsia="仿宋"/>
                <w:sz w:val="24"/>
              </w:rPr>
              <w:t>申购金额（万元）</w:t>
            </w:r>
          </w:p>
        </w:tc>
        <w:tc>
          <w:tcPr>
            <w:tcW w:w="5174" w:type="dxa"/>
            <w:gridSpan w:val="4"/>
            <w:tcBorders>
              <w:left w:val="single" w:color="auto" w:sz="2" w:space="0"/>
              <w:bottom w:val="single" w:color="auto" w:sz="2" w:space="0"/>
            </w:tcBorders>
            <w:noWrap w:val="0"/>
            <w:vAlign w:val="center"/>
          </w:tcPr>
          <w:p>
            <w:pPr>
              <w:widowControl w:val="0"/>
              <w:autoSpaceDE w:val="0"/>
              <w:autoSpaceDN w:val="0"/>
              <w:adjustRightInd w:val="0"/>
              <w:spacing w:line="300" w:lineRule="exact"/>
              <w:jc w:val="center"/>
              <w:rPr>
                <w:rFonts w:ascii="Times New Roman" w:hAnsi="Times New Roman" w:eastAsia="仿宋" w:cs="Times New Roman"/>
                <w:color w:val="000000"/>
                <w:sz w:val="24"/>
                <w:szCs w:val="24"/>
                <w:lang w:val="en-US" w:eastAsia="zh-CN" w:bidi="ar-SA"/>
              </w:rPr>
            </w:pPr>
            <w:r>
              <w:rPr>
                <w:rFonts w:ascii="Times New Roman" w:hAnsi="Times New Roman" w:eastAsia="仿宋" w:cs="Times New Roman"/>
                <w:color w:val="000000"/>
                <w:sz w:val="24"/>
                <w:szCs w:val="24"/>
                <w:lang w:val="en-US" w:eastAsia="zh-CN" w:bidi="ar-SA"/>
              </w:rPr>
              <w:t>托管场所选择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021" w:type="dxa"/>
            <w:vMerge w:val="continue"/>
            <w:noWrap w:val="0"/>
            <w:vAlign w:val="center"/>
          </w:tcPr>
          <w:p>
            <w:pPr>
              <w:autoSpaceDE w:val="0"/>
              <w:autoSpaceDN w:val="0"/>
              <w:adjustRightInd w:val="0"/>
              <w:jc w:val="center"/>
              <w:rPr>
                <w:rFonts w:eastAsia="仿宋"/>
                <w:sz w:val="24"/>
              </w:rPr>
            </w:pPr>
          </w:p>
        </w:tc>
        <w:tc>
          <w:tcPr>
            <w:tcW w:w="2021" w:type="dxa"/>
            <w:gridSpan w:val="3"/>
            <w:vMerge w:val="continue"/>
            <w:tcBorders>
              <w:right w:val="single" w:color="auto" w:sz="2" w:space="0"/>
            </w:tcBorders>
            <w:noWrap w:val="0"/>
            <w:vAlign w:val="center"/>
          </w:tcPr>
          <w:p>
            <w:pPr>
              <w:autoSpaceDE w:val="0"/>
              <w:autoSpaceDN w:val="0"/>
              <w:adjustRightInd w:val="0"/>
              <w:jc w:val="center"/>
              <w:rPr>
                <w:rFonts w:eastAsia="仿宋"/>
                <w:sz w:val="24"/>
              </w:rPr>
            </w:pPr>
          </w:p>
        </w:tc>
        <w:tc>
          <w:tcPr>
            <w:tcW w:w="2598" w:type="dxa"/>
            <w:gridSpan w:val="3"/>
            <w:tcBorders>
              <w:top w:val="single" w:color="auto" w:sz="2" w:space="0"/>
              <w:left w:val="single" w:color="auto" w:sz="2" w:space="0"/>
              <w:right w:val="single" w:color="auto" w:sz="2" w:space="0"/>
            </w:tcBorders>
            <w:noWrap w:val="0"/>
            <w:vAlign w:val="center"/>
          </w:tcPr>
          <w:p>
            <w:pPr>
              <w:widowControl w:val="0"/>
              <w:autoSpaceDE w:val="0"/>
              <w:autoSpaceDN w:val="0"/>
              <w:adjustRightInd w:val="0"/>
              <w:spacing w:line="300" w:lineRule="exact"/>
              <w:jc w:val="center"/>
              <w:rPr>
                <w:rFonts w:ascii="Times New Roman" w:hAnsi="Times New Roman" w:eastAsia="仿宋" w:cs="Times New Roman"/>
                <w:color w:val="000000"/>
                <w:sz w:val="24"/>
                <w:szCs w:val="24"/>
                <w:highlight w:val="yellow"/>
                <w:lang w:val="en-US" w:eastAsia="zh-CN" w:bidi="ar-SA"/>
              </w:rPr>
            </w:pPr>
            <w:r>
              <w:rPr>
                <w:rFonts w:ascii="Times New Roman" w:hAnsi="Times New Roman" w:eastAsia="仿宋" w:cs="Times New Roman"/>
                <w:color w:val="000000"/>
                <w:sz w:val="24"/>
                <w:szCs w:val="24"/>
                <w:lang w:val="en-US" w:eastAsia="zh-CN" w:bidi="ar-SA"/>
              </w:rPr>
              <w:t>中央国债登记公司</w:t>
            </w:r>
          </w:p>
        </w:tc>
        <w:tc>
          <w:tcPr>
            <w:tcW w:w="2576" w:type="dxa"/>
            <w:tcBorders>
              <w:top w:val="single" w:color="auto" w:sz="2" w:space="0"/>
              <w:left w:val="single" w:color="auto" w:sz="2" w:space="0"/>
            </w:tcBorders>
            <w:noWrap w:val="0"/>
            <w:vAlign w:val="center"/>
          </w:tcPr>
          <w:p>
            <w:pPr>
              <w:widowControl w:val="0"/>
              <w:autoSpaceDE w:val="0"/>
              <w:autoSpaceDN w:val="0"/>
              <w:adjustRightInd w:val="0"/>
              <w:spacing w:line="300" w:lineRule="exact"/>
              <w:jc w:val="center"/>
              <w:rPr>
                <w:rFonts w:ascii="Times New Roman" w:hAnsi="Times New Roman" w:eastAsia="仿宋" w:cs="Times New Roman"/>
                <w:color w:val="000000"/>
                <w:sz w:val="24"/>
                <w:szCs w:val="24"/>
                <w:highlight w:val="yellow"/>
                <w:lang w:val="en-US" w:eastAsia="zh-CN" w:bidi="ar-SA"/>
              </w:rPr>
            </w:pPr>
            <w:r>
              <w:rPr>
                <w:rFonts w:ascii="Times New Roman" w:hAnsi="Times New Roman" w:eastAsia="仿宋" w:cs="Times New Roman"/>
                <w:color w:val="000000"/>
                <w:sz w:val="24"/>
                <w:szCs w:val="24"/>
                <w:lang w:val="en-US" w:eastAsia="zh-CN" w:bidi="ar-SA"/>
              </w:rPr>
              <w:t>中国证券登记公司上海分公司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2021" w:type="dxa"/>
            <w:noWrap w:val="0"/>
            <w:vAlign w:val="top"/>
          </w:tcPr>
          <w:p>
            <w:pPr>
              <w:autoSpaceDE w:val="0"/>
              <w:autoSpaceDN w:val="0"/>
              <w:adjustRightInd w:val="0"/>
              <w:jc w:val="left"/>
              <w:rPr>
                <w:rFonts w:eastAsia="仿宋"/>
                <w:sz w:val="24"/>
              </w:rPr>
            </w:pPr>
          </w:p>
        </w:tc>
        <w:tc>
          <w:tcPr>
            <w:tcW w:w="2021" w:type="dxa"/>
            <w:gridSpan w:val="3"/>
            <w:tcBorders>
              <w:right w:val="single" w:color="auto" w:sz="2" w:space="0"/>
            </w:tcBorders>
            <w:noWrap w:val="0"/>
            <w:vAlign w:val="top"/>
          </w:tcPr>
          <w:p>
            <w:pPr>
              <w:autoSpaceDE w:val="0"/>
              <w:autoSpaceDN w:val="0"/>
              <w:adjustRightInd w:val="0"/>
              <w:jc w:val="center"/>
              <w:rPr>
                <w:rFonts w:eastAsia="仿宋"/>
                <w:b/>
                <w:sz w:val="24"/>
              </w:rPr>
            </w:pPr>
          </w:p>
        </w:tc>
        <w:tc>
          <w:tcPr>
            <w:tcW w:w="2598" w:type="dxa"/>
            <w:gridSpan w:val="3"/>
            <w:tcBorders>
              <w:left w:val="single" w:color="auto" w:sz="2" w:space="0"/>
              <w:right w:val="single" w:color="auto" w:sz="2" w:space="0"/>
            </w:tcBorders>
            <w:noWrap w:val="0"/>
            <w:vAlign w:val="top"/>
          </w:tcPr>
          <w:p>
            <w:pPr>
              <w:autoSpaceDE w:val="0"/>
              <w:autoSpaceDN w:val="0"/>
              <w:adjustRightInd w:val="0"/>
              <w:jc w:val="center"/>
              <w:rPr>
                <w:rFonts w:eastAsia="仿宋"/>
                <w:b/>
                <w:sz w:val="24"/>
              </w:rPr>
            </w:pPr>
          </w:p>
        </w:tc>
        <w:tc>
          <w:tcPr>
            <w:tcW w:w="2576" w:type="dxa"/>
            <w:tcBorders>
              <w:left w:val="single" w:color="auto" w:sz="2" w:space="0"/>
            </w:tcBorders>
            <w:noWrap w:val="0"/>
            <w:vAlign w:val="top"/>
          </w:tcPr>
          <w:p>
            <w:pPr>
              <w:autoSpaceDE w:val="0"/>
              <w:autoSpaceDN w:val="0"/>
              <w:adjustRightInd w:val="0"/>
              <w:jc w:val="center"/>
              <w:rPr>
                <w:rFonts w:eastAsia="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2021" w:type="dxa"/>
            <w:noWrap w:val="0"/>
            <w:vAlign w:val="top"/>
          </w:tcPr>
          <w:p>
            <w:pPr>
              <w:autoSpaceDE w:val="0"/>
              <w:autoSpaceDN w:val="0"/>
              <w:adjustRightInd w:val="0"/>
              <w:jc w:val="left"/>
              <w:rPr>
                <w:rFonts w:eastAsia="仿宋"/>
                <w:sz w:val="24"/>
              </w:rPr>
            </w:pPr>
          </w:p>
        </w:tc>
        <w:tc>
          <w:tcPr>
            <w:tcW w:w="2021" w:type="dxa"/>
            <w:gridSpan w:val="3"/>
            <w:tcBorders>
              <w:right w:val="single" w:color="auto" w:sz="2" w:space="0"/>
            </w:tcBorders>
            <w:noWrap w:val="0"/>
            <w:vAlign w:val="top"/>
          </w:tcPr>
          <w:p>
            <w:pPr>
              <w:autoSpaceDE w:val="0"/>
              <w:autoSpaceDN w:val="0"/>
              <w:adjustRightInd w:val="0"/>
              <w:jc w:val="center"/>
              <w:rPr>
                <w:rFonts w:eastAsia="仿宋"/>
                <w:b/>
                <w:sz w:val="24"/>
              </w:rPr>
            </w:pPr>
          </w:p>
        </w:tc>
        <w:tc>
          <w:tcPr>
            <w:tcW w:w="2598" w:type="dxa"/>
            <w:gridSpan w:val="3"/>
            <w:tcBorders>
              <w:left w:val="single" w:color="auto" w:sz="2" w:space="0"/>
              <w:right w:val="single" w:color="auto" w:sz="2" w:space="0"/>
            </w:tcBorders>
            <w:noWrap w:val="0"/>
            <w:vAlign w:val="top"/>
          </w:tcPr>
          <w:p>
            <w:pPr>
              <w:autoSpaceDE w:val="0"/>
              <w:autoSpaceDN w:val="0"/>
              <w:adjustRightInd w:val="0"/>
              <w:jc w:val="center"/>
              <w:rPr>
                <w:rFonts w:eastAsia="仿宋"/>
                <w:b/>
                <w:sz w:val="24"/>
              </w:rPr>
            </w:pPr>
          </w:p>
        </w:tc>
        <w:tc>
          <w:tcPr>
            <w:tcW w:w="2576" w:type="dxa"/>
            <w:tcBorders>
              <w:left w:val="single" w:color="auto" w:sz="2" w:space="0"/>
            </w:tcBorders>
            <w:noWrap w:val="0"/>
            <w:vAlign w:val="top"/>
          </w:tcPr>
          <w:p>
            <w:pPr>
              <w:autoSpaceDE w:val="0"/>
              <w:autoSpaceDN w:val="0"/>
              <w:adjustRightInd w:val="0"/>
              <w:jc w:val="center"/>
              <w:rPr>
                <w:rFonts w:eastAsia="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2021" w:type="dxa"/>
            <w:noWrap w:val="0"/>
            <w:vAlign w:val="top"/>
          </w:tcPr>
          <w:p>
            <w:pPr>
              <w:autoSpaceDE w:val="0"/>
              <w:autoSpaceDN w:val="0"/>
              <w:adjustRightInd w:val="0"/>
              <w:jc w:val="left"/>
              <w:rPr>
                <w:rFonts w:eastAsia="仿宋"/>
                <w:sz w:val="24"/>
              </w:rPr>
            </w:pPr>
          </w:p>
        </w:tc>
        <w:tc>
          <w:tcPr>
            <w:tcW w:w="2021" w:type="dxa"/>
            <w:gridSpan w:val="3"/>
            <w:tcBorders>
              <w:right w:val="single" w:color="auto" w:sz="2" w:space="0"/>
            </w:tcBorders>
            <w:noWrap w:val="0"/>
            <w:vAlign w:val="top"/>
          </w:tcPr>
          <w:p>
            <w:pPr>
              <w:autoSpaceDE w:val="0"/>
              <w:autoSpaceDN w:val="0"/>
              <w:adjustRightInd w:val="0"/>
              <w:jc w:val="center"/>
              <w:rPr>
                <w:rFonts w:eastAsia="仿宋"/>
                <w:b/>
                <w:sz w:val="24"/>
              </w:rPr>
            </w:pPr>
          </w:p>
        </w:tc>
        <w:tc>
          <w:tcPr>
            <w:tcW w:w="2598" w:type="dxa"/>
            <w:gridSpan w:val="3"/>
            <w:tcBorders>
              <w:left w:val="single" w:color="auto" w:sz="2" w:space="0"/>
              <w:right w:val="single" w:color="auto" w:sz="2" w:space="0"/>
            </w:tcBorders>
            <w:noWrap w:val="0"/>
            <w:vAlign w:val="top"/>
          </w:tcPr>
          <w:p>
            <w:pPr>
              <w:autoSpaceDE w:val="0"/>
              <w:autoSpaceDN w:val="0"/>
              <w:adjustRightInd w:val="0"/>
              <w:jc w:val="center"/>
              <w:rPr>
                <w:rFonts w:eastAsia="仿宋"/>
                <w:b/>
                <w:sz w:val="24"/>
              </w:rPr>
            </w:pPr>
          </w:p>
        </w:tc>
        <w:tc>
          <w:tcPr>
            <w:tcW w:w="2576" w:type="dxa"/>
            <w:tcBorders>
              <w:left w:val="single" w:color="auto" w:sz="2" w:space="0"/>
            </w:tcBorders>
            <w:noWrap w:val="0"/>
            <w:vAlign w:val="top"/>
          </w:tcPr>
          <w:p>
            <w:pPr>
              <w:autoSpaceDE w:val="0"/>
              <w:autoSpaceDN w:val="0"/>
              <w:adjustRightInd w:val="0"/>
              <w:jc w:val="center"/>
              <w:rPr>
                <w:rFonts w:eastAsia="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2021" w:type="dxa"/>
            <w:noWrap w:val="0"/>
            <w:vAlign w:val="top"/>
          </w:tcPr>
          <w:p>
            <w:pPr>
              <w:autoSpaceDE w:val="0"/>
              <w:autoSpaceDN w:val="0"/>
              <w:adjustRightInd w:val="0"/>
              <w:jc w:val="left"/>
              <w:rPr>
                <w:rFonts w:eastAsia="仿宋"/>
                <w:sz w:val="24"/>
              </w:rPr>
            </w:pPr>
          </w:p>
        </w:tc>
        <w:tc>
          <w:tcPr>
            <w:tcW w:w="2021" w:type="dxa"/>
            <w:gridSpan w:val="3"/>
            <w:tcBorders>
              <w:right w:val="single" w:color="auto" w:sz="2" w:space="0"/>
            </w:tcBorders>
            <w:noWrap w:val="0"/>
            <w:vAlign w:val="top"/>
          </w:tcPr>
          <w:p>
            <w:pPr>
              <w:autoSpaceDE w:val="0"/>
              <w:autoSpaceDN w:val="0"/>
              <w:adjustRightInd w:val="0"/>
              <w:jc w:val="center"/>
              <w:rPr>
                <w:rFonts w:eastAsia="仿宋"/>
                <w:b/>
                <w:sz w:val="24"/>
              </w:rPr>
            </w:pPr>
          </w:p>
        </w:tc>
        <w:tc>
          <w:tcPr>
            <w:tcW w:w="2598" w:type="dxa"/>
            <w:gridSpan w:val="3"/>
            <w:tcBorders>
              <w:left w:val="single" w:color="auto" w:sz="2" w:space="0"/>
              <w:right w:val="single" w:color="auto" w:sz="2" w:space="0"/>
            </w:tcBorders>
            <w:noWrap w:val="0"/>
            <w:vAlign w:val="top"/>
          </w:tcPr>
          <w:p>
            <w:pPr>
              <w:autoSpaceDE w:val="0"/>
              <w:autoSpaceDN w:val="0"/>
              <w:adjustRightInd w:val="0"/>
              <w:jc w:val="center"/>
              <w:rPr>
                <w:rFonts w:eastAsia="仿宋"/>
                <w:b/>
                <w:sz w:val="24"/>
              </w:rPr>
            </w:pPr>
          </w:p>
        </w:tc>
        <w:tc>
          <w:tcPr>
            <w:tcW w:w="2576" w:type="dxa"/>
            <w:tcBorders>
              <w:left w:val="single" w:color="auto" w:sz="2" w:space="0"/>
            </w:tcBorders>
            <w:noWrap w:val="0"/>
            <w:vAlign w:val="top"/>
          </w:tcPr>
          <w:p>
            <w:pPr>
              <w:autoSpaceDE w:val="0"/>
              <w:autoSpaceDN w:val="0"/>
              <w:adjustRightInd w:val="0"/>
              <w:jc w:val="center"/>
              <w:rPr>
                <w:rFonts w:eastAsia="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9216" w:type="dxa"/>
            <w:gridSpan w:val="8"/>
            <w:noWrap w:val="0"/>
            <w:vAlign w:val="top"/>
          </w:tcPr>
          <w:p>
            <w:pPr>
              <w:autoSpaceDE w:val="0"/>
              <w:autoSpaceDN w:val="0"/>
              <w:adjustRightInd w:val="0"/>
              <w:rPr>
                <w:rFonts w:eastAsia="仿宋"/>
                <w:b/>
                <w:szCs w:val="21"/>
              </w:rPr>
            </w:pPr>
            <w:r>
              <w:rPr>
                <w:rFonts w:hint="eastAsia" w:eastAsia="仿宋"/>
                <w:szCs w:val="21"/>
              </w:rPr>
              <w:t>1、本期债券簿记建档利率</w:t>
            </w:r>
            <w:r>
              <w:rPr>
                <w:rFonts w:hint="eastAsia" w:eastAsia="仿宋"/>
                <w:szCs w:val="21"/>
                <w:lang w:val="en-US" w:eastAsia="zh-CN"/>
              </w:rPr>
              <w:t xml:space="preserve">上限为4.50 </w:t>
            </w:r>
            <w:r>
              <w:rPr>
                <w:rFonts w:hint="eastAsia" w:eastAsia="仿宋"/>
                <w:szCs w:val="21"/>
              </w:rPr>
              <w:t>%；2、票面利率应在簿记建档利率区间内由低到高填写，最小变动单位为0.01%；3、每一申购利率对应的为单一申购金额。当最终确定的基本利率不低于某一申购利率时，投资者的最大获配量为低于该申购利率（包含此申购利率）的所有标位叠加量；4、每个申购利率上的申购金额不得少于</w:t>
            </w:r>
            <w:r>
              <w:rPr>
                <w:rFonts w:hint="eastAsia" w:eastAsia="仿宋"/>
                <w:szCs w:val="21"/>
                <w:lang w:val="en-US" w:eastAsia="zh-CN"/>
              </w:rPr>
              <w:t>100</w:t>
            </w:r>
            <w:r>
              <w:rPr>
                <w:rFonts w:hint="eastAsia" w:eastAsia="仿宋"/>
                <w:szCs w:val="21"/>
              </w:rPr>
              <w:t>万元（含</w:t>
            </w:r>
            <w:r>
              <w:rPr>
                <w:rFonts w:hint="eastAsia" w:eastAsia="仿宋"/>
                <w:szCs w:val="21"/>
                <w:lang w:val="en-US" w:eastAsia="zh-CN"/>
              </w:rPr>
              <w:t>100</w:t>
            </w:r>
            <w:r>
              <w:rPr>
                <w:rFonts w:hint="eastAsia" w:eastAsia="仿宋"/>
                <w:szCs w:val="21"/>
              </w:rPr>
              <w:t>万元），并且为100万元的整数倍，且不超过本期债券的发行总额（即</w:t>
            </w:r>
            <w:r>
              <w:rPr>
                <w:rFonts w:hint="eastAsia" w:eastAsia="仿宋"/>
                <w:szCs w:val="21"/>
                <w:lang w:val="en-US" w:eastAsia="zh-CN"/>
              </w:rPr>
              <w:t>7.40</w:t>
            </w:r>
            <w:r>
              <w:rPr>
                <w:rFonts w:hint="eastAsia" w:eastAsia="仿宋"/>
                <w:szCs w:val="21"/>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9216" w:type="dxa"/>
            <w:gridSpan w:val="8"/>
            <w:tcBorders>
              <w:left w:val="nil"/>
              <w:bottom w:val="nil"/>
              <w:right w:val="nil"/>
            </w:tcBorders>
            <w:noWrap w:val="0"/>
            <w:vAlign w:val="top"/>
          </w:tcPr>
          <w:p>
            <w:pPr>
              <w:autoSpaceDE w:val="0"/>
              <w:autoSpaceDN w:val="0"/>
              <w:adjustRightInd w:val="0"/>
              <w:rPr>
                <w:rFonts w:eastAsia="仿宋"/>
                <w:sz w:val="24"/>
              </w:rPr>
            </w:pPr>
            <w:r>
              <w:rPr>
                <w:rFonts w:eastAsia="仿宋"/>
                <w:b/>
                <w:sz w:val="24"/>
              </w:rPr>
              <w:t>本单位已充分了解本次</w:t>
            </w:r>
            <w:r>
              <w:rPr>
                <w:rFonts w:hint="eastAsia" w:eastAsia="仿宋"/>
                <w:b/>
                <w:sz w:val="24"/>
                <w:lang w:eastAsia="zh-CN"/>
              </w:rPr>
              <w:t>2023年第一期武汉临空港投资集团有限公司公司债券</w:t>
            </w:r>
            <w:r>
              <w:rPr>
                <w:rFonts w:eastAsia="仿宋"/>
                <w:b/>
                <w:sz w:val="24"/>
              </w:rPr>
              <w:t>发行有关内容和细节，在此做出与《&lt;</w:t>
            </w:r>
            <w:r>
              <w:rPr>
                <w:rFonts w:hint="eastAsia" w:eastAsia="仿宋"/>
                <w:b/>
                <w:sz w:val="24"/>
                <w:lang w:eastAsia="zh-CN"/>
              </w:rPr>
              <w:t>2023年第一期武汉临空港投资集团有限公司公司债券</w:t>
            </w:r>
            <w:r>
              <w:rPr>
                <w:rFonts w:eastAsia="仿宋"/>
                <w:b/>
                <w:sz w:val="24"/>
              </w:rPr>
              <w:t>申购意向函&gt;投资者的陈述、承诺和保证》（见附件</w:t>
            </w:r>
            <w:r>
              <w:rPr>
                <w:rFonts w:hint="eastAsia" w:eastAsia="仿宋"/>
                <w:b/>
                <w:sz w:val="24"/>
              </w:rPr>
              <w:t>2</w:t>
            </w:r>
            <w:r>
              <w:rPr>
                <w:rFonts w:eastAsia="仿宋"/>
                <w:b/>
                <w:sz w:val="24"/>
              </w:rPr>
              <w:t>）相同的陈述、承诺和保证。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9216" w:type="dxa"/>
            <w:gridSpan w:val="8"/>
            <w:tcBorders>
              <w:top w:val="nil"/>
              <w:left w:val="nil"/>
              <w:bottom w:val="nil"/>
              <w:right w:val="nil"/>
            </w:tcBorders>
            <w:noWrap w:val="0"/>
            <w:vAlign w:val="top"/>
          </w:tcPr>
          <w:p>
            <w:pPr>
              <w:autoSpaceDE w:val="0"/>
              <w:autoSpaceDN w:val="0"/>
              <w:adjustRightInd w:val="0"/>
              <w:spacing w:line="400" w:lineRule="exact"/>
              <w:jc w:val="right"/>
              <w:rPr>
                <w:rFonts w:eastAsia="仿宋"/>
                <w:sz w:val="24"/>
              </w:rPr>
            </w:pPr>
            <w:r>
              <w:rPr>
                <w:rFonts w:eastAsia="仿宋"/>
                <w:sz w:val="24"/>
              </w:rPr>
              <w:t>（单位</w:t>
            </w:r>
            <w:r>
              <w:rPr>
                <w:rFonts w:hint="eastAsia" w:eastAsia="仿宋"/>
                <w:sz w:val="24"/>
              </w:rPr>
              <w:t>印</w:t>
            </w:r>
            <w:r>
              <w:rPr>
                <w:rFonts w:eastAsia="仿宋"/>
                <w:sz w:val="24"/>
              </w:rPr>
              <w:t>章）</w:t>
            </w:r>
          </w:p>
          <w:p>
            <w:pPr>
              <w:autoSpaceDE w:val="0"/>
              <w:autoSpaceDN w:val="0"/>
              <w:adjustRightInd w:val="0"/>
              <w:spacing w:line="400" w:lineRule="exact"/>
              <w:jc w:val="right"/>
              <w:rPr>
                <w:rFonts w:eastAsia="仿宋"/>
                <w:b/>
                <w:bCs/>
                <w:sz w:val="24"/>
              </w:rPr>
            </w:pPr>
            <w:r>
              <w:rPr>
                <w:rFonts w:eastAsia="仿宋"/>
                <w:sz w:val="24"/>
              </w:rPr>
              <w:t>年  月  日</w:t>
            </w:r>
          </w:p>
        </w:tc>
      </w:tr>
    </w:tbl>
    <w:p>
      <w:pPr>
        <w:autoSpaceDE w:val="0"/>
        <w:autoSpaceDN w:val="0"/>
        <w:adjustRightInd w:val="0"/>
        <w:spacing w:line="360" w:lineRule="auto"/>
        <w:jc w:val="left"/>
        <w:rPr>
          <w:rFonts w:hint="eastAsia" w:eastAsia="仿宋"/>
          <w:color w:val="000000"/>
          <w:kern w:val="0"/>
          <w:sz w:val="24"/>
        </w:rPr>
        <w:sectPr>
          <w:pgSz w:w="11906" w:h="16838"/>
          <w:pgMar w:top="1440" w:right="1800" w:bottom="1440" w:left="1800" w:header="851" w:footer="992" w:gutter="0"/>
          <w:cols w:space="720" w:num="1"/>
          <w:docGrid w:type="lines" w:linePitch="312" w:charSpace="0"/>
        </w:sectPr>
      </w:pPr>
    </w:p>
    <w:p>
      <w:pPr>
        <w:autoSpaceDE w:val="0"/>
        <w:autoSpaceDN w:val="0"/>
        <w:adjustRightInd w:val="0"/>
        <w:jc w:val="left"/>
        <w:rPr>
          <w:rFonts w:eastAsia="仿宋"/>
          <w:b/>
          <w:color w:val="000000"/>
          <w:kern w:val="0"/>
          <w:sz w:val="24"/>
        </w:rPr>
      </w:pPr>
      <w:r>
        <w:rPr>
          <w:rFonts w:eastAsia="仿宋"/>
          <w:b/>
          <w:color w:val="000000"/>
          <w:kern w:val="0"/>
          <w:sz w:val="24"/>
        </w:rPr>
        <w:t>附件2</w:t>
      </w:r>
    </w:p>
    <w:p>
      <w:pPr>
        <w:autoSpaceDE w:val="0"/>
        <w:autoSpaceDN w:val="0"/>
        <w:adjustRightInd w:val="0"/>
        <w:jc w:val="left"/>
        <w:rPr>
          <w:rFonts w:eastAsia="仿宋"/>
          <w:color w:val="000000"/>
          <w:kern w:val="0"/>
          <w:szCs w:val="21"/>
        </w:rPr>
      </w:pPr>
      <w:r>
        <w:rPr>
          <w:rFonts w:eastAsia="仿宋"/>
          <w:color w:val="000000"/>
          <w:kern w:val="0"/>
          <w:szCs w:val="21"/>
        </w:rPr>
        <w:t>提示：申购人向簿记管理人提交申购意向函时不必传真本陈述、承诺和保证。</w:t>
      </w:r>
    </w:p>
    <w:p>
      <w:pPr>
        <w:autoSpaceDE w:val="0"/>
        <w:autoSpaceDN w:val="0"/>
        <w:adjustRightInd w:val="0"/>
        <w:jc w:val="center"/>
        <w:rPr>
          <w:rFonts w:eastAsia="仿宋"/>
          <w:b/>
          <w:color w:val="000000"/>
          <w:kern w:val="0"/>
          <w:sz w:val="24"/>
        </w:rPr>
      </w:pPr>
      <w:r>
        <w:rPr>
          <w:rFonts w:eastAsia="仿宋"/>
          <w:b/>
          <w:color w:val="000000"/>
          <w:kern w:val="0"/>
          <w:sz w:val="24"/>
        </w:rPr>
        <w:t>《</w:t>
      </w:r>
      <w:r>
        <w:rPr>
          <w:rFonts w:hint="eastAsia" w:eastAsia="仿宋"/>
          <w:b/>
          <w:sz w:val="24"/>
          <w:lang w:eastAsia="zh-CN"/>
        </w:rPr>
        <w:t>2023年第一期武汉临空港投资集团有限公司公司债券</w:t>
      </w:r>
      <w:r>
        <w:rPr>
          <w:rFonts w:eastAsia="仿宋"/>
          <w:b/>
          <w:color w:val="000000"/>
          <w:kern w:val="0"/>
          <w:sz w:val="24"/>
        </w:rPr>
        <w:t>申购意向函》申购人的陈述、承诺和保证</w:t>
      </w:r>
    </w:p>
    <w:p>
      <w:pPr>
        <w:autoSpaceDE w:val="0"/>
        <w:autoSpaceDN w:val="0"/>
        <w:adjustRightInd w:val="0"/>
        <w:ind w:firstLine="480" w:firstLineChars="200"/>
        <w:rPr>
          <w:rFonts w:eastAsia="仿宋"/>
          <w:color w:val="000000"/>
          <w:kern w:val="0"/>
          <w:sz w:val="24"/>
        </w:rPr>
      </w:pPr>
      <w:r>
        <w:rPr>
          <w:rFonts w:eastAsia="仿宋"/>
          <w:color w:val="000000"/>
          <w:kern w:val="0"/>
          <w:sz w:val="24"/>
        </w:rPr>
        <w:t>1、本申购人依法具有购买本《</w:t>
      </w:r>
      <w:r>
        <w:rPr>
          <w:rFonts w:hint="eastAsia" w:eastAsia="仿宋"/>
          <w:color w:val="000000"/>
          <w:kern w:val="0"/>
          <w:sz w:val="24"/>
          <w:lang w:eastAsia="zh-CN"/>
        </w:rPr>
        <w:t>2023年第一期武汉临空港投资集团有限公司公司债券</w:t>
      </w:r>
      <w:r>
        <w:rPr>
          <w:rFonts w:eastAsia="仿宋"/>
          <w:color w:val="000000"/>
          <w:kern w:val="0"/>
          <w:sz w:val="24"/>
        </w:rPr>
        <w:t>申购意向函》（简称“申购意向函”）承诺申购总金额的</w:t>
      </w:r>
      <w:r>
        <w:rPr>
          <w:rFonts w:hint="eastAsia" w:eastAsia="仿宋"/>
          <w:color w:val="000000"/>
          <w:kern w:val="0"/>
          <w:sz w:val="24"/>
          <w:lang w:eastAsia="zh-CN"/>
        </w:rPr>
        <w:t>2023年第一期武汉临空港投资集团有限公司公司债券</w:t>
      </w:r>
      <w:r>
        <w:rPr>
          <w:rFonts w:eastAsia="仿宋"/>
          <w:color w:val="000000"/>
          <w:kern w:val="0"/>
          <w:sz w:val="24"/>
        </w:rPr>
        <w:t>的资格，有权向簿记管理人提交本申购意向函。并且，在任何适用的法律、法规和国家有关主管部门的规定要求的情况下，已就此取得所有必要的批准、核准、同意、决议和内部批准，并将在申购</w:t>
      </w:r>
      <w:r>
        <w:rPr>
          <w:rFonts w:hint="eastAsia" w:eastAsia="仿宋"/>
          <w:color w:val="000000"/>
          <w:kern w:val="0"/>
          <w:sz w:val="24"/>
          <w:lang w:eastAsia="zh-CN"/>
        </w:rPr>
        <w:t>2023年第一期武汉临空港投资集团有限公司公司债券</w:t>
      </w:r>
      <w:r>
        <w:rPr>
          <w:rFonts w:eastAsia="仿宋"/>
          <w:color w:val="000000"/>
          <w:kern w:val="0"/>
          <w:sz w:val="24"/>
        </w:rPr>
        <w:t>后按相关法律、法规的要求办理必要的手续。</w:t>
      </w:r>
    </w:p>
    <w:p>
      <w:pPr>
        <w:autoSpaceDE w:val="0"/>
        <w:autoSpaceDN w:val="0"/>
        <w:adjustRightInd w:val="0"/>
        <w:ind w:firstLine="480" w:firstLineChars="200"/>
        <w:rPr>
          <w:rFonts w:eastAsia="仿宋"/>
          <w:color w:val="000000"/>
          <w:kern w:val="0"/>
          <w:sz w:val="24"/>
        </w:rPr>
      </w:pPr>
      <w:r>
        <w:rPr>
          <w:rFonts w:eastAsia="仿宋"/>
          <w:color w:val="000000"/>
          <w:kern w:val="0"/>
          <w:sz w:val="24"/>
        </w:rPr>
        <w:t>2、本申购人用于申购</w:t>
      </w:r>
      <w:r>
        <w:rPr>
          <w:rFonts w:hint="eastAsia" w:eastAsia="仿宋"/>
          <w:color w:val="000000"/>
          <w:kern w:val="0"/>
          <w:sz w:val="24"/>
          <w:lang w:eastAsia="zh-CN"/>
        </w:rPr>
        <w:t>2023年第一期武汉临空港投资集团有限公司公司债券</w:t>
      </w:r>
      <w:r>
        <w:rPr>
          <w:rFonts w:eastAsia="仿宋"/>
          <w:color w:val="000000"/>
          <w:kern w:val="0"/>
          <w:sz w:val="24"/>
        </w:rPr>
        <w:t>的资金来源合法，不违反《企业债券管理条例》及其他适用的法律、法规和国家有关主管部门的规定。</w:t>
      </w:r>
    </w:p>
    <w:p>
      <w:pPr>
        <w:autoSpaceDE w:val="0"/>
        <w:autoSpaceDN w:val="0"/>
        <w:adjustRightInd w:val="0"/>
        <w:ind w:firstLine="480" w:firstLineChars="200"/>
        <w:rPr>
          <w:rFonts w:eastAsia="仿宋"/>
          <w:color w:val="000000"/>
          <w:kern w:val="0"/>
          <w:sz w:val="24"/>
        </w:rPr>
      </w:pPr>
      <w:r>
        <w:rPr>
          <w:rFonts w:eastAsia="仿宋"/>
          <w:color w:val="000000"/>
          <w:kern w:val="0"/>
          <w:sz w:val="24"/>
        </w:rPr>
        <w:t>3、本申购意向函项下的全部申购资金系从本申购人的银行账户划出。</w:t>
      </w:r>
    </w:p>
    <w:p>
      <w:pPr>
        <w:autoSpaceDE w:val="0"/>
        <w:autoSpaceDN w:val="0"/>
        <w:adjustRightInd w:val="0"/>
        <w:ind w:firstLine="480" w:firstLineChars="200"/>
        <w:rPr>
          <w:rFonts w:eastAsia="仿宋"/>
          <w:color w:val="000000"/>
          <w:kern w:val="0"/>
          <w:sz w:val="24"/>
        </w:rPr>
      </w:pPr>
      <w:r>
        <w:rPr>
          <w:rFonts w:eastAsia="仿宋"/>
          <w:color w:val="000000"/>
          <w:kern w:val="0"/>
          <w:sz w:val="24"/>
        </w:rPr>
        <w:t>4、本投申购人保证并确认，本申购人向簿记管理人发出的资料真实、准确、完整、有效。</w:t>
      </w:r>
    </w:p>
    <w:p>
      <w:pPr>
        <w:autoSpaceDE w:val="0"/>
        <w:autoSpaceDN w:val="0"/>
        <w:adjustRightInd w:val="0"/>
        <w:ind w:firstLine="480" w:firstLineChars="200"/>
        <w:rPr>
          <w:rFonts w:eastAsia="仿宋"/>
          <w:color w:val="000000"/>
          <w:kern w:val="0"/>
          <w:sz w:val="24"/>
        </w:rPr>
      </w:pPr>
      <w:r>
        <w:rPr>
          <w:rFonts w:eastAsia="仿宋"/>
          <w:color w:val="000000"/>
          <w:kern w:val="0"/>
          <w:sz w:val="24"/>
        </w:rPr>
        <w:t>5、本申购人已经完全了解并愿意接受《</w:t>
      </w:r>
      <w:r>
        <w:rPr>
          <w:rFonts w:hint="eastAsia" w:eastAsia="仿宋"/>
          <w:color w:val="000000"/>
          <w:kern w:val="0"/>
          <w:sz w:val="24"/>
          <w:lang w:eastAsia="zh-CN"/>
        </w:rPr>
        <w:t>2023年第一期武汉临空港投资集团有限公司公司债券</w:t>
      </w:r>
      <w:r>
        <w:rPr>
          <w:rFonts w:eastAsia="仿宋"/>
          <w:color w:val="000000"/>
          <w:kern w:val="0"/>
          <w:sz w:val="24"/>
        </w:rPr>
        <w:t>募集说明书》及其摘要、《</w:t>
      </w:r>
      <w:r>
        <w:rPr>
          <w:rFonts w:hint="eastAsia" w:eastAsia="仿宋"/>
          <w:color w:val="000000"/>
          <w:kern w:val="0"/>
          <w:sz w:val="24"/>
          <w:lang w:eastAsia="zh-CN"/>
        </w:rPr>
        <w:t>2023年第一期武汉临空港投资集团有限公司公司债券</w:t>
      </w:r>
      <w:r>
        <w:rPr>
          <w:rFonts w:eastAsia="仿宋"/>
          <w:color w:val="000000"/>
          <w:kern w:val="0"/>
          <w:sz w:val="24"/>
        </w:rPr>
        <w:t>申购和配售办法说明》（简称“申购和配售办法说明”）的有关规定和要求，也充分了解并愿意承担投资和交易风险，并确认该有关规定和要求对本申购人具有约束力，承诺按照申购和配售办法说明的要求填写本申购意向函。</w:t>
      </w:r>
    </w:p>
    <w:p>
      <w:pPr>
        <w:autoSpaceDE w:val="0"/>
        <w:autoSpaceDN w:val="0"/>
        <w:adjustRightInd w:val="0"/>
        <w:ind w:firstLine="480" w:firstLineChars="200"/>
        <w:rPr>
          <w:rFonts w:eastAsia="仿宋"/>
          <w:color w:val="000000"/>
          <w:kern w:val="0"/>
          <w:sz w:val="24"/>
        </w:rPr>
      </w:pPr>
      <w:r>
        <w:rPr>
          <w:rFonts w:eastAsia="仿宋"/>
          <w:color w:val="000000"/>
          <w:kern w:val="0"/>
          <w:sz w:val="24"/>
        </w:rPr>
        <w:t>6、本申购人同意并确认，本申购意向函一经发出，即对本申购人具有法律效力，未经簿记管理人许可不得修改、撤销或撤回。</w:t>
      </w:r>
    </w:p>
    <w:p>
      <w:pPr>
        <w:autoSpaceDE w:val="0"/>
        <w:autoSpaceDN w:val="0"/>
        <w:adjustRightInd w:val="0"/>
        <w:ind w:firstLine="480" w:firstLineChars="200"/>
        <w:rPr>
          <w:rFonts w:eastAsia="仿宋"/>
          <w:color w:val="000000"/>
          <w:kern w:val="0"/>
          <w:sz w:val="24"/>
        </w:rPr>
      </w:pPr>
      <w:r>
        <w:rPr>
          <w:rFonts w:eastAsia="仿宋"/>
          <w:color w:val="000000"/>
          <w:kern w:val="0"/>
          <w:sz w:val="24"/>
        </w:rPr>
        <w:t>7、本申购人同意簿记管理人根据簿记建档等情况确定本申购人的具体分销金额，并接受所确定的最终债券分销额度；簿记管理人向本申购人发出了《</w:t>
      </w:r>
      <w:r>
        <w:rPr>
          <w:rFonts w:hint="eastAsia" w:eastAsia="仿宋"/>
          <w:color w:val="000000"/>
          <w:kern w:val="0"/>
          <w:sz w:val="24"/>
          <w:lang w:eastAsia="zh-CN"/>
        </w:rPr>
        <w:t>2023年第一期武汉临空港投资集团有限公司公司债券</w:t>
      </w:r>
      <w:r>
        <w:rPr>
          <w:rFonts w:eastAsia="仿宋"/>
          <w:color w:val="000000"/>
          <w:kern w:val="0"/>
          <w:sz w:val="24"/>
        </w:rPr>
        <w:t>分销协议》（简称“分销协议”），即构成对本申购意向函的承诺。</w:t>
      </w:r>
    </w:p>
    <w:p>
      <w:pPr>
        <w:autoSpaceDE w:val="0"/>
        <w:autoSpaceDN w:val="0"/>
        <w:adjustRightInd w:val="0"/>
        <w:ind w:firstLine="480" w:firstLineChars="200"/>
        <w:rPr>
          <w:rFonts w:eastAsia="仿宋"/>
          <w:color w:val="000000"/>
          <w:kern w:val="0"/>
          <w:sz w:val="24"/>
        </w:rPr>
      </w:pPr>
      <w:r>
        <w:rPr>
          <w:rFonts w:eastAsia="仿宋"/>
          <w:color w:val="000000"/>
          <w:kern w:val="0"/>
          <w:sz w:val="24"/>
        </w:rPr>
        <w:t>8、本申购人理解并接受，本申购人如果获得配售或分销，则本申购人即有义务按照分销协议规定的时间、金额和方式，将认购款足额划至指定的划款账户，并按照分销协议要求及时提交有关原件。如果本申购人未能按照分销协议规定的时间、金额和方式，将认购款足额划至指定的划款账户，簿记建档管理人有权处置本申购人申购意向函项下的全部债券，同时，本申购人同意就逾时未划部分按每日万分之五的比例向簿记建档管理人支付违约金，并赔偿簿记建档管理人由此遭受的损失。</w:t>
      </w:r>
    </w:p>
    <w:p>
      <w:pPr>
        <w:autoSpaceDE w:val="0"/>
        <w:autoSpaceDN w:val="0"/>
        <w:adjustRightInd w:val="0"/>
        <w:ind w:firstLine="480" w:firstLineChars="200"/>
        <w:rPr>
          <w:rFonts w:eastAsia="仿宋"/>
          <w:color w:val="000000"/>
          <w:kern w:val="0"/>
          <w:sz w:val="24"/>
        </w:rPr>
      </w:pPr>
      <w:r>
        <w:rPr>
          <w:rFonts w:eastAsia="仿宋"/>
          <w:color w:val="000000"/>
          <w:kern w:val="0"/>
          <w:sz w:val="24"/>
        </w:rPr>
        <w:t>9、本申购意向函中使用的已在申购和配售办法说明中作出定义的词语，具有申购和配售办法说明规定的含义。</w:t>
      </w:r>
    </w:p>
    <w:p>
      <w:pPr>
        <w:autoSpaceDE w:val="0"/>
        <w:autoSpaceDN w:val="0"/>
        <w:adjustRightInd w:val="0"/>
        <w:ind w:firstLine="480" w:firstLineChars="200"/>
        <w:rPr>
          <w:rFonts w:eastAsia="仿宋"/>
          <w:color w:val="000000"/>
          <w:kern w:val="0"/>
          <w:sz w:val="24"/>
        </w:rPr>
      </w:pPr>
      <w:r>
        <w:rPr>
          <w:rFonts w:eastAsia="仿宋"/>
          <w:color w:val="000000"/>
          <w:kern w:val="0"/>
          <w:sz w:val="24"/>
        </w:rPr>
        <w:t>10、除主承销商和直接投资人以外的承销团成员及其他投资人须以传真方式参与本次簿记建档过程，以其他方式传送、送达一概无效。</w:t>
      </w:r>
    </w:p>
    <w:p>
      <w:pPr>
        <w:autoSpaceDE w:val="0"/>
        <w:autoSpaceDN w:val="0"/>
        <w:adjustRightInd w:val="0"/>
        <w:ind w:firstLine="480" w:firstLineChars="200"/>
        <w:rPr>
          <w:rFonts w:eastAsia="仿宋"/>
          <w:color w:val="000000"/>
          <w:kern w:val="0"/>
          <w:sz w:val="24"/>
        </w:rPr>
      </w:pPr>
      <w:r>
        <w:rPr>
          <w:rFonts w:eastAsia="仿宋"/>
          <w:color w:val="000000"/>
          <w:kern w:val="0"/>
          <w:sz w:val="24"/>
        </w:rPr>
        <w:t>11、本申购人理解并接受，如果遇不可抗力、监管者要求或其他可能对本次发行造成重大不利影响的情况，在经与主管机关协商后，发行人及主承销商有权暂停或终止本次发行。</w:t>
      </w:r>
    </w:p>
    <w:p>
      <w:pPr>
        <w:autoSpaceDE w:val="0"/>
        <w:autoSpaceDN w:val="0"/>
        <w:adjustRightInd w:val="0"/>
        <w:ind w:firstLine="480" w:firstLineChars="200"/>
        <w:rPr>
          <w:rFonts w:eastAsia="仿宋"/>
          <w:color w:val="000000"/>
          <w:kern w:val="0"/>
          <w:sz w:val="24"/>
        </w:rPr>
      </w:pPr>
      <w:r>
        <w:rPr>
          <w:rFonts w:eastAsia="仿宋"/>
          <w:color w:val="000000"/>
          <w:kern w:val="0"/>
          <w:sz w:val="24"/>
        </w:rPr>
        <w:t>12、本</w:t>
      </w:r>
      <w:r>
        <w:rPr>
          <w:rFonts w:hint="eastAsia" w:eastAsia="仿宋"/>
          <w:color w:val="000000"/>
          <w:kern w:val="0"/>
          <w:sz w:val="24"/>
        </w:rPr>
        <w:t>申购人购买本期债券所涉及资金的来源和用途合法，不存在任何洗钱嫌疑。委托资产并非毒品犯罪、黑社会性质的组织犯罪、恐怖活动犯罪、走私犯罪、贪污贿赂犯罪、破坏金融管理秩序犯罪、金融诈骗犯罪的所得及其产生的收益。</w:t>
      </w:r>
    </w:p>
    <w:p>
      <w:pPr>
        <w:autoSpaceDE w:val="0"/>
        <w:autoSpaceDN w:val="0"/>
        <w:adjustRightInd w:val="0"/>
        <w:ind w:firstLine="480" w:firstLineChars="200"/>
        <w:rPr>
          <w:rFonts w:eastAsia="仿宋"/>
          <w:color w:val="000000"/>
          <w:kern w:val="0"/>
          <w:sz w:val="24"/>
        </w:rPr>
      </w:pPr>
      <w:r>
        <w:rPr>
          <w:rFonts w:eastAsia="仿宋"/>
          <w:color w:val="000000"/>
          <w:kern w:val="0"/>
          <w:sz w:val="24"/>
        </w:rPr>
        <w:t>13、申购人理解并确认，本次申购资金不是直接或间接来自于发行人及其利益相关方，或配合发行人以代持、信托等方式谋取不正当利益或向其他相关利益主体输送利益，未直接或通过其他利益相关方接受发行人及其利益相关方的财务资助。</w:t>
      </w:r>
    </w:p>
    <w:p>
      <w:pPr>
        <w:autoSpaceDE w:val="0"/>
        <w:autoSpaceDN w:val="0"/>
        <w:adjustRightInd w:val="0"/>
        <w:ind w:firstLine="480" w:firstLineChars="200"/>
        <w:jc w:val="left"/>
        <w:rPr>
          <w:rFonts w:hint="eastAsia" w:eastAsia="仿宋"/>
          <w:b/>
          <w:bCs/>
          <w:kern w:val="0"/>
          <w:sz w:val="24"/>
        </w:rPr>
      </w:pPr>
      <w:r>
        <w:rPr>
          <w:rFonts w:eastAsia="仿宋"/>
          <w:color w:val="000000"/>
          <w:kern w:val="0"/>
          <w:sz w:val="24"/>
        </w:rPr>
        <w:t>14、申购人理解并确认，自身不属于发行人的董事、监事、高级管理人员、持股比例超过5%的股东及其他关联方等任意一种情形。</w:t>
      </w:r>
      <w:r>
        <w:rPr>
          <w:rFonts w:eastAsia="仿宋"/>
          <w:color w:val="000000"/>
          <w:kern w:val="0"/>
          <w:sz w:val="28"/>
        </w:rPr>
        <w:br w:type="page"/>
      </w:r>
      <w:r>
        <w:rPr>
          <w:rFonts w:eastAsia="仿宋"/>
          <w:b/>
          <w:kern w:val="0"/>
          <w:sz w:val="24"/>
        </w:rPr>
        <w:t>附件</w:t>
      </w:r>
      <w:r>
        <w:rPr>
          <w:rFonts w:hint="eastAsia" w:eastAsia="仿宋"/>
          <w:b/>
          <w:kern w:val="0"/>
          <w:sz w:val="24"/>
        </w:rPr>
        <w:t>3</w:t>
      </w:r>
    </w:p>
    <w:p>
      <w:pPr>
        <w:autoSpaceDE w:val="0"/>
        <w:autoSpaceDN w:val="0"/>
        <w:adjustRightInd w:val="0"/>
        <w:jc w:val="left"/>
        <w:rPr>
          <w:rFonts w:hint="eastAsia" w:eastAsia="仿宋"/>
          <w:kern w:val="0"/>
          <w:sz w:val="24"/>
        </w:rPr>
      </w:pPr>
      <w:r>
        <w:rPr>
          <w:rFonts w:eastAsia="仿宋"/>
          <w:kern w:val="0"/>
          <w:sz w:val="24"/>
        </w:rPr>
        <w:t>声明及提示：以下示例中的利率和金额均为虚设，不含任何暗示，请申购人根据自己的判断填写。以下填表说明部分不必传真至簿记管理人处，但应被视为本申购和配售办法说明不可分割的部分，填表前请仔细阅读。</w:t>
      </w:r>
    </w:p>
    <w:p>
      <w:pPr>
        <w:autoSpaceDE w:val="0"/>
        <w:autoSpaceDN w:val="0"/>
        <w:adjustRightInd w:val="0"/>
        <w:jc w:val="center"/>
        <w:rPr>
          <w:rFonts w:hint="eastAsia" w:eastAsia="仿宋"/>
          <w:b/>
          <w:color w:val="000000"/>
          <w:kern w:val="0"/>
          <w:sz w:val="28"/>
        </w:rPr>
      </w:pPr>
      <w:r>
        <w:rPr>
          <w:rFonts w:hint="eastAsia" w:eastAsia="仿宋"/>
          <w:b/>
          <w:color w:val="000000"/>
          <w:kern w:val="0"/>
          <w:sz w:val="28"/>
        </w:rPr>
        <w:t>《</w:t>
      </w:r>
      <w:r>
        <w:rPr>
          <w:rFonts w:hint="eastAsia" w:eastAsia="仿宋"/>
          <w:b/>
          <w:color w:val="000000"/>
          <w:kern w:val="0"/>
          <w:sz w:val="28"/>
          <w:lang w:eastAsia="zh-CN"/>
        </w:rPr>
        <w:t>2023年第一期武汉临空港投资集团有限公司公司债券</w:t>
      </w:r>
      <w:r>
        <w:rPr>
          <w:rFonts w:hint="eastAsia" w:eastAsia="仿宋"/>
          <w:b/>
          <w:color w:val="000000"/>
          <w:kern w:val="0"/>
          <w:sz w:val="28"/>
        </w:rPr>
        <w:t>申购意向函》填报说明</w:t>
      </w:r>
    </w:p>
    <w:p>
      <w:pPr>
        <w:autoSpaceDE w:val="0"/>
        <w:autoSpaceDN w:val="0"/>
        <w:adjustRightInd w:val="0"/>
        <w:ind w:firstLine="480" w:firstLineChars="200"/>
        <w:jc w:val="left"/>
        <w:rPr>
          <w:rFonts w:hint="eastAsia" w:eastAsia="仿宋"/>
          <w:color w:val="000000"/>
          <w:kern w:val="0"/>
          <w:sz w:val="24"/>
        </w:rPr>
      </w:pPr>
      <w:r>
        <w:rPr>
          <w:rFonts w:hint="eastAsia" w:eastAsia="仿宋"/>
          <w:color w:val="000000"/>
          <w:kern w:val="0"/>
          <w:sz w:val="24"/>
        </w:rPr>
        <w:t>1、请将申购意向函填妥并加盖有效印鉴后，于规定时间内传真至簿记管理人处。</w:t>
      </w:r>
    </w:p>
    <w:p>
      <w:pPr>
        <w:autoSpaceDE w:val="0"/>
        <w:autoSpaceDN w:val="0"/>
        <w:adjustRightInd w:val="0"/>
        <w:ind w:firstLine="480" w:firstLineChars="200"/>
        <w:jc w:val="left"/>
        <w:rPr>
          <w:rFonts w:hint="eastAsia" w:eastAsia="仿宋"/>
          <w:color w:val="000000"/>
          <w:kern w:val="0"/>
          <w:sz w:val="24"/>
        </w:rPr>
      </w:pPr>
      <w:r>
        <w:rPr>
          <w:rFonts w:hint="eastAsia" w:eastAsia="仿宋"/>
          <w:color w:val="000000"/>
          <w:kern w:val="0"/>
          <w:sz w:val="24"/>
        </w:rPr>
        <w:t>2、申购利率及申购金额填写示例（每一申购利率对应的申购金额为单一申购金额）。假设某投资者拟在不同的申购利率分别申购不同的金额，其可做出如下填写：</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noWrap w:val="0"/>
            <w:vAlign w:val="top"/>
          </w:tcPr>
          <w:p>
            <w:pPr>
              <w:autoSpaceDE w:val="0"/>
              <w:autoSpaceDN w:val="0"/>
              <w:adjustRightInd w:val="0"/>
              <w:jc w:val="center"/>
              <w:rPr>
                <w:rFonts w:eastAsia="仿宋"/>
                <w:color w:val="000000"/>
                <w:kern w:val="0"/>
                <w:sz w:val="24"/>
              </w:rPr>
            </w:pPr>
            <w:r>
              <w:rPr>
                <w:rFonts w:eastAsia="仿宋"/>
                <w:color w:val="000000"/>
                <w:kern w:val="0"/>
                <w:sz w:val="24"/>
              </w:rPr>
              <w:t>申购利率</w:t>
            </w:r>
          </w:p>
        </w:tc>
        <w:tc>
          <w:tcPr>
            <w:tcW w:w="4261" w:type="dxa"/>
            <w:noWrap w:val="0"/>
            <w:vAlign w:val="top"/>
          </w:tcPr>
          <w:p>
            <w:pPr>
              <w:autoSpaceDE w:val="0"/>
              <w:autoSpaceDN w:val="0"/>
              <w:adjustRightInd w:val="0"/>
              <w:jc w:val="center"/>
              <w:rPr>
                <w:rFonts w:eastAsia="仿宋"/>
                <w:color w:val="000000"/>
                <w:kern w:val="0"/>
                <w:sz w:val="24"/>
              </w:rPr>
            </w:pPr>
            <w:r>
              <w:rPr>
                <w:rFonts w:hint="eastAsia" w:eastAsia="仿宋"/>
                <w:color w:val="000000"/>
                <w:kern w:val="0"/>
                <w:sz w:val="24"/>
              </w:rPr>
              <w:t>申购金额（万元）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noWrap w:val="0"/>
            <w:vAlign w:val="top"/>
          </w:tcPr>
          <w:p>
            <w:pPr>
              <w:autoSpaceDE w:val="0"/>
              <w:autoSpaceDN w:val="0"/>
              <w:adjustRightInd w:val="0"/>
              <w:jc w:val="center"/>
              <w:rPr>
                <w:rFonts w:hint="eastAsia" w:eastAsia="仿宋"/>
                <w:color w:val="000000"/>
                <w:kern w:val="0"/>
                <w:sz w:val="24"/>
              </w:rPr>
            </w:pPr>
            <w:r>
              <w:rPr>
                <w:rFonts w:eastAsia="仿宋"/>
                <w:color w:val="000000"/>
                <w:kern w:val="0"/>
                <w:sz w:val="24"/>
              </w:rPr>
              <w:t>5.60</w:t>
            </w:r>
          </w:p>
        </w:tc>
        <w:tc>
          <w:tcPr>
            <w:tcW w:w="4261" w:type="dxa"/>
            <w:noWrap w:val="0"/>
            <w:vAlign w:val="top"/>
          </w:tcPr>
          <w:p>
            <w:pPr>
              <w:autoSpaceDE w:val="0"/>
              <w:autoSpaceDN w:val="0"/>
              <w:adjustRightInd w:val="0"/>
              <w:jc w:val="center"/>
              <w:rPr>
                <w:rFonts w:hint="eastAsia" w:eastAsia="仿宋"/>
                <w:color w:val="000000"/>
                <w:kern w:val="0"/>
                <w:sz w:val="24"/>
              </w:rPr>
            </w:pPr>
            <w:r>
              <w:rPr>
                <w:rFonts w:hint="eastAsia" w:eastAsia="仿宋"/>
                <w:color w:val="000000"/>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noWrap w:val="0"/>
            <w:vAlign w:val="top"/>
          </w:tcPr>
          <w:p>
            <w:pPr>
              <w:autoSpaceDE w:val="0"/>
              <w:autoSpaceDN w:val="0"/>
              <w:adjustRightInd w:val="0"/>
              <w:jc w:val="center"/>
              <w:rPr>
                <w:rFonts w:hint="eastAsia" w:eastAsia="仿宋"/>
                <w:color w:val="000000"/>
                <w:kern w:val="0"/>
                <w:sz w:val="24"/>
              </w:rPr>
            </w:pPr>
            <w:r>
              <w:rPr>
                <w:rFonts w:eastAsia="仿宋"/>
                <w:color w:val="000000"/>
                <w:kern w:val="0"/>
                <w:sz w:val="24"/>
              </w:rPr>
              <w:t>5.70</w:t>
            </w:r>
          </w:p>
        </w:tc>
        <w:tc>
          <w:tcPr>
            <w:tcW w:w="4261" w:type="dxa"/>
            <w:noWrap w:val="0"/>
            <w:vAlign w:val="top"/>
          </w:tcPr>
          <w:p>
            <w:pPr>
              <w:autoSpaceDE w:val="0"/>
              <w:autoSpaceDN w:val="0"/>
              <w:adjustRightInd w:val="0"/>
              <w:jc w:val="center"/>
              <w:rPr>
                <w:rFonts w:hint="eastAsia" w:eastAsia="仿宋"/>
                <w:color w:val="000000"/>
                <w:kern w:val="0"/>
                <w:sz w:val="24"/>
              </w:rPr>
            </w:pPr>
            <w:r>
              <w:rPr>
                <w:rFonts w:hint="eastAsia" w:eastAsia="仿宋"/>
                <w:color w:val="000000"/>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noWrap w:val="0"/>
            <w:vAlign w:val="top"/>
          </w:tcPr>
          <w:p>
            <w:pPr>
              <w:autoSpaceDE w:val="0"/>
              <w:autoSpaceDN w:val="0"/>
              <w:adjustRightInd w:val="0"/>
              <w:jc w:val="center"/>
              <w:rPr>
                <w:rFonts w:hint="eastAsia" w:eastAsia="仿宋"/>
                <w:color w:val="000000"/>
                <w:kern w:val="0"/>
                <w:sz w:val="24"/>
              </w:rPr>
            </w:pPr>
            <w:r>
              <w:rPr>
                <w:rFonts w:eastAsia="仿宋"/>
                <w:color w:val="000000"/>
                <w:kern w:val="0"/>
                <w:sz w:val="24"/>
              </w:rPr>
              <w:t>5.80</w:t>
            </w:r>
          </w:p>
        </w:tc>
        <w:tc>
          <w:tcPr>
            <w:tcW w:w="4261" w:type="dxa"/>
            <w:noWrap w:val="0"/>
            <w:vAlign w:val="top"/>
          </w:tcPr>
          <w:p>
            <w:pPr>
              <w:autoSpaceDE w:val="0"/>
              <w:autoSpaceDN w:val="0"/>
              <w:adjustRightInd w:val="0"/>
              <w:jc w:val="center"/>
              <w:rPr>
                <w:rFonts w:hint="eastAsia" w:eastAsia="仿宋"/>
                <w:color w:val="000000"/>
                <w:kern w:val="0"/>
                <w:sz w:val="24"/>
              </w:rPr>
            </w:pPr>
            <w:r>
              <w:rPr>
                <w:rFonts w:hint="eastAsia" w:eastAsia="仿宋"/>
                <w:color w:val="000000"/>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noWrap w:val="0"/>
            <w:vAlign w:val="top"/>
          </w:tcPr>
          <w:p>
            <w:pPr>
              <w:autoSpaceDE w:val="0"/>
              <w:autoSpaceDN w:val="0"/>
              <w:adjustRightInd w:val="0"/>
              <w:jc w:val="center"/>
              <w:rPr>
                <w:rFonts w:hint="eastAsia" w:eastAsia="仿宋"/>
                <w:color w:val="000000"/>
                <w:kern w:val="0"/>
                <w:sz w:val="24"/>
              </w:rPr>
            </w:pPr>
            <w:r>
              <w:rPr>
                <w:rFonts w:eastAsia="仿宋"/>
                <w:color w:val="000000"/>
                <w:kern w:val="0"/>
                <w:sz w:val="24"/>
              </w:rPr>
              <w:t>5.90</w:t>
            </w:r>
          </w:p>
        </w:tc>
        <w:tc>
          <w:tcPr>
            <w:tcW w:w="4261" w:type="dxa"/>
            <w:noWrap w:val="0"/>
            <w:vAlign w:val="top"/>
          </w:tcPr>
          <w:p>
            <w:pPr>
              <w:autoSpaceDE w:val="0"/>
              <w:autoSpaceDN w:val="0"/>
              <w:adjustRightInd w:val="0"/>
              <w:jc w:val="center"/>
              <w:rPr>
                <w:rFonts w:hint="eastAsia" w:eastAsia="仿宋"/>
                <w:color w:val="000000"/>
                <w:kern w:val="0"/>
                <w:sz w:val="24"/>
              </w:rPr>
            </w:pPr>
            <w:r>
              <w:rPr>
                <w:rFonts w:hint="eastAsia" w:eastAsia="仿宋"/>
                <w:color w:val="000000"/>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noWrap w:val="0"/>
            <w:vAlign w:val="top"/>
          </w:tcPr>
          <w:p>
            <w:pPr>
              <w:autoSpaceDE w:val="0"/>
              <w:autoSpaceDN w:val="0"/>
              <w:adjustRightInd w:val="0"/>
              <w:jc w:val="center"/>
              <w:rPr>
                <w:rFonts w:hint="eastAsia" w:eastAsia="仿宋"/>
                <w:color w:val="000000"/>
                <w:kern w:val="0"/>
                <w:sz w:val="24"/>
              </w:rPr>
            </w:pPr>
            <w:r>
              <w:rPr>
                <w:rFonts w:hint="eastAsia" w:eastAsia="仿宋"/>
                <w:color w:val="000000"/>
                <w:kern w:val="0"/>
                <w:sz w:val="24"/>
              </w:rPr>
              <w:t>—</w:t>
            </w:r>
          </w:p>
        </w:tc>
        <w:tc>
          <w:tcPr>
            <w:tcW w:w="4261" w:type="dxa"/>
            <w:noWrap w:val="0"/>
            <w:vAlign w:val="top"/>
          </w:tcPr>
          <w:p>
            <w:pPr>
              <w:autoSpaceDE w:val="0"/>
              <w:autoSpaceDN w:val="0"/>
              <w:adjustRightInd w:val="0"/>
              <w:jc w:val="center"/>
              <w:rPr>
                <w:rFonts w:eastAsia="仿宋"/>
                <w:color w:val="000000"/>
                <w:kern w:val="0"/>
                <w:sz w:val="24"/>
              </w:rPr>
            </w:pPr>
            <w:r>
              <w:rPr>
                <w:rFonts w:hint="eastAsia" w:eastAsia="仿宋"/>
                <w:color w:val="000000"/>
                <w:kern w:val="0"/>
                <w:sz w:val="24"/>
              </w:rPr>
              <w:t>—</w:t>
            </w:r>
          </w:p>
        </w:tc>
      </w:tr>
    </w:tbl>
    <w:p>
      <w:pPr>
        <w:autoSpaceDE w:val="0"/>
        <w:autoSpaceDN w:val="0"/>
        <w:adjustRightInd w:val="0"/>
        <w:ind w:firstLine="480" w:firstLineChars="200"/>
        <w:jc w:val="left"/>
        <w:rPr>
          <w:rFonts w:hint="eastAsia" w:eastAsia="仿宋"/>
          <w:color w:val="000000"/>
          <w:kern w:val="0"/>
          <w:sz w:val="24"/>
        </w:rPr>
      </w:pPr>
      <w:r>
        <w:rPr>
          <w:rFonts w:hint="eastAsia" w:eastAsia="仿宋"/>
          <w:color w:val="000000"/>
          <w:kern w:val="0"/>
          <w:sz w:val="24"/>
        </w:rPr>
        <w:t>上述报价的含义如下：</w:t>
      </w:r>
    </w:p>
    <w:p>
      <w:pPr>
        <w:autoSpaceDE w:val="0"/>
        <w:autoSpaceDN w:val="0"/>
        <w:adjustRightInd w:val="0"/>
        <w:ind w:firstLine="480" w:firstLineChars="200"/>
        <w:jc w:val="left"/>
        <w:rPr>
          <w:rFonts w:eastAsia="仿宋"/>
          <w:color w:val="000000"/>
          <w:kern w:val="0"/>
          <w:sz w:val="24"/>
        </w:rPr>
      </w:pPr>
      <w:r>
        <w:rPr>
          <w:rFonts w:hint="eastAsia" w:eastAsia="仿宋"/>
          <w:color w:val="000000"/>
          <w:kern w:val="0"/>
          <w:sz w:val="24"/>
        </w:rPr>
        <w:t>当最终确定的发行利率高于或等于5</w:t>
      </w:r>
      <w:r>
        <w:rPr>
          <w:rFonts w:eastAsia="仿宋"/>
          <w:color w:val="000000"/>
          <w:kern w:val="0"/>
          <w:sz w:val="24"/>
        </w:rPr>
        <w:t>.90%</w:t>
      </w:r>
      <w:r>
        <w:rPr>
          <w:rFonts w:hint="eastAsia" w:eastAsia="仿宋"/>
          <w:color w:val="000000"/>
          <w:kern w:val="0"/>
          <w:sz w:val="24"/>
        </w:rPr>
        <w:t>时，有效申购金额为</w:t>
      </w:r>
      <w:r>
        <w:rPr>
          <w:rFonts w:eastAsia="仿宋"/>
          <w:color w:val="000000"/>
          <w:kern w:val="0"/>
          <w:sz w:val="24"/>
        </w:rPr>
        <w:t>4,000</w:t>
      </w:r>
      <w:r>
        <w:rPr>
          <w:rFonts w:hint="eastAsia" w:eastAsia="仿宋"/>
          <w:color w:val="000000"/>
          <w:kern w:val="0"/>
          <w:sz w:val="24"/>
        </w:rPr>
        <w:t>万元；</w:t>
      </w:r>
    </w:p>
    <w:p>
      <w:pPr>
        <w:autoSpaceDE w:val="0"/>
        <w:autoSpaceDN w:val="0"/>
        <w:adjustRightInd w:val="0"/>
        <w:ind w:firstLine="480" w:firstLineChars="200"/>
        <w:jc w:val="left"/>
        <w:rPr>
          <w:rFonts w:eastAsia="仿宋"/>
          <w:color w:val="000000"/>
          <w:kern w:val="0"/>
          <w:sz w:val="24"/>
        </w:rPr>
      </w:pPr>
      <w:r>
        <w:rPr>
          <w:rFonts w:hint="eastAsia" w:eastAsia="仿宋"/>
          <w:color w:val="000000"/>
          <w:kern w:val="0"/>
          <w:sz w:val="24"/>
        </w:rPr>
        <w:t>当最终确定的发行利率低于5</w:t>
      </w:r>
      <w:r>
        <w:rPr>
          <w:rFonts w:eastAsia="仿宋"/>
          <w:color w:val="000000"/>
          <w:kern w:val="0"/>
          <w:sz w:val="24"/>
        </w:rPr>
        <w:t>.90%</w:t>
      </w:r>
      <w:r>
        <w:rPr>
          <w:rFonts w:hint="eastAsia" w:eastAsia="仿宋"/>
          <w:color w:val="000000"/>
          <w:kern w:val="0"/>
          <w:sz w:val="24"/>
        </w:rPr>
        <w:t>，但高于或等于5</w:t>
      </w:r>
      <w:r>
        <w:rPr>
          <w:rFonts w:eastAsia="仿宋"/>
          <w:color w:val="000000"/>
          <w:kern w:val="0"/>
          <w:sz w:val="24"/>
        </w:rPr>
        <w:t>.80%</w:t>
      </w:r>
      <w:r>
        <w:rPr>
          <w:rFonts w:hint="eastAsia" w:eastAsia="仿宋"/>
          <w:color w:val="000000"/>
          <w:kern w:val="0"/>
          <w:sz w:val="24"/>
        </w:rPr>
        <w:t>时，有效申购金额为</w:t>
      </w:r>
      <w:r>
        <w:rPr>
          <w:rFonts w:eastAsia="仿宋"/>
          <w:color w:val="000000"/>
          <w:kern w:val="0"/>
          <w:sz w:val="24"/>
        </w:rPr>
        <w:t>3,000</w:t>
      </w:r>
      <w:r>
        <w:rPr>
          <w:rFonts w:hint="eastAsia" w:eastAsia="仿宋"/>
          <w:color w:val="000000"/>
          <w:kern w:val="0"/>
          <w:sz w:val="24"/>
        </w:rPr>
        <w:t>万元；</w:t>
      </w:r>
      <w:r>
        <w:rPr>
          <w:rFonts w:eastAsia="仿宋"/>
          <w:color w:val="000000"/>
          <w:kern w:val="0"/>
          <w:sz w:val="24"/>
        </w:rPr>
        <w:t xml:space="preserve"> </w:t>
      </w:r>
    </w:p>
    <w:p>
      <w:pPr>
        <w:autoSpaceDE w:val="0"/>
        <w:autoSpaceDN w:val="0"/>
        <w:adjustRightInd w:val="0"/>
        <w:ind w:firstLine="480" w:firstLineChars="200"/>
        <w:jc w:val="left"/>
        <w:rPr>
          <w:rFonts w:eastAsia="仿宋"/>
          <w:color w:val="000000"/>
          <w:kern w:val="0"/>
          <w:sz w:val="24"/>
        </w:rPr>
      </w:pPr>
      <w:r>
        <w:rPr>
          <w:rFonts w:hint="eastAsia" w:eastAsia="仿宋"/>
          <w:color w:val="000000"/>
          <w:kern w:val="0"/>
          <w:sz w:val="24"/>
        </w:rPr>
        <w:t>当最终确定的发行利率低于5</w:t>
      </w:r>
      <w:r>
        <w:rPr>
          <w:rFonts w:eastAsia="仿宋"/>
          <w:color w:val="000000"/>
          <w:kern w:val="0"/>
          <w:sz w:val="24"/>
        </w:rPr>
        <w:t>.80%</w:t>
      </w:r>
      <w:r>
        <w:rPr>
          <w:rFonts w:hint="eastAsia" w:eastAsia="仿宋"/>
          <w:color w:val="000000"/>
          <w:kern w:val="0"/>
          <w:sz w:val="24"/>
        </w:rPr>
        <w:t>，但高于或等于5</w:t>
      </w:r>
      <w:r>
        <w:rPr>
          <w:rFonts w:eastAsia="仿宋"/>
          <w:color w:val="000000"/>
          <w:kern w:val="0"/>
          <w:sz w:val="24"/>
        </w:rPr>
        <w:t>.70%</w:t>
      </w:r>
      <w:r>
        <w:rPr>
          <w:rFonts w:hint="eastAsia" w:eastAsia="仿宋"/>
          <w:color w:val="000000"/>
          <w:kern w:val="0"/>
          <w:sz w:val="24"/>
        </w:rPr>
        <w:t>时，有效申购金额为</w:t>
      </w:r>
      <w:r>
        <w:rPr>
          <w:rFonts w:eastAsia="仿宋"/>
          <w:color w:val="000000"/>
          <w:kern w:val="0"/>
          <w:sz w:val="24"/>
        </w:rPr>
        <w:t>2,000</w:t>
      </w:r>
      <w:r>
        <w:rPr>
          <w:rFonts w:hint="eastAsia" w:eastAsia="仿宋"/>
          <w:color w:val="000000"/>
          <w:kern w:val="0"/>
          <w:sz w:val="24"/>
        </w:rPr>
        <w:t>万元；</w:t>
      </w:r>
      <w:r>
        <w:rPr>
          <w:rFonts w:eastAsia="仿宋"/>
          <w:color w:val="000000"/>
          <w:kern w:val="0"/>
          <w:sz w:val="24"/>
        </w:rPr>
        <w:t xml:space="preserve"> </w:t>
      </w:r>
    </w:p>
    <w:p>
      <w:pPr>
        <w:autoSpaceDE w:val="0"/>
        <w:autoSpaceDN w:val="0"/>
        <w:adjustRightInd w:val="0"/>
        <w:ind w:firstLine="480" w:firstLineChars="200"/>
        <w:jc w:val="left"/>
        <w:rPr>
          <w:rFonts w:eastAsia="仿宋"/>
          <w:color w:val="000000"/>
          <w:kern w:val="0"/>
          <w:sz w:val="24"/>
        </w:rPr>
      </w:pPr>
      <w:r>
        <w:rPr>
          <w:rFonts w:hint="eastAsia" w:eastAsia="仿宋"/>
          <w:color w:val="000000"/>
          <w:kern w:val="0"/>
          <w:sz w:val="24"/>
        </w:rPr>
        <w:t>当最终确定的发行利率低于5</w:t>
      </w:r>
      <w:r>
        <w:rPr>
          <w:rFonts w:eastAsia="仿宋"/>
          <w:color w:val="000000"/>
          <w:kern w:val="0"/>
          <w:sz w:val="24"/>
        </w:rPr>
        <w:t>.70%</w:t>
      </w:r>
      <w:r>
        <w:rPr>
          <w:rFonts w:hint="eastAsia" w:eastAsia="仿宋"/>
          <w:color w:val="000000"/>
          <w:kern w:val="0"/>
          <w:sz w:val="24"/>
        </w:rPr>
        <w:t>，但高于或等于5</w:t>
      </w:r>
      <w:r>
        <w:rPr>
          <w:rFonts w:eastAsia="仿宋"/>
          <w:color w:val="000000"/>
          <w:kern w:val="0"/>
          <w:sz w:val="24"/>
        </w:rPr>
        <w:t>.60%</w:t>
      </w:r>
      <w:r>
        <w:rPr>
          <w:rFonts w:hint="eastAsia" w:eastAsia="仿宋"/>
          <w:color w:val="000000"/>
          <w:kern w:val="0"/>
          <w:sz w:val="24"/>
        </w:rPr>
        <w:t>时，有效申购金额为</w:t>
      </w:r>
      <w:r>
        <w:rPr>
          <w:rFonts w:eastAsia="仿宋"/>
          <w:color w:val="000000"/>
          <w:kern w:val="0"/>
          <w:sz w:val="24"/>
        </w:rPr>
        <w:t>1,000</w:t>
      </w:r>
      <w:r>
        <w:rPr>
          <w:rFonts w:hint="eastAsia" w:eastAsia="仿宋"/>
          <w:color w:val="000000"/>
          <w:kern w:val="0"/>
          <w:sz w:val="24"/>
        </w:rPr>
        <w:t>万元；</w:t>
      </w:r>
      <w:r>
        <w:rPr>
          <w:rFonts w:eastAsia="仿宋"/>
          <w:color w:val="000000"/>
          <w:kern w:val="0"/>
          <w:sz w:val="24"/>
        </w:rPr>
        <w:t xml:space="preserve"> </w:t>
      </w:r>
    </w:p>
    <w:p>
      <w:pPr>
        <w:autoSpaceDE w:val="0"/>
        <w:autoSpaceDN w:val="0"/>
        <w:adjustRightInd w:val="0"/>
        <w:ind w:firstLine="480" w:firstLineChars="200"/>
        <w:jc w:val="left"/>
        <w:rPr>
          <w:rFonts w:hint="eastAsia" w:eastAsia="仿宋"/>
          <w:color w:val="000000"/>
          <w:kern w:val="0"/>
          <w:sz w:val="24"/>
          <w:lang w:eastAsia="zh-CN"/>
        </w:rPr>
      </w:pPr>
      <w:r>
        <w:rPr>
          <w:rFonts w:hint="eastAsia" w:eastAsia="仿宋"/>
          <w:color w:val="000000"/>
          <w:kern w:val="0"/>
          <w:sz w:val="24"/>
        </w:rPr>
        <w:t>当最终确定的发行利率低于5</w:t>
      </w:r>
      <w:r>
        <w:rPr>
          <w:rFonts w:eastAsia="仿宋"/>
          <w:color w:val="000000"/>
          <w:kern w:val="0"/>
          <w:sz w:val="24"/>
        </w:rPr>
        <w:t>.60%</w:t>
      </w:r>
      <w:r>
        <w:rPr>
          <w:rFonts w:hint="eastAsia" w:eastAsia="仿宋"/>
          <w:color w:val="000000"/>
          <w:kern w:val="0"/>
          <w:sz w:val="24"/>
        </w:rPr>
        <w:t>时，该申购意向函无效</w:t>
      </w:r>
      <w:r>
        <w:rPr>
          <w:rFonts w:hint="eastAsia" w:eastAsia="仿宋"/>
          <w:color w:val="000000"/>
          <w:kern w:val="0"/>
          <w:sz w:val="24"/>
          <w:lang w:eastAsia="zh-CN"/>
        </w:rPr>
        <w:t>。</w:t>
      </w:r>
    </w:p>
    <w:p>
      <w:pPr>
        <w:autoSpaceDE w:val="0"/>
        <w:autoSpaceDN w:val="0"/>
        <w:adjustRightInd w:val="0"/>
        <w:ind w:firstLine="480" w:firstLineChars="200"/>
        <w:jc w:val="left"/>
        <w:rPr>
          <w:rFonts w:eastAsia="仿宋"/>
          <w:color w:val="000000"/>
          <w:kern w:val="0"/>
          <w:sz w:val="24"/>
        </w:rPr>
      </w:pPr>
    </w:p>
    <w:p>
      <w:pPr>
        <w:numPr>
          <w:ilvl w:val="0"/>
          <w:numId w:val="1"/>
        </w:numPr>
        <w:autoSpaceDE w:val="0"/>
        <w:autoSpaceDN w:val="0"/>
        <w:adjustRightInd w:val="0"/>
        <w:ind w:firstLine="480" w:firstLineChars="200"/>
        <w:jc w:val="left"/>
        <w:rPr>
          <w:rFonts w:eastAsia="仿宋"/>
          <w:color w:val="000000"/>
          <w:kern w:val="0"/>
          <w:sz w:val="24"/>
        </w:rPr>
      </w:pPr>
      <w:r>
        <w:rPr>
          <w:rFonts w:hint="eastAsia" w:eastAsia="仿宋"/>
          <w:color w:val="000000"/>
          <w:kern w:val="0"/>
          <w:sz w:val="24"/>
        </w:rPr>
        <w:t>承销团其他成员及其他投资人须以传真方式参与本次簿记建档过程，以其他方式传送、送达一概无效。</w:t>
      </w:r>
    </w:p>
    <w:p>
      <w:pPr>
        <w:spacing w:line="360" w:lineRule="auto"/>
        <w:ind w:right="-6" w:firstLine="480"/>
        <w:outlineLvl w:val="0"/>
        <w:rPr>
          <w:rFonts w:ascii="Times New Roman" w:hAnsi="Times New Roman" w:eastAsia="宋体" w:cs="Times New Roman"/>
          <w:b/>
          <w:szCs w:val="21"/>
        </w:rPr>
      </w:pPr>
      <w:r>
        <w:rPr>
          <w:rFonts w:eastAsia="仿宋"/>
          <w:color w:val="000000"/>
          <w:kern w:val="0"/>
          <w:sz w:val="24"/>
        </w:rPr>
        <w:br w:type="page"/>
      </w:r>
      <w:r>
        <w:rPr>
          <w:rFonts w:hint="eastAsia" w:eastAsia="仿宋" w:cs="仿宋_GB2312"/>
          <w:b/>
          <w:kern w:val="0"/>
          <w:sz w:val="24"/>
        </w:rPr>
        <w:t>附件4</w:t>
      </w:r>
    </w:p>
    <w:p>
      <w:pPr>
        <w:ind w:right="-6" w:firstLine="643"/>
        <w:jc w:val="center"/>
        <w:rPr>
          <w:rFonts w:ascii="Times New Roman" w:hAnsi="Times New Roman" w:eastAsia="仿宋" w:cs="Times New Roman"/>
          <w:b/>
          <w:sz w:val="32"/>
          <w:szCs w:val="32"/>
        </w:rPr>
      </w:pPr>
      <w:r>
        <w:rPr>
          <w:rFonts w:ascii="Times New Roman" w:hAnsi="Times New Roman" w:eastAsia="仿宋" w:cs="Times New Roman"/>
          <w:b/>
          <w:sz w:val="32"/>
          <w:szCs w:val="32"/>
        </w:rPr>
        <w:t>专业投资者确认函</w:t>
      </w:r>
    </w:p>
    <w:p>
      <w:pPr>
        <w:autoSpaceDE w:val="0"/>
        <w:autoSpaceDN w:val="0"/>
        <w:adjustRightInd w:val="0"/>
        <w:spacing w:line="360" w:lineRule="auto"/>
        <w:ind w:right="-6" w:firstLine="480"/>
        <w:rPr>
          <w:rFonts w:ascii="Times New Roman" w:hAnsi="Times New Roman" w:eastAsia="仿宋" w:cs="Times New Roman"/>
          <w:kern w:val="0"/>
        </w:rPr>
      </w:pPr>
      <w:r>
        <w:rPr>
          <w:rFonts w:ascii="Times New Roman" w:hAnsi="Times New Roman" w:eastAsia="仿宋" w:cs="Times New Roman"/>
          <w:kern w:val="0"/>
        </w:rPr>
        <w:t>根据《公司债券发行与交易管理办法》</w:t>
      </w:r>
      <w:r>
        <w:rPr>
          <w:rFonts w:hint="eastAsia" w:ascii="Times New Roman" w:hAnsi="Times New Roman" w:eastAsia="仿宋" w:cs="Times New Roman"/>
          <w:kern w:val="0"/>
        </w:rPr>
        <w:t>（2021年修订）</w:t>
      </w:r>
      <w:r>
        <w:rPr>
          <w:rFonts w:ascii="Times New Roman" w:hAnsi="Times New Roman" w:eastAsia="仿宋" w:cs="Times New Roman"/>
          <w:kern w:val="0"/>
        </w:rPr>
        <w:t>及《上海证券交易所债券市场投资者适当性管理办法》（2022年修订）之规定，本机构为：请在（）中勾选</w:t>
      </w:r>
    </w:p>
    <w:p>
      <w:pPr>
        <w:autoSpaceDE w:val="0"/>
        <w:autoSpaceDN w:val="0"/>
        <w:adjustRightInd w:val="0"/>
        <w:spacing w:line="360" w:lineRule="auto"/>
        <w:ind w:right="-6" w:firstLine="480"/>
        <w:rPr>
          <w:rFonts w:ascii="Times New Roman" w:hAnsi="Times New Roman" w:eastAsia="仿宋" w:cs="Times New Roman"/>
          <w:kern w:val="0"/>
        </w:rPr>
      </w:pPr>
      <w:r>
        <w:rPr>
          <w:rFonts w:ascii="Times New Roman" w:hAnsi="Times New Roman" w:eastAsia="仿宋" w:cs="Times New Roman"/>
          <w:kern w:val="0"/>
        </w:rPr>
        <w:t>（）</w:t>
      </w:r>
      <w:r>
        <w:rPr>
          <w:rFonts w:hint="eastAsia" w:ascii="Times New Roman" w:hAnsi="Times New Roman" w:eastAsia="仿宋" w:cs="Times New Roman"/>
          <w:kern w:val="0"/>
        </w:rPr>
        <w:t>A、经有关金融监管部门批准设立的金融机构，包括证券公司、期货公司、基金管理公司及其子公司、商业银行及其理财子公司、保险公司、信托公司、财务公司等；经行业协会备案或者登记的证券公司子公司、期货公司子公司、私募基金管理人</w:t>
      </w:r>
      <w:r>
        <w:rPr>
          <w:rFonts w:ascii="Times New Roman" w:hAnsi="Times New Roman" w:eastAsia="仿宋" w:cs="Times New Roman"/>
          <w:kern w:val="0"/>
        </w:rPr>
        <w:t>；</w:t>
      </w:r>
    </w:p>
    <w:p>
      <w:pPr>
        <w:autoSpaceDE w:val="0"/>
        <w:autoSpaceDN w:val="0"/>
        <w:adjustRightInd w:val="0"/>
        <w:spacing w:line="360" w:lineRule="auto"/>
        <w:ind w:right="-6" w:firstLine="480"/>
        <w:rPr>
          <w:rFonts w:ascii="Times New Roman" w:hAnsi="Times New Roman" w:eastAsia="仿宋" w:cs="Times New Roman"/>
          <w:kern w:val="0"/>
        </w:rPr>
      </w:pPr>
      <w:r>
        <w:rPr>
          <w:rFonts w:ascii="Times New Roman" w:hAnsi="Times New Roman" w:eastAsia="仿宋" w:cs="Times New Roman"/>
          <w:kern w:val="0"/>
        </w:rPr>
        <w:t>（）</w:t>
      </w:r>
      <w:r>
        <w:rPr>
          <w:rFonts w:hint="eastAsia" w:ascii="Times New Roman" w:hAnsi="Times New Roman" w:eastAsia="仿宋" w:cs="Times New Roman"/>
          <w:kern w:val="0"/>
        </w:rPr>
        <w:t>B、上述机构面向投资者发行的理财产品，包括但不限于证券公司资产管理产品、基金管理公司及其子公司产品、期货公司资产管理产品、银行理财产品、保险产品、信托产品、经行业协会备案的私募基金</w:t>
      </w:r>
      <w:r>
        <w:rPr>
          <w:rFonts w:ascii="Times New Roman" w:hAnsi="Times New Roman" w:eastAsia="仿宋" w:cs="Times New Roman"/>
          <w:kern w:val="0"/>
        </w:rPr>
        <w:t>；（如拟将主要资产投向单一债券，请同时勾选</w:t>
      </w:r>
      <w:r>
        <w:rPr>
          <w:rFonts w:ascii="Times New Roman" w:hAnsi="Times New Roman" w:eastAsia="仿宋" w:cs="Times New Roman"/>
          <w:color w:val="FF0000"/>
          <w:kern w:val="0"/>
        </w:rPr>
        <w:t>★</w:t>
      </w:r>
      <w:r>
        <w:rPr>
          <w:rFonts w:ascii="Times New Roman" w:hAnsi="Times New Roman" w:eastAsia="仿宋" w:cs="Times New Roman"/>
          <w:kern w:val="0"/>
        </w:rPr>
        <w:t>项）</w:t>
      </w:r>
    </w:p>
    <w:p>
      <w:pPr>
        <w:autoSpaceDE w:val="0"/>
        <w:autoSpaceDN w:val="0"/>
        <w:adjustRightInd w:val="0"/>
        <w:spacing w:line="360" w:lineRule="auto"/>
        <w:ind w:right="-6" w:firstLine="480"/>
        <w:rPr>
          <w:rFonts w:ascii="Times New Roman" w:hAnsi="Times New Roman" w:eastAsia="仿宋" w:cs="Times New Roman"/>
          <w:kern w:val="0"/>
        </w:rPr>
      </w:pPr>
      <w:r>
        <w:rPr>
          <w:rFonts w:ascii="Times New Roman" w:hAnsi="Times New Roman" w:eastAsia="仿宋" w:cs="Times New Roman"/>
          <w:kern w:val="0"/>
        </w:rPr>
        <w:t>（）</w:t>
      </w:r>
      <w:r>
        <w:rPr>
          <w:rFonts w:hint="eastAsia" w:ascii="Times New Roman" w:hAnsi="Times New Roman" w:eastAsia="仿宋" w:cs="Times New Roman"/>
          <w:kern w:val="0"/>
        </w:rPr>
        <w:t>C、社会保障基金、企业年金等养老基金，慈善基金等社会公益基金，合格境外机构投资者（QFII）、人民币合格境外机构投资者（RQFII）</w:t>
      </w:r>
      <w:r>
        <w:rPr>
          <w:rFonts w:ascii="Times New Roman" w:hAnsi="Times New Roman" w:eastAsia="仿宋" w:cs="Times New Roman"/>
          <w:kern w:val="0"/>
        </w:rPr>
        <w:t>；</w:t>
      </w:r>
    </w:p>
    <w:p>
      <w:pPr>
        <w:autoSpaceDE w:val="0"/>
        <w:autoSpaceDN w:val="0"/>
        <w:adjustRightInd w:val="0"/>
        <w:spacing w:line="360" w:lineRule="auto"/>
        <w:ind w:right="-6" w:firstLine="480"/>
        <w:rPr>
          <w:rFonts w:ascii="Times New Roman" w:hAnsi="Times New Roman" w:eastAsia="仿宋" w:cs="Times New Roman"/>
          <w:kern w:val="0"/>
        </w:rPr>
      </w:pPr>
      <w:r>
        <w:rPr>
          <w:rFonts w:ascii="Times New Roman" w:hAnsi="Times New Roman" w:eastAsia="仿宋" w:cs="Times New Roman"/>
          <w:kern w:val="0"/>
        </w:rPr>
        <w:t>（）</w:t>
      </w:r>
      <w:r>
        <w:rPr>
          <w:rFonts w:hint="eastAsia" w:ascii="Times New Roman" w:hAnsi="Times New Roman" w:eastAsia="仿宋" w:cs="Times New Roman"/>
          <w:kern w:val="0"/>
        </w:rPr>
        <w:t>D、</w:t>
      </w:r>
      <w:r>
        <w:rPr>
          <w:rFonts w:ascii="Times New Roman" w:hAnsi="Times New Roman" w:eastAsia="仿宋" w:cs="Times New Roman"/>
          <w:kern w:val="0"/>
        </w:rPr>
        <w:t>同时符合下列条件的法人或者其他组织：</w:t>
      </w:r>
    </w:p>
    <w:p>
      <w:pPr>
        <w:widowControl/>
        <w:spacing w:before="100" w:beforeAutospacing="1" w:after="100" w:afterAutospacing="1"/>
        <w:ind w:firstLine="420" w:firstLineChars="200"/>
        <w:jc w:val="left"/>
        <w:rPr>
          <w:rFonts w:ascii="Times New Roman" w:hAnsi="Times New Roman" w:eastAsia="仿宋" w:cs="Times New Roman"/>
          <w:kern w:val="0"/>
          <w:sz w:val="21"/>
          <w:szCs w:val="24"/>
          <w:lang w:val="en-US" w:eastAsia="zh-CN" w:bidi="ar-SA"/>
        </w:rPr>
      </w:pPr>
      <w:r>
        <w:rPr>
          <w:rFonts w:hint="eastAsia" w:ascii="Times New Roman" w:hAnsi="Times New Roman" w:eastAsia="仿宋" w:cs="Times New Roman"/>
          <w:kern w:val="0"/>
          <w:sz w:val="21"/>
          <w:szCs w:val="24"/>
          <w:lang w:val="en-US" w:eastAsia="zh-CN" w:bidi="ar-SA"/>
        </w:rPr>
        <w:t>1.最近1年末净资产不低于2000万元；</w:t>
      </w:r>
    </w:p>
    <w:p>
      <w:pPr>
        <w:widowControl/>
        <w:spacing w:before="100" w:beforeAutospacing="1" w:after="100" w:afterAutospacing="1"/>
        <w:ind w:firstLine="420" w:firstLineChars="200"/>
        <w:jc w:val="left"/>
        <w:rPr>
          <w:rFonts w:hint="eastAsia" w:ascii="Times New Roman" w:hAnsi="Times New Roman" w:eastAsia="仿宋" w:cs="Times New Roman"/>
          <w:kern w:val="0"/>
          <w:sz w:val="21"/>
          <w:szCs w:val="24"/>
          <w:lang w:val="en-US" w:eastAsia="zh-CN" w:bidi="ar-SA"/>
        </w:rPr>
      </w:pPr>
      <w:r>
        <w:rPr>
          <w:rFonts w:hint="eastAsia" w:ascii="Times New Roman" w:hAnsi="Times New Roman" w:eastAsia="仿宋" w:cs="Times New Roman"/>
          <w:kern w:val="0"/>
          <w:sz w:val="21"/>
          <w:szCs w:val="24"/>
          <w:lang w:val="en-US" w:eastAsia="zh-CN" w:bidi="ar-SA"/>
        </w:rPr>
        <w:t>2.最近1年末金融资产不低于1000万元；</w:t>
      </w:r>
    </w:p>
    <w:p>
      <w:pPr>
        <w:widowControl/>
        <w:spacing w:before="100" w:beforeAutospacing="1" w:after="100" w:afterAutospacing="1"/>
        <w:ind w:firstLine="420" w:firstLineChars="200"/>
        <w:jc w:val="left"/>
        <w:rPr>
          <w:rFonts w:hint="eastAsia" w:ascii="Times New Roman" w:hAnsi="Times New Roman" w:eastAsia="仿宋" w:cs="Times New Roman"/>
          <w:kern w:val="0"/>
          <w:sz w:val="21"/>
          <w:szCs w:val="24"/>
          <w:lang w:val="en-US" w:eastAsia="zh-CN" w:bidi="ar-SA"/>
        </w:rPr>
      </w:pPr>
      <w:r>
        <w:rPr>
          <w:rFonts w:hint="eastAsia" w:ascii="Times New Roman" w:hAnsi="Times New Roman" w:eastAsia="仿宋" w:cs="Times New Roman"/>
          <w:kern w:val="0"/>
          <w:sz w:val="21"/>
          <w:szCs w:val="24"/>
          <w:lang w:val="en-US" w:eastAsia="zh-CN" w:bidi="ar-SA"/>
        </w:rPr>
        <w:t>3.具有2年以上证券、基金、期货、黄金、外汇等投资经历。</w:t>
      </w:r>
    </w:p>
    <w:p>
      <w:pPr>
        <w:autoSpaceDE w:val="0"/>
        <w:autoSpaceDN w:val="0"/>
        <w:adjustRightInd w:val="0"/>
        <w:spacing w:line="360" w:lineRule="auto"/>
        <w:ind w:right="-6" w:firstLine="480"/>
        <w:rPr>
          <w:rFonts w:ascii="Times New Roman" w:hAnsi="Times New Roman" w:eastAsia="仿宋" w:cs="Times New Roman"/>
          <w:kern w:val="0"/>
        </w:rPr>
      </w:pPr>
      <w:r>
        <w:rPr>
          <w:rFonts w:ascii="Times New Roman" w:hAnsi="Times New Roman" w:eastAsia="仿宋" w:cs="Times New Roman"/>
          <w:kern w:val="0"/>
        </w:rPr>
        <w:t>（）</w:t>
      </w:r>
      <w:r>
        <w:rPr>
          <w:rFonts w:hint="eastAsia" w:ascii="Times New Roman" w:hAnsi="Times New Roman" w:eastAsia="仿宋" w:cs="Times New Roman"/>
          <w:kern w:val="0"/>
        </w:rPr>
        <w:t>E、</w:t>
      </w:r>
      <w:r>
        <w:rPr>
          <w:rFonts w:ascii="Times New Roman" w:hAnsi="Times New Roman" w:eastAsia="仿宋" w:cs="Times New Roman"/>
          <w:kern w:val="0"/>
        </w:rPr>
        <w:t>同时符合下列条件的个人：</w:t>
      </w:r>
    </w:p>
    <w:p>
      <w:pPr>
        <w:autoSpaceDE w:val="0"/>
        <w:autoSpaceDN w:val="0"/>
        <w:adjustRightInd w:val="0"/>
        <w:spacing w:line="360" w:lineRule="auto"/>
        <w:ind w:right="-6" w:firstLine="480"/>
        <w:rPr>
          <w:rFonts w:ascii="Times New Roman" w:hAnsi="Times New Roman" w:eastAsia="仿宋" w:cs="Times New Roman"/>
          <w:kern w:val="0"/>
        </w:rPr>
      </w:pPr>
      <w:r>
        <w:rPr>
          <w:rFonts w:ascii="Times New Roman" w:hAnsi="Times New Roman" w:eastAsia="仿宋" w:cs="Times New Roman"/>
          <w:kern w:val="0"/>
        </w:rPr>
        <w:t>1.申请资格认定前20个交易日名下金融资产日均不低于500万元，或者最近3年个人年均收入不低于50万元；</w:t>
      </w:r>
    </w:p>
    <w:p>
      <w:pPr>
        <w:autoSpaceDE w:val="0"/>
        <w:autoSpaceDN w:val="0"/>
        <w:adjustRightInd w:val="0"/>
        <w:spacing w:line="360" w:lineRule="auto"/>
        <w:ind w:right="-6" w:firstLine="480"/>
        <w:rPr>
          <w:rFonts w:ascii="Times New Roman" w:hAnsi="Times New Roman" w:eastAsia="仿宋" w:cs="Times New Roman"/>
          <w:kern w:val="0"/>
        </w:rPr>
      </w:pPr>
      <w:r>
        <w:rPr>
          <w:rFonts w:ascii="Times New Roman" w:hAnsi="Times New Roman" w:eastAsia="仿宋" w:cs="Times New Roman"/>
          <w:kern w:val="0"/>
        </w:rPr>
        <w:t>2.具有2年以上证券、基金、期货、黄金、外汇等投资经历，或者具有2年以上金融产品设计、投资、风险管理及相关工作经历，或者属于本条第（一）项规定的专业投资者的高级管理人员、获得职业资格认证的从事金融相关业务的注册会计师和律师。</w:t>
      </w:r>
    </w:p>
    <w:p>
      <w:pPr>
        <w:autoSpaceDE w:val="0"/>
        <w:autoSpaceDN w:val="0"/>
        <w:adjustRightInd w:val="0"/>
        <w:spacing w:line="360" w:lineRule="auto"/>
        <w:ind w:right="-6" w:firstLine="482"/>
        <w:rPr>
          <w:rFonts w:ascii="Times New Roman" w:hAnsi="Times New Roman" w:eastAsia="仿宋" w:cs="Times New Roman"/>
          <w:kern w:val="0"/>
        </w:rPr>
      </w:pPr>
      <w:r>
        <w:rPr>
          <w:rFonts w:ascii="Times New Roman" w:hAnsi="Times New Roman" w:eastAsia="仿宋" w:cs="Times New Roman"/>
          <w:b/>
          <w:kern w:val="0"/>
        </w:rPr>
        <w:t>★如理财产品、合伙企业拟将主要资产投向单一债券，根据穿透原则（《公司债券发行与交易管理办法》之规定）核查最终投资者是否为符合基金业协会标准所规定的专业投资者。是（）否（）</w:t>
      </w:r>
    </w:p>
    <w:p>
      <w:pPr>
        <w:autoSpaceDE w:val="0"/>
        <w:autoSpaceDN w:val="0"/>
        <w:adjustRightInd w:val="0"/>
        <w:spacing w:line="360" w:lineRule="auto"/>
        <w:ind w:right="-6" w:firstLine="482"/>
        <w:jc w:val="right"/>
        <w:rPr>
          <w:rFonts w:ascii="Times New Roman" w:hAnsi="Times New Roman" w:eastAsia="仿宋" w:cs="Times New Roman"/>
          <w:b/>
          <w:color w:val="FF0000"/>
          <w:kern w:val="0"/>
        </w:rPr>
      </w:pPr>
      <w:r>
        <w:rPr>
          <w:rFonts w:ascii="Times New Roman" w:hAnsi="Times New Roman" w:eastAsia="仿宋" w:cs="Times New Roman"/>
          <w:b/>
          <w:kern w:val="0"/>
        </w:rPr>
        <w:t>机构名称（签章）</w:t>
      </w:r>
    </w:p>
    <w:p>
      <w:pPr>
        <w:keepNext/>
        <w:keepLines/>
        <w:widowControl/>
        <w:spacing w:before="0" w:after="0" w:line="408" w:lineRule="auto"/>
        <w:jc w:val="both"/>
        <w:outlineLvl w:val="2"/>
        <w:rPr>
          <w:rFonts w:ascii="Times New Roman" w:hAnsi="Times New Roman" w:eastAsia="仿宋" w:cs="Times New Roman"/>
          <w:color w:val="000000"/>
          <w:kern w:val="2"/>
          <w:sz w:val="28"/>
          <w:szCs w:val="24"/>
          <w:lang w:val="en-US" w:eastAsia="zh-CN" w:bidi="ar-SA"/>
        </w:rPr>
      </w:pPr>
      <w:r>
        <w:rPr>
          <w:rFonts w:ascii="Times New Roman" w:hAnsi="Times New Roman" w:eastAsia="仿宋" w:cs="Times New Roman"/>
          <w:color w:val="000000"/>
          <w:kern w:val="0"/>
          <w:sz w:val="24"/>
          <w:szCs w:val="24"/>
          <w:lang w:val="en-US" w:eastAsia="zh-CN" w:bidi="ar-SA"/>
        </w:rPr>
        <w:br w:type="page"/>
      </w:r>
      <w:r>
        <w:rPr>
          <w:rFonts w:hint="eastAsia" w:ascii="Times New Roman" w:hAnsi="Times New Roman" w:eastAsia="仿宋" w:cs="仿宋_GB2312"/>
          <w:b/>
          <w:kern w:val="0"/>
          <w:sz w:val="24"/>
          <w:szCs w:val="24"/>
          <w:lang w:val="en-US" w:eastAsia="zh-CN" w:bidi="ar-SA"/>
        </w:rPr>
        <w:t>附件5</w:t>
      </w:r>
      <w:r>
        <w:rPr>
          <w:rFonts w:ascii="Times New Roman" w:hAnsi="Times New Roman" w:eastAsia="仿宋" w:cs="Times New Roman"/>
          <w:color w:val="000000"/>
          <w:kern w:val="2"/>
          <w:sz w:val="28"/>
          <w:szCs w:val="24"/>
          <w:lang w:val="en-US" w:eastAsia="zh-CN" w:bidi="ar-SA"/>
        </w:rPr>
        <w:t xml:space="preserve">       </w:t>
      </w:r>
    </w:p>
    <w:p>
      <w:pPr>
        <w:keepNext/>
        <w:keepLines/>
        <w:widowControl/>
        <w:spacing w:before="0" w:after="0" w:line="408" w:lineRule="auto"/>
        <w:jc w:val="center"/>
        <w:outlineLvl w:val="2"/>
        <w:rPr>
          <w:rFonts w:ascii="Times New Roman" w:hAnsi="Times New Roman" w:eastAsia="仿宋" w:cs="Times New Roman"/>
          <w:kern w:val="2"/>
          <w:sz w:val="44"/>
          <w:szCs w:val="44"/>
          <w:lang w:val="en-US" w:eastAsia="zh-CN" w:bidi="ar-SA"/>
        </w:rPr>
      </w:pPr>
      <w:r>
        <w:rPr>
          <w:rFonts w:hint="eastAsia" w:ascii="Times New Roman" w:hAnsi="Times New Roman" w:eastAsia="仿宋" w:cs="仿宋_GB2312"/>
          <w:kern w:val="2"/>
          <w:sz w:val="44"/>
          <w:szCs w:val="44"/>
          <w:lang w:val="en-US" w:eastAsia="zh-CN" w:bidi="ar-SA"/>
        </w:rPr>
        <w:t>债券市场专业投资者风险揭示书</w:t>
      </w:r>
    </w:p>
    <w:p>
      <w:pPr>
        <w:autoSpaceDE w:val="0"/>
        <w:autoSpaceDN w:val="0"/>
        <w:adjustRightInd w:val="0"/>
        <w:spacing w:line="276" w:lineRule="auto"/>
        <w:ind w:right="-6" w:firstLine="480"/>
        <w:rPr>
          <w:rFonts w:eastAsia="仿宋"/>
        </w:rPr>
      </w:pPr>
      <w:r>
        <w:rPr>
          <w:rFonts w:hint="eastAsia" w:eastAsia="仿宋" w:cs="仿宋_GB2312"/>
        </w:rPr>
        <w:t>一、【总则】债券投资具有信用风险、市场风险、流动性风险、放大交易风险、质押券价值变动风险、政策风险及其他各类风险。</w:t>
      </w:r>
    </w:p>
    <w:p>
      <w:pPr>
        <w:autoSpaceDE w:val="0"/>
        <w:autoSpaceDN w:val="0"/>
        <w:adjustRightInd w:val="0"/>
        <w:spacing w:line="276" w:lineRule="auto"/>
        <w:ind w:right="-6" w:firstLine="480"/>
        <w:rPr>
          <w:rFonts w:eastAsia="仿宋"/>
        </w:rPr>
      </w:pPr>
      <w:r>
        <w:rPr>
          <w:rFonts w:hint="eastAsia" w:eastAsia="仿宋" w:cs="仿宋_GB2312"/>
        </w:rPr>
        <w:t>二、【投资者适当性】投资者应当根据自身的财务状况、投资的资金来源、实际需求、风险承受能力，投资损失后的损失计提、核销等承担损失方式以及内部制度（若为机构），审慎决定参与债券交易。</w:t>
      </w:r>
    </w:p>
    <w:p>
      <w:pPr>
        <w:autoSpaceDE w:val="0"/>
        <w:autoSpaceDN w:val="0"/>
        <w:adjustRightInd w:val="0"/>
        <w:spacing w:line="276" w:lineRule="auto"/>
        <w:ind w:right="-6" w:firstLine="480"/>
        <w:rPr>
          <w:rFonts w:eastAsia="仿宋"/>
        </w:rPr>
      </w:pPr>
      <w:r>
        <w:rPr>
          <w:rFonts w:hint="eastAsia" w:eastAsia="仿宋" w:cs="仿宋_GB2312"/>
        </w:rPr>
        <w:t>三、【信用风险】债券发行人无法按期还本付息的风险。如果投资者购买或持有资信评级较低的信用债，将面临显著的信用风险。</w:t>
      </w:r>
    </w:p>
    <w:p>
      <w:pPr>
        <w:autoSpaceDE w:val="0"/>
        <w:autoSpaceDN w:val="0"/>
        <w:adjustRightInd w:val="0"/>
        <w:spacing w:line="276" w:lineRule="auto"/>
        <w:ind w:right="-6" w:firstLine="480"/>
        <w:rPr>
          <w:rFonts w:eastAsia="仿宋"/>
        </w:rPr>
      </w:pPr>
      <w:r>
        <w:rPr>
          <w:rFonts w:hint="eastAsia" w:eastAsia="仿宋" w:cs="仿宋_GB2312"/>
        </w:rPr>
        <w:t>四、【市场风险】由于市场环境或供求关系等因素导致的债券价格波动的风险。</w:t>
      </w:r>
    </w:p>
    <w:p>
      <w:pPr>
        <w:autoSpaceDE w:val="0"/>
        <w:autoSpaceDN w:val="0"/>
        <w:adjustRightInd w:val="0"/>
        <w:spacing w:line="276" w:lineRule="auto"/>
        <w:ind w:right="-6" w:firstLine="480"/>
        <w:rPr>
          <w:rFonts w:eastAsia="仿宋"/>
        </w:rPr>
      </w:pPr>
      <w:r>
        <w:rPr>
          <w:rFonts w:hint="eastAsia" w:eastAsia="仿宋" w:cs="仿宋_GB2312"/>
        </w:rPr>
        <w:t>五、【流动性风险】投资者在短期内无法以合理价格买入或卖出债券，从而遭受损失的风险。</w:t>
      </w:r>
    </w:p>
    <w:p>
      <w:pPr>
        <w:autoSpaceDE w:val="0"/>
        <w:autoSpaceDN w:val="0"/>
        <w:adjustRightInd w:val="0"/>
        <w:spacing w:line="276" w:lineRule="auto"/>
        <w:ind w:right="-6" w:firstLine="480"/>
        <w:rPr>
          <w:rFonts w:eastAsia="仿宋"/>
        </w:rPr>
      </w:pPr>
      <w:r>
        <w:rPr>
          <w:rFonts w:hint="eastAsia" w:eastAsia="仿宋" w:cs="仿宋_GB2312"/>
        </w:rPr>
        <w:t>六、【放大交易风险】投资人利用现券和回购两个品种进行债券投资的放大操作，从而放大投资损失的风险。</w:t>
      </w:r>
    </w:p>
    <w:p>
      <w:pPr>
        <w:autoSpaceDE w:val="0"/>
        <w:autoSpaceDN w:val="0"/>
        <w:adjustRightInd w:val="0"/>
        <w:spacing w:line="276" w:lineRule="auto"/>
        <w:ind w:right="-6" w:firstLine="480"/>
        <w:rPr>
          <w:rFonts w:eastAsia="仿宋"/>
        </w:rPr>
      </w:pPr>
      <w:r>
        <w:rPr>
          <w:rFonts w:hint="eastAsia" w:eastAsia="仿宋" w:cs="仿宋_GB2312"/>
        </w:rPr>
        <w:t>七、【质押券价值变动风险】投资者在参与质押式回购业务期间需要保证回购标准券足额。如果回购期间债券价格下跌，标准券折算率相应下调，融资方将面临标准券欠库风险。融资方需要及时补充质押券避免标准券不足。投资者在参与质押式协议回购业务期间可能存在质押券价值波动、分期偿还、分期摊还、司法冻结或扣划等情形导致质押券贬值或不足的风险。</w:t>
      </w:r>
    </w:p>
    <w:p>
      <w:pPr>
        <w:autoSpaceDE w:val="0"/>
        <w:autoSpaceDN w:val="0"/>
        <w:adjustRightInd w:val="0"/>
        <w:spacing w:line="276" w:lineRule="auto"/>
        <w:ind w:right="-6" w:firstLine="480"/>
        <w:rPr>
          <w:rFonts w:eastAsia="仿宋"/>
        </w:rPr>
      </w:pPr>
      <w:r>
        <w:rPr>
          <w:rFonts w:hint="eastAsia" w:eastAsia="仿宋" w:cs="仿宋_GB2312"/>
        </w:rPr>
        <w:t>八、【操作风险】由于投资者操作失误，证券公司或结算代理人未履行职责等原因导致的操作风险。</w:t>
      </w:r>
    </w:p>
    <w:p>
      <w:pPr>
        <w:autoSpaceDE w:val="0"/>
        <w:autoSpaceDN w:val="0"/>
        <w:adjustRightInd w:val="0"/>
        <w:spacing w:line="276" w:lineRule="auto"/>
        <w:ind w:right="-6" w:firstLine="480"/>
        <w:rPr>
          <w:rFonts w:eastAsia="仿宋"/>
        </w:rPr>
      </w:pPr>
      <w:r>
        <w:rPr>
          <w:rFonts w:hint="eastAsia" w:eastAsia="仿宋" w:cs="仿宋_GB2312"/>
        </w:rPr>
        <w:t>九、【政策风险】由于国家法律、法规、政策、交易所规则的变化、修改等原因，可能会对投资者的交易产生不利影响，甚至造成经济损失。对于因交易所制定、修改业务规则或者根据业务规则履行自律监管职责等造成的损失，交易所不承担责任。</w:t>
      </w:r>
    </w:p>
    <w:p>
      <w:pPr>
        <w:autoSpaceDE w:val="0"/>
        <w:autoSpaceDN w:val="0"/>
        <w:adjustRightInd w:val="0"/>
        <w:spacing w:line="276" w:lineRule="auto"/>
        <w:ind w:right="-6" w:firstLine="480"/>
        <w:rPr>
          <w:rFonts w:eastAsia="仿宋"/>
        </w:rPr>
      </w:pPr>
      <w:r>
        <w:rPr>
          <w:rFonts w:hint="eastAsia" w:eastAsia="仿宋" w:cs="仿宋_GB2312"/>
        </w:rPr>
        <w:t>十、【不可抗力风险】因出现火灾、地震、瘟疫、社会动乱等不能预见、避免或克服的不可抗力情形给投资者造成的风险。</w:t>
      </w:r>
    </w:p>
    <w:p>
      <w:pPr>
        <w:autoSpaceDE w:val="0"/>
        <w:autoSpaceDN w:val="0"/>
        <w:adjustRightInd w:val="0"/>
        <w:spacing w:line="276" w:lineRule="auto"/>
        <w:ind w:right="-6" w:firstLine="482"/>
        <w:rPr>
          <w:rFonts w:eastAsia="仿宋"/>
          <w:b/>
        </w:rPr>
      </w:pPr>
      <w:r>
        <w:rPr>
          <w:rFonts w:hint="eastAsia" w:eastAsia="仿宋" w:cs="仿宋_GB2312"/>
          <w:b/>
        </w:rPr>
        <w:t>本风险揭示书的揭示事项仅为列举性质，未能详尽列明债券交易的所有风险。投资者在参与债券交易前，应认真阅读债券上市说明书以及交易所相关业务规则，并做好风险评估与财务安排，确定自身有足够的风险承受能力，避免因参与债券交易而遭受难以承受的损失。</w:t>
      </w:r>
    </w:p>
    <w:p>
      <w:pPr>
        <w:autoSpaceDE w:val="0"/>
        <w:autoSpaceDN w:val="0"/>
        <w:adjustRightInd w:val="0"/>
        <w:spacing w:line="276" w:lineRule="auto"/>
        <w:ind w:right="-6" w:firstLine="482"/>
        <w:rPr>
          <w:rFonts w:eastAsia="仿宋"/>
          <w:b/>
          <w:color w:val="000000"/>
          <w:sz w:val="28"/>
          <w:szCs w:val="28"/>
        </w:rPr>
      </w:pPr>
      <w:r>
        <w:rPr>
          <w:rFonts w:hint="eastAsia" w:eastAsia="仿宋" w:cs="仿宋_GB2312"/>
          <w:b/>
        </w:rPr>
        <w:t>本人确认已知晓并理解《风险揭示书》的全部内容，承诺本人已具备</w:t>
      </w:r>
      <w:r>
        <w:rPr>
          <w:rFonts w:hint="eastAsia" w:eastAsia="仿宋" w:cs="仿宋_GB2312"/>
          <w:b/>
          <w:lang w:val="en-US" w:eastAsia="zh-CN"/>
        </w:rPr>
        <w:t>专业</w:t>
      </w:r>
      <w:r>
        <w:rPr>
          <w:rFonts w:hint="eastAsia" w:eastAsia="仿宋" w:cs="仿宋_GB2312"/>
          <w:b/>
        </w:rPr>
        <w:t>投资者资格，愿意承担投资仅限</w:t>
      </w:r>
      <w:r>
        <w:rPr>
          <w:rFonts w:hint="eastAsia" w:eastAsia="仿宋" w:cs="仿宋_GB2312"/>
          <w:b/>
          <w:lang w:val="en-US" w:eastAsia="zh-CN"/>
        </w:rPr>
        <w:t>专业</w:t>
      </w:r>
      <w:r>
        <w:rPr>
          <w:rFonts w:hint="eastAsia" w:eastAsia="仿宋" w:cs="仿宋_GB2312"/>
          <w:b/>
        </w:rPr>
        <w:t>投资者参与认购及交易债券的风险和损失。</w:t>
      </w:r>
    </w:p>
    <w:p>
      <w:pPr>
        <w:autoSpaceDE w:val="0"/>
        <w:autoSpaceDN w:val="0"/>
        <w:adjustRightInd w:val="0"/>
        <w:spacing w:line="360" w:lineRule="auto"/>
        <w:ind w:right="-6" w:firstLine="482"/>
        <w:jc w:val="right"/>
        <w:rPr>
          <w:rFonts w:eastAsia="仿宋"/>
          <w:b/>
          <w:kern w:val="0"/>
        </w:rPr>
      </w:pPr>
    </w:p>
    <w:p>
      <w:pPr>
        <w:autoSpaceDE w:val="0"/>
        <w:autoSpaceDN w:val="0"/>
        <w:adjustRightInd w:val="0"/>
        <w:spacing w:line="360" w:lineRule="auto"/>
        <w:ind w:right="-6" w:firstLine="482"/>
        <w:jc w:val="right"/>
        <w:rPr>
          <w:rFonts w:eastAsia="仿宋"/>
          <w:b/>
          <w:color w:val="000000"/>
          <w:sz w:val="24"/>
        </w:rPr>
      </w:pPr>
      <w:r>
        <w:rPr>
          <w:rFonts w:hint="eastAsia" w:eastAsia="仿宋" w:cs="仿宋_GB2312"/>
          <w:b/>
          <w:color w:val="000000"/>
          <w:sz w:val="24"/>
        </w:rPr>
        <w:t>机构名称（签章）</w:t>
      </w:r>
    </w:p>
    <w:p>
      <w:pPr>
        <w:autoSpaceDE w:val="0"/>
        <w:autoSpaceDN w:val="0"/>
        <w:adjustRightInd w:val="0"/>
        <w:jc w:val="right"/>
        <w:rPr>
          <w:rFonts w:eastAsia="仿宋"/>
          <w:b/>
          <w:color w:val="000000"/>
          <w:sz w:val="24"/>
        </w:rPr>
      </w:pPr>
    </w:p>
    <w:p>
      <w:pPr>
        <w:autoSpaceDE w:val="0"/>
        <w:autoSpaceDN w:val="0"/>
        <w:adjustRightInd w:val="0"/>
        <w:jc w:val="right"/>
        <w:rPr>
          <w:rFonts w:hint="eastAsia" w:eastAsia="仿宋"/>
          <w:color w:val="000000"/>
          <w:kern w:val="0"/>
          <w:sz w:val="24"/>
        </w:rPr>
      </w:pPr>
      <w:r>
        <w:rPr>
          <w:rFonts w:hint="eastAsia" w:eastAsia="仿宋"/>
          <w:b/>
          <w:color w:val="000000"/>
          <w:sz w:val="24"/>
        </w:rPr>
        <w:t xml:space="preserve"> </w:t>
      </w:r>
      <w:r>
        <w:rPr>
          <w:rFonts w:eastAsia="仿宋"/>
          <w:b/>
          <w:color w:val="000000"/>
          <w:sz w:val="24"/>
        </w:rPr>
        <w:t xml:space="preserve">  </w:t>
      </w:r>
      <w:r>
        <w:rPr>
          <w:rFonts w:hint="eastAsia" w:eastAsia="仿宋"/>
          <w:b/>
          <w:color w:val="000000"/>
          <w:sz w:val="24"/>
        </w:rPr>
        <w:t>签署日期：</w:t>
      </w:r>
      <w:r>
        <w:rPr>
          <w:rFonts w:eastAsia="仿宋"/>
          <w:b/>
          <w:color w:val="000000"/>
          <w:sz w:val="24"/>
        </w:rPr>
        <w:t xml:space="preserve">    </w:t>
      </w:r>
      <w:r>
        <w:rPr>
          <w:rFonts w:hint="eastAsia" w:eastAsia="仿宋"/>
          <w:b/>
          <w:color w:val="000000"/>
          <w:sz w:val="24"/>
        </w:rPr>
        <w:t>年</w:t>
      </w:r>
      <w:r>
        <w:rPr>
          <w:rFonts w:eastAsia="仿宋"/>
          <w:b/>
          <w:color w:val="000000"/>
          <w:sz w:val="24"/>
        </w:rPr>
        <w:t xml:space="preserve">  </w:t>
      </w:r>
      <w:r>
        <w:rPr>
          <w:rFonts w:hint="eastAsia" w:eastAsia="仿宋"/>
          <w:b/>
          <w:color w:val="000000"/>
          <w:sz w:val="24"/>
        </w:rPr>
        <w:t xml:space="preserve">  月    日</w:t>
      </w:r>
    </w:p>
    <w:p>
      <w:pPr>
        <w:rPr>
          <w:rFonts w:hint="eastAsia"/>
          <w:lang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C594E"/>
    <w:multiLevelType w:val="singleLevel"/>
    <w:tmpl w:val="8C2C594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2MmI1N2M4ZWQ3YTljZWU1YjQ1MGYzYjc1MjdkOTgifQ=="/>
  </w:docVars>
  <w:rsids>
    <w:rsidRoot w:val="75DA6588"/>
    <w:rsid w:val="001F7134"/>
    <w:rsid w:val="00442227"/>
    <w:rsid w:val="005172BA"/>
    <w:rsid w:val="00712DB8"/>
    <w:rsid w:val="007C708C"/>
    <w:rsid w:val="009163F8"/>
    <w:rsid w:val="00CE4469"/>
    <w:rsid w:val="01183376"/>
    <w:rsid w:val="011D2E84"/>
    <w:rsid w:val="012C4BAE"/>
    <w:rsid w:val="01350CF6"/>
    <w:rsid w:val="017262C0"/>
    <w:rsid w:val="01834888"/>
    <w:rsid w:val="019C38D7"/>
    <w:rsid w:val="01B33D0B"/>
    <w:rsid w:val="01B82FD9"/>
    <w:rsid w:val="01D54CCF"/>
    <w:rsid w:val="01D85031"/>
    <w:rsid w:val="01DB3A39"/>
    <w:rsid w:val="01ED415D"/>
    <w:rsid w:val="024106A6"/>
    <w:rsid w:val="02D37C9A"/>
    <w:rsid w:val="02FE7185"/>
    <w:rsid w:val="03023066"/>
    <w:rsid w:val="037907B5"/>
    <w:rsid w:val="03ED4467"/>
    <w:rsid w:val="04112CD4"/>
    <w:rsid w:val="0437595B"/>
    <w:rsid w:val="043D6C2B"/>
    <w:rsid w:val="0451761A"/>
    <w:rsid w:val="046E4526"/>
    <w:rsid w:val="049C4808"/>
    <w:rsid w:val="04BE385A"/>
    <w:rsid w:val="04D97741"/>
    <w:rsid w:val="04E951BD"/>
    <w:rsid w:val="04EA0173"/>
    <w:rsid w:val="04F91756"/>
    <w:rsid w:val="052C1AE9"/>
    <w:rsid w:val="054816F4"/>
    <w:rsid w:val="05760C9E"/>
    <w:rsid w:val="05777FDA"/>
    <w:rsid w:val="058E6040"/>
    <w:rsid w:val="05994FC3"/>
    <w:rsid w:val="05E059F3"/>
    <w:rsid w:val="060A0B62"/>
    <w:rsid w:val="060B40F7"/>
    <w:rsid w:val="062916AE"/>
    <w:rsid w:val="06447858"/>
    <w:rsid w:val="066570FD"/>
    <w:rsid w:val="067E1E3D"/>
    <w:rsid w:val="06814D29"/>
    <w:rsid w:val="069A6BD7"/>
    <w:rsid w:val="06DE1793"/>
    <w:rsid w:val="06F857D4"/>
    <w:rsid w:val="070D798C"/>
    <w:rsid w:val="07167D89"/>
    <w:rsid w:val="07605A98"/>
    <w:rsid w:val="07782E85"/>
    <w:rsid w:val="078607B4"/>
    <w:rsid w:val="079E06FB"/>
    <w:rsid w:val="07A65717"/>
    <w:rsid w:val="07BE34DF"/>
    <w:rsid w:val="07D4100F"/>
    <w:rsid w:val="07DD6F8B"/>
    <w:rsid w:val="082A0E57"/>
    <w:rsid w:val="082B126E"/>
    <w:rsid w:val="087A1983"/>
    <w:rsid w:val="087C144D"/>
    <w:rsid w:val="08845096"/>
    <w:rsid w:val="08A40895"/>
    <w:rsid w:val="08AF11BB"/>
    <w:rsid w:val="08C13FF3"/>
    <w:rsid w:val="08E223D0"/>
    <w:rsid w:val="08E9235F"/>
    <w:rsid w:val="08FB75C3"/>
    <w:rsid w:val="090B6D18"/>
    <w:rsid w:val="091D3F4B"/>
    <w:rsid w:val="091E1387"/>
    <w:rsid w:val="09231098"/>
    <w:rsid w:val="09291329"/>
    <w:rsid w:val="094F4673"/>
    <w:rsid w:val="095F77A4"/>
    <w:rsid w:val="096551C7"/>
    <w:rsid w:val="09657C3F"/>
    <w:rsid w:val="09B25915"/>
    <w:rsid w:val="09B31A8D"/>
    <w:rsid w:val="09C60DFE"/>
    <w:rsid w:val="09E64BE5"/>
    <w:rsid w:val="0A065545"/>
    <w:rsid w:val="0A0C1030"/>
    <w:rsid w:val="0A2A4BFE"/>
    <w:rsid w:val="0A5A1287"/>
    <w:rsid w:val="0A654E12"/>
    <w:rsid w:val="0A71375A"/>
    <w:rsid w:val="0A843680"/>
    <w:rsid w:val="0A8B03D6"/>
    <w:rsid w:val="0AAA5AA3"/>
    <w:rsid w:val="0AAE19DB"/>
    <w:rsid w:val="0ACA267A"/>
    <w:rsid w:val="0AD32095"/>
    <w:rsid w:val="0AD84190"/>
    <w:rsid w:val="0AE07835"/>
    <w:rsid w:val="0B0252A5"/>
    <w:rsid w:val="0B0E585E"/>
    <w:rsid w:val="0B1C15D5"/>
    <w:rsid w:val="0B2E2B1C"/>
    <w:rsid w:val="0B4E339D"/>
    <w:rsid w:val="0B547525"/>
    <w:rsid w:val="0B5E5067"/>
    <w:rsid w:val="0BA37A38"/>
    <w:rsid w:val="0BAF3901"/>
    <w:rsid w:val="0BD80BFA"/>
    <w:rsid w:val="0BD90E04"/>
    <w:rsid w:val="0BE30429"/>
    <w:rsid w:val="0BF34312"/>
    <w:rsid w:val="0C0229FB"/>
    <w:rsid w:val="0C0E7C11"/>
    <w:rsid w:val="0C13264F"/>
    <w:rsid w:val="0C276469"/>
    <w:rsid w:val="0C3772FB"/>
    <w:rsid w:val="0C3E7F79"/>
    <w:rsid w:val="0C5D328F"/>
    <w:rsid w:val="0C7F63FC"/>
    <w:rsid w:val="0CAA5393"/>
    <w:rsid w:val="0CB67E6A"/>
    <w:rsid w:val="0CD33924"/>
    <w:rsid w:val="0CD8092D"/>
    <w:rsid w:val="0D2170A7"/>
    <w:rsid w:val="0D3D74F0"/>
    <w:rsid w:val="0D73768B"/>
    <w:rsid w:val="0DC35A7C"/>
    <w:rsid w:val="0E726CA1"/>
    <w:rsid w:val="0E734B8A"/>
    <w:rsid w:val="0E887E5F"/>
    <w:rsid w:val="0E917AD9"/>
    <w:rsid w:val="0E9460D0"/>
    <w:rsid w:val="0EAE74D9"/>
    <w:rsid w:val="0ED661A8"/>
    <w:rsid w:val="0EDA0CAB"/>
    <w:rsid w:val="0EE42008"/>
    <w:rsid w:val="0EE60059"/>
    <w:rsid w:val="0F010178"/>
    <w:rsid w:val="0F063879"/>
    <w:rsid w:val="0F080E58"/>
    <w:rsid w:val="0F0915CD"/>
    <w:rsid w:val="0F1374AE"/>
    <w:rsid w:val="0F4704B5"/>
    <w:rsid w:val="0F4B31B0"/>
    <w:rsid w:val="0F8E73E5"/>
    <w:rsid w:val="0F8F0C63"/>
    <w:rsid w:val="0FA23D76"/>
    <w:rsid w:val="0FAA21E9"/>
    <w:rsid w:val="0FCB7EEA"/>
    <w:rsid w:val="0FD57023"/>
    <w:rsid w:val="10173061"/>
    <w:rsid w:val="102336D6"/>
    <w:rsid w:val="10343449"/>
    <w:rsid w:val="10511251"/>
    <w:rsid w:val="109B7BFD"/>
    <w:rsid w:val="10A5044C"/>
    <w:rsid w:val="111B40CD"/>
    <w:rsid w:val="1142536C"/>
    <w:rsid w:val="11663ED9"/>
    <w:rsid w:val="11700F50"/>
    <w:rsid w:val="117E5E07"/>
    <w:rsid w:val="1191637F"/>
    <w:rsid w:val="119A3416"/>
    <w:rsid w:val="11DF550B"/>
    <w:rsid w:val="123C3C0A"/>
    <w:rsid w:val="12AD1001"/>
    <w:rsid w:val="12B22C23"/>
    <w:rsid w:val="12C74C88"/>
    <w:rsid w:val="12CF58FB"/>
    <w:rsid w:val="12FD397A"/>
    <w:rsid w:val="13157617"/>
    <w:rsid w:val="134F54AF"/>
    <w:rsid w:val="13B65179"/>
    <w:rsid w:val="13C219B5"/>
    <w:rsid w:val="14205965"/>
    <w:rsid w:val="146C68EB"/>
    <w:rsid w:val="14972810"/>
    <w:rsid w:val="14B57B69"/>
    <w:rsid w:val="14B7518B"/>
    <w:rsid w:val="15267BAD"/>
    <w:rsid w:val="152D48FF"/>
    <w:rsid w:val="154550CA"/>
    <w:rsid w:val="15506BDF"/>
    <w:rsid w:val="155178BC"/>
    <w:rsid w:val="15927F5F"/>
    <w:rsid w:val="15956708"/>
    <w:rsid w:val="15D437D8"/>
    <w:rsid w:val="15D83F8D"/>
    <w:rsid w:val="16007030"/>
    <w:rsid w:val="161C1F87"/>
    <w:rsid w:val="16277C0D"/>
    <w:rsid w:val="164F6BEF"/>
    <w:rsid w:val="16567678"/>
    <w:rsid w:val="16D85246"/>
    <w:rsid w:val="172A3D55"/>
    <w:rsid w:val="17946E1B"/>
    <w:rsid w:val="17B103B7"/>
    <w:rsid w:val="17B96090"/>
    <w:rsid w:val="17BC5ADB"/>
    <w:rsid w:val="17D2779C"/>
    <w:rsid w:val="17FF034A"/>
    <w:rsid w:val="18261619"/>
    <w:rsid w:val="18392ED6"/>
    <w:rsid w:val="18483CF9"/>
    <w:rsid w:val="184A5753"/>
    <w:rsid w:val="186E4B74"/>
    <w:rsid w:val="18A0504D"/>
    <w:rsid w:val="18A1417C"/>
    <w:rsid w:val="18C910A9"/>
    <w:rsid w:val="18D04603"/>
    <w:rsid w:val="18ED10E5"/>
    <w:rsid w:val="1901541F"/>
    <w:rsid w:val="190D5CA2"/>
    <w:rsid w:val="191B71BC"/>
    <w:rsid w:val="192C02A1"/>
    <w:rsid w:val="193870D7"/>
    <w:rsid w:val="194D2177"/>
    <w:rsid w:val="19682511"/>
    <w:rsid w:val="196E62C8"/>
    <w:rsid w:val="198743A6"/>
    <w:rsid w:val="1991277D"/>
    <w:rsid w:val="19AA7351"/>
    <w:rsid w:val="19AB7C61"/>
    <w:rsid w:val="19C23361"/>
    <w:rsid w:val="19F15C42"/>
    <w:rsid w:val="1A0F32EE"/>
    <w:rsid w:val="1A126508"/>
    <w:rsid w:val="1A1B5B38"/>
    <w:rsid w:val="1A2754F0"/>
    <w:rsid w:val="1A3E6C18"/>
    <w:rsid w:val="1A5D3FC7"/>
    <w:rsid w:val="1A620F07"/>
    <w:rsid w:val="1A6E2540"/>
    <w:rsid w:val="1A7A0901"/>
    <w:rsid w:val="1A7B6AC5"/>
    <w:rsid w:val="1A8970D5"/>
    <w:rsid w:val="1AC05AA8"/>
    <w:rsid w:val="1ACE34AE"/>
    <w:rsid w:val="1AEA0F16"/>
    <w:rsid w:val="1AEB2C3A"/>
    <w:rsid w:val="1B1475F6"/>
    <w:rsid w:val="1B476500"/>
    <w:rsid w:val="1B6A0149"/>
    <w:rsid w:val="1B887E38"/>
    <w:rsid w:val="1B9B1A50"/>
    <w:rsid w:val="1BB978D3"/>
    <w:rsid w:val="1BCE4B07"/>
    <w:rsid w:val="1C19023D"/>
    <w:rsid w:val="1C27176F"/>
    <w:rsid w:val="1C360AF3"/>
    <w:rsid w:val="1C6343D9"/>
    <w:rsid w:val="1CB23F2F"/>
    <w:rsid w:val="1CC12296"/>
    <w:rsid w:val="1CD61757"/>
    <w:rsid w:val="1D5B3011"/>
    <w:rsid w:val="1D7625FF"/>
    <w:rsid w:val="1D7978B2"/>
    <w:rsid w:val="1D8D0076"/>
    <w:rsid w:val="1DC05B19"/>
    <w:rsid w:val="1DE94C1E"/>
    <w:rsid w:val="1E082481"/>
    <w:rsid w:val="1E0B2D16"/>
    <w:rsid w:val="1E1E5AB0"/>
    <w:rsid w:val="1E372573"/>
    <w:rsid w:val="1E5A0E1B"/>
    <w:rsid w:val="1E7D3E6D"/>
    <w:rsid w:val="1E8575DE"/>
    <w:rsid w:val="1EB736EF"/>
    <w:rsid w:val="1EB840F5"/>
    <w:rsid w:val="1EC259A4"/>
    <w:rsid w:val="1EC861A3"/>
    <w:rsid w:val="1F003B63"/>
    <w:rsid w:val="1F3D4E0C"/>
    <w:rsid w:val="1F6B7C79"/>
    <w:rsid w:val="1FA45B69"/>
    <w:rsid w:val="1FE46336"/>
    <w:rsid w:val="1FE664CF"/>
    <w:rsid w:val="20293F9E"/>
    <w:rsid w:val="20297634"/>
    <w:rsid w:val="20471526"/>
    <w:rsid w:val="205411FC"/>
    <w:rsid w:val="20551884"/>
    <w:rsid w:val="20691B7B"/>
    <w:rsid w:val="20726B8D"/>
    <w:rsid w:val="2089449E"/>
    <w:rsid w:val="20B742EF"/>
    <w:rsid w:val="20C05A20"/>
    <w:rsid w:val="20CC73B3"/>
    <w:rsid w:val="20F366F0"/>
    <w:rsid w:val="20F405E4"/>
    <w:rsid w:val="212C2CB9"/>
    <w:rsid w:val="21A97679"/>
    <w:rsid w:val="21B61BCB"/>
    <w:rsid w:val="21B735D4"/>
    <w:rsid w:val="21C028B6"/>
    <w:rsid w:val="22064D8D"/>
    <w:rsid w:val="221D5EA9"/>
    <w:rsid w:val="227E1FA8"/>
    <w:rsid w:val="227E2FDB"/>
    <w:rsid w:val="22AC0699"/>
    <w:rsid w:val="22DB36EF"/>
    <w:rsid w:val="22E03F25"/>
    <w:rsid w:val="2317744E"/>
    <w:rsid w:val="232223AF"/>
    <w:rsid w:val="23334950"/>
    <w:rsid w:val="234E76A1"/>
    <w:rsid w:val="235E6DB8"/>
    <w:rsid w:val="236B6280"/>
    <w:rsid w:val="23A7589D"/>
    <w:rsid w:val="23C1352A"/>
    <w:rsid w:val="240E558D"/>
    <w:rsid w:val="243729CE"/>
    <w:rsid w:val="2441692C"/>
    <w:rsid w:val="24457A15"/>
    <w:rsid w:val="24465329"/>
    <w:rsid w:val="24571CDE"/>
    <w:rsid w:val="246416AB"/>
    <w:rsid w:val="2480420F"/>
    <w:rsid w:val="248D2CD4"/>
    <w:rsid w:val="24910C39"/>
    <w:rsid w:val="24925672"/>
    <w:rsid w:val="24A00F95"/>
    <w:rsid w:val="24DB387F"/>
    <w:rsid w:val="250F35CF"/>
    <w:rsid w:val="252E77D9"/>
    <w:rsid w:val="2538067D"/>
    <w:rsid w:val="253C38FD"/>
    <w:rsid w:val="254A1FF2"/>
    <w:rsid w:val="255845CD"/>
    <w:rsid w:val="258350EA"/>
    <w:rsid w:val="259A5988"/>
    <w:rsid w:val="25B83272"/>
    <w:rsid w:val="25C62E8E"/>
    <w:rsid w:val="25E536FC"/>
    <w:rsid w:val="25F94153"/>
    <w:rsid w:val="26336112"/>
    <w:rsid w:val="265A56C1"/>
    <w:rsid w:val="267A58F8"/>
    <w:rsid w:val="26A60B39"/>
    <w:rsid w:val="26D1336F"/>
    <w:rsid w:val="26E73647"/>
    <w:rsid w:val="26EC18B4"/>
    <w:rsid w:val="26F6118D"/>
    <w:rsid w:val="27326B35"/>
    <w:rsid w:val="27397BAF"/>
    <w:rsid w:val="27442C59"/>
    <w:rsid w:val="274A5178"/>
    <w:rsid w:val="277C1D38"/>
    <w:rsid w:val="279D6B68"/>
    <w:rsid w:val="27B60D7A"/>
    <w:rsid w:val="27E51E7B"/>
    <w:rsid w:val="2817410D"/>
    <w:rsid w:val="281B6FDD"/>
    <w:rsid w:val="28212BFC"/>
    <w:rsid w:val="283768DB"/>
    <w:rsid w:val="28452471"/>
    <w:rsid w:val="28A673EF"/>
    <w:rsid w:val="28AE4D25"/>
    <w:rsid w:val="28C724C8"/>
    <w:rsid w:val="28C7784A"/>
    <w:rsid w:val="291D0CB2"/>
    <w:rsid w:val="296E065F"/>
    <w:rsid w:val="298816DF"/>
    <w:rsid w:val="298F5F12"/>
    <w:rsid w:val="29E63AFD"/>
    <w:rsid w:val="29EA0BEE"/>
    <w:rsid w:val="29FA77AD"/>
    <w:rsid w:val="2A0238FF"/>
    <w:rsid w:val="2A27459C"/>
    <w:rsid w:val="2A5D152B"/>
    <w:rsid w:val="2AA33476"/>
    <w:rsid w:val="2AEF5193"/>
    <w:rsid w:val="2B1643FE"/>
    <w:rsid w:val="2B4D1477"/>
    <w:rsid w:val="2B5113C9"/>
    <w:rsid w:val="2B59358D"/>
    <w:rsid w:val="2B9D58D3"/>
    <w:rsid w:val="2B9E197F"/>
    <w:rsid w:val="2BB47515"/>
    <w:rsid w:val="2BBA53A3"/>
    <w:rsid w:val="2BC34D8F"/>
    <w:rsid w:val="2BD7526E"/>
    <w:rsid w:val="2BE32564"/>
    <w:rsid w:val="2BF50ABA"/>
    <w:rsid w:val="2C076C58"/>
    <w:rsid w:val="2C274EDF"/>
    <w:rsid w:val="2CE21EE4"/>
    <w:rsid w:val="2CF85F78"/>
    <w:rsid w:val="2CF931DE"/>
    <w:rsid w:val="2D3E42BE"/>
    <w:rsid w:val="2D85148A"/>
    <w:rsid w:val="2D8E597B"/>
    <w:rsid w:val="2DF3288D"/>
    <w:rsid w:val="2E274398"/>
    <w:rsid w:val="2E665472"/>
    <w:rsid w:val="2E7D2377"/>
    <w:rsid w:val="2E991FB2"/>
    <w:rsid w:val="2EA4518D"/>
    <w:rsid w:val="2ED06FBC"/>
    <w:rsid w:val="2EE33CE5"/>
    <w:rsid w:val="2F0A7E4B"/>
    <w:rsid w:val="2F235707"/>
    <w:rsid w:val="2F272493"/>
    <w:rsid w:val="2F4D3226"/>
    <w:rsid w:val="2F6C4F74"/>
    <w:rsid w:val="2F7452D5"/>
    <w:rsid w:val="2F764D4F"/>
    <w:rsid w:val="2F8F11E0"/>
    <w:rsid w:val="2FAD2774"/>
    <w:rsid w:val="2FB70478"/>
    <w:rsid w:val="2FD36AA3"/>
    <w:rsid w:val="2FEF3B5B"/>
    <w:rsid w:val="2FF02FB3"/>
    <w:rsid w:val="301609DC"/>
    <w:rsid w:val="304771BC"/>
    <w:rsid w:val="305B00E0"/>
    <w:rsid w:val="30773CD8"/>
    <w:rsid w:val="30AA1173"/>
    <w:rsid w:val="30B725FB"/>
    <w:rsid w:val="31023E3D"/>
    <w:rsid w:val="31192715"/>
    <w:rsid w:val="312A6EBC"/>
    <w:rsid w:val="317525B5"/>
    <w:rsid w:val="317932A8"/>
    <w:rsid w:val="3196687D"/>
    <w:rsid w:val="31A635C3"/>
    <w:rsid w:val="31D66AAB"/>
    <w:rsid w:val="32270457"/>
    <w:rsid w:val="322C2D32"/>
    <w:rsid w:val="32397DB4"/>
    <w:rsid w:val="325143D6"/>
    <w:rsid w:val="327D0AC2"/>
    <w:rsid w:val="32B75056"/>
    <w:rsid w:val="32BA3B61"/>
    <w:rsid w:val="32DC1C52"/>
    <w:rsid w:val="32E6270E"/>
    <w:rsid w:val="33072CA2"/>
    <w:rsid w:val="330761BC"/>
    <w:rsid w:val="33327205"/>
    <w:rsid w:val="33456165"/>
    <w:rsid w:val="33833A79"/>
    <w:rsid w:val="339E570C"/>
    <w:rsid w:val="33C9742D"/>
    <w:rsid w:val="33D25E77"/>
    <w:rsid w:val="34046504"/>
    <w:rsid w:val="340C210C"/>
    <w:rsid w:val="344E6B65"/>
    <w:rsid w:val="34BF3AA8"/>
    <w:rsid w:val="34CB63BE"/>
    <w:rsid w:val="34DF688F"/>
    <w:rsid w:val="34E56E95"/>
    <w:rsid w:val="357F55CF"/>
    <w:rsid w:val="35BB23E3"/>
    <w:rsid w:val="35F96BC8"/>
    <w:rsid w:val="35FE7631"/>
    <w:rsid w:val="36053D59"/>
    <w:rsid w:val="36184072"/>
    <w:rsid w:val="361B5D10"/>
    <w:rsid w:val="36227C11"/>
    <w:rsid w:val="36556E6C"/>
    <w:rsid w:val="36854760"/>
    <w:rsid w:val="36865407"/>
    <w:rsid w:val="36B04D12"/>
    <w:rsid w:val="36C1549F"/>
    <w:rsid w:val="36E42C30"/>
    <w:rsid w:val="36E94213"/>
    <w:rsid w:val="371756C1"/>
    <w:rsid w:val="371C5096"/>
    <w:rsid w:val="375007F9"/>
    <w:rsid w:val="379D0988"/>
    <w:rsid w:val="37AC21A8"/>
    <w:rsid w:val="37E64D98"/>
    <w:rsid w:val="37EB2957"/>
    <w:rsid w:val="38003527"/>
    <w:rsid w:val="381B5841"/>
    <w:rsid w:val="38532969"/>
    <w:rsid w:val="385823D1"/>
    <w:rsid w:val="387C5CAE"/>
    <w:rsid w:val="388016A1"/>
    <w:rsid w:val="389F7930"/>
    <w:rsid w:val="38D1314B"/>
    <w:rsid w:val="38D8549D"/>
    <w:rsid w:val="393513BA"/>
    <w:rsid w:val="394533D5"/>
    <w:rsid w:val="394C744D"/>
    <w:rsid w:val="39511629"/>
    <w:rsid w:val="396072A6"/>
    <w:rsid w:val="39761B03"/>
    <w:rsid w:val="3977739A"/>
    <w:rsid w:val="39D96D4B"/>
    <w:rsid w:val="39E34B2E"/>
    <w:rsid w:val="39E86A43"/>
    <w:rsid w:val="39EF4D2F"/>
    <w:rsid w:val="3A086BD8"/>
    <w:rsid w:val="3A0B715B"/>
    <w:rsid w:val="3A181C69"/>
    <w:rsid w:val="3A3C7088"/>
    <w:rsid w:val="3AB11F96"/>
    <w:rsid w:val="3ABB0A20"/>
    <w:rsid w:val="3ACF67AA"/>
    <w:rsid w:val="3ADB2520"/>
    <w:rsid w:val="3AF83142"/>
    <w:rsid w:val="3B035FD1"/>
    <w:rsid w:val="3B123011"/>
    <w:rsid w:val="3B225BDD"/>
    <w:rsid w:val="3B894B55"/>
    <w:rsid w:val="3BC3357B"/>
    <w:rsid w:val="3C177C28"/>
    <w:rsid w:val="3C2E57DD"/>
    <w:rsid w:val="3C365D47"/>
    <w:rsid w:val="3C3F1E23"/>
    <w:rsid w:val="3CE023E4"/>
    <w:rsid w:val="3CF44A5B"/>
    <w:rsid w:val="3D067F76"/>
    <w:rsid w:val="3D335F63"/>
    <w:rsid w:val="3D40175A"/>
    <w:rsid w:val="3D6D7152"/>
    <w:rsid w:val="3D8C2391"/>
    <w:rsid w:val="3DCA72FD"/>
    <w:rsid w:val="3DE457A1"/>
    <w:rsid w:val="3DF04169"/>
    <w:rsid w:val="3E1455E8"/>
    <w:rsid w:val="3E1A7C7C"/>
    <w:rsid w:val="3E3A6F92"/>
    <w:rsid w:val="3E4F689B"/>
    <w:rsid w:val="3E7229CF"/>
    <w:rsid w:val="3E735F92"/>
    <w:rsid w:val="3E783E8E"/>
    <w:rsid w:val="3E7F29D2"/>
    <w:rsid w:val="3EA2039C"/>
    <w:rsid w:val="3EB0438C"/>
    <w:rsid w:val="3EBA5E76"/>
    <w:rsid w:val="3EDE15BA"/>
    <w:rsid w:val="3F6B24A7"/>
    <w:rsid w:val="3F6F48FA"/>
    <w:rsid w:val="3F73569B"/>
    <w:rsid w:val="3F764F3C"/>
    <w:rsid w:val="3FCE2A71"/>
    <w:rsid w:val="3FD3633E"/>
    <w:rsid w:val="3FE5271A"/>
    <w:rsid w:val="3FF14C0D"/>
    <w:rsid w:val="3FFA1DDA"/>
    <w:rsid w:val="401E4B4C"/>
    <w:rsid w:val="4052116A"/>
    <w:rsid w:val="40793181"/>
    <w:rsid w:val="4080556A"/>
    <w:rsid w:val="40970D67"/>
    <w:rsid w:val="40B31D13"/>
    <w:rsid w:val="40C31C46"/>
    <w:rsid w:val="40D378C7"/>
    <w:rsid w:val="411E2413"/>
    <w:rsid w:val="413051B8"/>
    <w:rsid w:val="41527251"/>
    <w:rsid w:val="416C7BEE"/>
    <w:rsid w:val="41982D2A"/>
    <w:rsid w:val="41C44BA6"/>
    <w:rsid w:val="41CC2ACF"/>
    <w:rsid w:val="41CC65E5"/>
    <w:rsid w:val="41E973E2"/>
    <w:rsid w:val="420342C4"/>
    <w:rsid w:val="421E43E7"/>
    <w:rsid w:val="423115BD"/>
    <w:rsid w:val="42332793"/>
    <w:rsid w:val="42352342"/>
    <w:rsid w:val="426C6ACF"/>
    <w:rsid w:val="42B614C5"/>
    <w:rsid w:val="42E27A9D"/>
    <w:rsid w:val="430D7A74"/>
    <w:rsid w:val="43155BA4"/>
    <w:rsid w:val="434819BD"/>
    <w:rsid w:val="434F6FA8"/>
    <w:rsid w:val="435750C6"/>
    <w:rsid w:val="436D09F1"/>
    <w:rsid w:val="43794F80"/>
    <w:rsid w:val="43814CBB"/>
    <w:rsid w:val="43942613"/>
    <w:rsid w:val="43B34FE2"/>
    <w:rsid w:val="43F50485"/>
    <w:rsid w:val="44171E86"/>
    <w:rsid w:val="442E023D"/>
    <w:rsid w:val="44334112"/>
    <w:rsid w:val="444C6178"/>
    <w:rsid w:val="445325D3"/>
    <w:rsid w:val="445A4E95"/>
    <w:rsid w:val="445B730B"/>
    <w:rsid w:val="445E29A4"/>
    <w:rsid w:val="447574C0"/>
    <w:rsid w:val="448A47F3"/>
    <w:rsid w:val="44976DB7"/>
    <w:rsid w:val="44BB17E6"/>
    <w:rsid w:val="44D44B60"/>
    <w:rsid w:val="44D7191B"/>
    <w:rsid w:val="452A47F3"/>
    <w:rsid w:val="456E3979"/>
    <w:rsid w:val="45B63104"/>
    <w:rsid w:val="45EF1C56"/>
    <w:rsid w:val="45F50C9C"/>
    <w:rsid w:val="45FB7CAF"/>
    <w:rsid w:val="460E1691"/>
    <w:rsid w:val="46354F1D"/>
    <w:rsid w:val="46404389"/>
    <w:rsid w:val="464C13EC"/>
    <w:rsid w:val="46677B20"/>
    <w:rsid w:val="469C5A93"/>
    <w:rsid w:val="46A52680"/>
    <w:rsid w:val="46BD1B7C"/>
    <w:rsid w:val="46E16410"/>
    <w:rsid w:val="46ED19CB"/>
    <w:rsid w:val="4706468B"/>
    <w:rsid w:val="47085521"/>
    <w:rsid w:val="4727701D"/>
    <w:rsid w:val="472B7281"/>
    <w:rsid w:val="473F7363"/>
    <w:rsid w:val="47576E8F"/>
    <w:rsid w:val="47660950"/>
    <w:rsid w:val="47795FF6"/>
    <w:rsid w:val="47A418CF"/>
    <w:rsid w:val="47A463DA"/>
    <w:rsid w:val="47AF2E05"/>
    <w:rsid w:val="47ED3D84"/>
    <w:rsid w:val="47F612B0"/>
    <w:rsid w:val="47F76F02"/>
    <w:rsid w:val="47F848F7"/>
    <w:rsid w:val="48030DBD"/>
    <w:rsid w:val="483C6163"/>
    <w:rsid w:val="485C1896"/>
    <w:rsid w:val="486F48B8"/>
    <w:rsid w:val="48E80D3A"/>
    <w:rsid w:val="48E9224B"/>
    <w:rsid w:val="49394D9C"/>
    <w:rsid w:val="494A0D2C"/>
    <w:rsid w:val="495C253F"/>
    <w:rsid w:val="495F317B"/>
    <w:rsid w:val="4966600B"/>
    <w:rsid w:val="49813C33"/>
    <w:rsid w:val="49A15531"/>
    <w:rsid w:val="49D13917"/>
    <w:rsid w:val="49E47A9D"/>
    <w:rsid w:val="49F01E66"/>
    <w:rsid w:val="4A3607E0"/>
    <w:rsid w:val="4A364716"/>
    <w:rsid w:val="4A460B5C"/>
    <w:rsid w:val="4A7234D0"/>
    <w:rsid w:val="4A79516C"/>
    <w:rsid w:val="4A8A1553"/>
    <w:rsid w:val="4AC21E5D"/>
    <w:rsid w:val="4AC93A4E"/>
    <w:rsid w:val="4ACB7787"/>
    <w:rsid w:val="4AF361AC"/>
    <w:rsid w:val="4AF8443C"/>
    <w:rsid w:val="4AF96A8F"/>
    <w:rsid w:val="4B3D29F8"/>
    <w:rsid w:val="4B3F3FBE"/>
    <w:rsid w:val="4B436CC4"/>
    <w:rsid w:val="4B567BB9"/>
    <w:rsid w:val="4B6060FA"/>
    <w:rsid w:val="4B66548B"/>
    <w:rsid w:val="4BB81232"/>
    <w:rsid w:val="4BCF771D"/>
    <w:rsid w:val="4BDD6D83"/>
    <w:rsid w:val="4C063916"/>
    <w:rsid w:val="4C3431BB"/>
    <w:rsid w:val="4C407502"/>
    <w:rsid w:val="4C4B3502"/>
    <w:rsid w:val="4C6E4D92"/>
    <w:rsid w:val="4C765923"/>
    <w:rsid w:val="4C974B22"/>
    <w:rsid w:val="4CA57BA2"/>
    <w:rsid w:val="4CDB1201"/>
    <w:rsid w:val="4CDF4F5B"/>
    <w:rsid w:val="4D077EEE"/>
    <w:rsid w:val="4D0B51E6"/>
    <w:rsid w:val="4D2F23AB"/>
    <w:rsid w:val="4D3E0C7D"/>
    <w:rsid w:val="4D884D79"/>
    <w:rsid w:val="4D9876EB"/>
    <w:rsid w:val="4D9A728C"/>
    <w:rsid w:val="4DAB302C"/>
    <w:rsid w:val="4DAE0562"/>
    <w:rsid w:val="4DCE76A3"/>
    <w:rsid w:val="4DE672C7"/>
    <w:rsid w:val="4DF7364F"/>
    <w:rsid w:val="4E1610B4"/>
    <w:rsid w:val="4E5D58A1"/>
    <w:rsid w:val="4EB25C2C"/>
    <w:rsid w:val="4EB8415A"/>
    <w:rsid w:val="4ED75048"/>
    <w:rsid w:val="4EEC1708"/>
    <w:rsid w:val="4F0734B2"/>
    <w:rsid w:val="4F0D4582"/>
    <w:rsid w:val="4F1F7254"/>
    <w:rsid w:val="4F3B39DB"/>
    <w:rsid w:val="4F401BCF"/>
    <w:rsid w:val="4F81111C"/>
    <w:rsid w:val="4F95164C"/>
    <w:rsid w:val="4FAC2BB5"/>
    <w:rsid w:val="4FB4713D"/>
    <w:rsid w:val="4FD35E70"/>
    <w:rsid w:val="4FE50CEE"/>
    <w:rsid w:val="4FE6264E"/>
    <w:rsid w:val="502259E5"/>
    <w:rsid w:val="503156CA"/>
    <w:rsid w:val="5063593C"/>
    <w:rsid w:val="50742917"/>
    <w:rsid w:val="50AE766C"/>
    <w:rsid w:val="50BE2CE5"/>
    <w:rsid w:val="50D11C96"/>
    <w:rsid w:val="50DD3F64"/>
    <w:rsid w:val="510302DA"/>
    <w:rsid w:val="513054FD"/>
    <w:rsid w:val="51542606"/>
    <w:rsid w:val="518943D7"/>
    <w:rsid w:val="51C00ED9"/>
    <w:rsid w:val="51DB3BC9"/>
    <w:rsid w:val="52051674"/>
    <w:rsid w:val="52107968"/>
    <w:rsid w:val="52272CE1"/>
    <w:rsid w:val="52293386"/>
    <w:rsid w:val="52295680"/>
    <w:rsid w:val="524D3D75"/>
    <w:rsid w:val="5252680F"/>
    <w:rsid w:val="529C2938"/>
    <w:rsid w:val="52BB4632"/>
    <w:rsid w:val="52F10D72"/>
    <w:rsid w:val="52F63D11"/>
    <w:rsid w:val="52FE63F4"/>
    <w:rsid w:val="5338576B"/>
    <w:rsid w:val="53617EDE"/>
    <w:rsid w:val="53723E34"/>
    <w:rsid w:val="537542DE"/>
    <w:rsid w:val="538B35A5"/>
    <w:rsid w:val="53B56CAE"/>
    <w:rsid w:val="54341DC6"/>
    <w:rsid w:val="5436499F"/>
    <w:rsid w:val="543E1BD9"/>
    <w:rsid w:val="54460870"/>
    <w:rsid w:val="545A1224"/>
    <w:rsid w:val="546940F4"/>
    <w:rsid w:val="54694F4F"/>
    <w:rsid w:val="549B0ADD"/>
    <w:rsid w:val="549D395F"/>
    <w:rsid w:val="54AD5158"/>
    <w:rsid w:val="54D75A88"/>
    <w:rsid w:val="54E44B7D"/>
    <w:rsid w:val="54ED0810"/>
    <w:rsid w:val="54FA6C50"/>
    <w:rsid w:val="55037992"/>
    <w:rsid w:val="55075623"/>
    <w:rsid w:val="55113D5B"/>
    <w:rsid w:val="551E6010"/>
    <w:rsid w:val="558B3539"/>
    <w:rsid w:val="559F4D75"/>
    <w:rsid w:val="559F66CB"/>
    <w:rsid w:val="55A11AF3"/>
    <w:rsid w:val="55AD0DF8"/>
    <w:rsid w:val="55AF45FD"/>
    <w:rsid w:val="55B1020B"/>
    <w:rsid w:val="55B4664B"/>
    <w:rsid w:val="56106B91"/>
    <w:rsid w:val="562534A4"/>
    <w:rsid w:val="568958B5"/>
    <w:rsid w:val="56AB6E5B"/>
    <w:rsid w:val="56D71D97"/>
    <w:rsid w:val="56D75792"/>
    <w:rsid w:val="56EC1D1A"/>
    <w:rsid w:val="56F05BD6"/>
    <w:rsid w:val="56F3028E"/>
    <w:rsid w:val="577806EF"/>
    <w:rsid w:val="57AA5CAA"/>
    <w:rsid w:val="57B904A3"/>
    <w:rsid w:val="57F16ACE"/>
    <w:rsid w:val="57F363AB"/>
    <w:rsid w:val="58334E46"/>
    <w:rsid w:val="583E1A05"/>
    <w:rsid w:val="58472075"/>
    <w:rsid w:val="586D447B"/>
    <w:rsid w:val="58712D86"/>
    <w:rsid w:val="587924B3"/>
    <w:rsid w:val="587E48B5"/>
    <w:rsid w:val="58803F35"/>
    <w:rsid w:val="58831E05"/>
    <w:rsid w:val="58963E13"/>
    <w:rsid w:val="58BD19AA"/>
    <w:rsid w:val="58DF2AF4"/>
    <w:rsid w:val="5907052F"/>
    <w:rsid w:val="59116D09"/>
    <w:rsid w:val="591B1D2B"/>
    <w:rsid w:val="594B223E"/>
    <w:rsid w:val="5976050A"/>
    <w:rsid w:val="59773366"/>
    <w:rsid w:val="59857C6D"/>
    <w:rsid w:val="599976D4"/>
    <w:rsid w:val="59AB7F01"/>
    <w:rsid w:val="59B21990"/>
    <w:rsid w:val="59B56F70"/>
    <w:rsid w:val="59BE3B27"/>
    <w:rsid w:val="59E71D65"/>
    <w:rsid w:val="59EB772E"/>
    <w:rsid w:val="5A0B3E5D"/>
    <w:rsid w:val="5A0C50F9"/>
    <w:rsid w:val="5A1711EC"/>
    <w:rsid w:val="5A3762C3"/>
    <w:rsid w:val="5A5D68A7"/>
    <w:rsid w:val="5A642220"/>
    <w:rsid w:val="5A6C1DC6"/>
    <w:rsid w:val="5A7025F5"/>
    <w:rsid w:val="5A711DFD"/>
    <w:rsid w:val="5A8A0D2E"/>
    <w:rsid w:val="5A9E5014"/>
    <w:rsid w:val="5AAB2883"/>
    <w:rsid w:val="5AAC5B3C"/>
    <w:rsid w:val="5ACD0120"/>
    <w:rsid w:val="5ADA552B"/>
    <w:rsid w:val="5AF6105E"/>
    <w:rsid w:val="5B02616E"/>
    <w:rsid w:val="5B183AEE"/>
    <w:rsid w:val="5B277F84"/>
    <w:rsid w:val="5B8B41F7"/>
    <w:rsid w:val="5BA22940"/>
    <w:rsid w:val="5BA474E8"/>
    <w:rsid w:val="5BB2031F"/>
    <w:rsid w:val="5BC07FF7"/>
    <w:rsid w:val="5C443483"/>
    <w:rsid w:val="5C576E2C"/>
    <w:rsid w:val="5C5B5A3A"/>
    <w:rsid w:val="5C6C7ED0"/>
    <w:rsid w:val="5C7C6DE9"/>
    <w:rsid w:val="5C850A55"/>
    <w:rsid w:val="5C850FD4"/>
    <w:rsid w:val="5CD87808"/>
    <w:rsid w:val="5CDF012C"/>
    <w:rsid w:val="5CFB61C7"/>
    <w:rsid w:val="5CFD7E9C"/>
    <w:rsid w:val="5D500E41"/>
    <w:rsid w:val="5D7E3BC3"/>
    <w:rsid w:val="5D813834"/>
    <w:rsid w:val="5D8B3C15"/>
    <w:rsid w:val="5D8C506D"/>
    <w:rsid w:val="5DA70047"/>
    <w:rsid w:val="5DB300BD"/>
    <w:rsid w:val="5DC520BC"/>
    <w:rsid w:val="5DE76ABD"/>
    <w:rsid w:val="5E3315BE"/>
    <w:rsid w:val="5E354365"/>
    <w:rsid w:val="5E5717CC"/>
    <w:rsid w:val="5E7A36B7"/>
    <w:rsid w:val="5E841467"/>
    <w:rsid w:val="5E9B6949"/>
    <w:rsid w:val="5EB31008"/>
    <w:rsid w:val="5F265ABE"/>
    <w:rsid w:val="5F6A78E5"/>
    <w:rsid w:val="5F8A660E"/>
    <w:rsid w:val="5FB42303"/>
    <w:rsid w:val="5FBA69BE"/>
    <w:rsid w:val="601D3F6F"/>
    <w:rsid w:val="603A3403"/>
    <w:rsid w:val="606044CB"/>
    <w:rsid w:val="60801E92"/>
    <w:rsid w:val="60E94C1B"/>
    <w:rsid w:val="610D280F"/>
    <w:rsid w:val="61884D26"/>
    <w:rsid w:val="61CC150A"/>
    <w:rsid w:val="61E459B0"/>
    <w:rsid w:val="62061894"/>
    <w:rsid w:val="62622F82"/>
    <w:rsid w:val="627A65F1"/>
    <w:rsid w:val="62B538D0"/>
    <w:rsid w:val="62F0200F"/>
    <w:rsid w:val="62F478ED"/>
    <w:rsid w:val="630A7A15"/>
    <w:rsid w:val="63191164"/>
    <w:rsid w:val="63451403"/>
    <w:rsid w:val="634D5672"/>
    <w:rsid w:val="63726540"/>
    <w:rsid w:val="63886D7C"/>
    <w:rsid w:val="638C5537"/>
    <w:rsid w:val="639B1FDD"/>
    <w:rsid w:val="63A254E7"/>
    <w:rsid w:val="63AA4F8C"/>
    <w:rsid w:val="63BE28A4"/>
    <w:rsid w:val="63CA188A"/>
    <w:rsid w:val="63D60D8D"/>
    <w:rsid w:val="63D8618C"/>
    <w:rsid w:val="63DD0429"/>
    <w:rsid w:val="63E96E99"/>
    <w:rsid w:val="63FB578F"/>
    <w:rsid w:val="640A34E7"/>
    <w:rsid w:val="64197BC1"/>
    <w:rsid w:val="642E4B85"/>
    <w:rsid w:val="64807BAF"/>
    <w:rsid w:val="64AE2F10"/>
    <w:rsid w:val="64BA4FFD"/>
    <w:rsid w:val="64CA58B4"/>
    <w:rsid w:val="64CA694E"/>
    <w:rsid w:val="64E91B59"/>
    <w:rsid w:val="64EA4921"/>
    <w:rsid w:val="64FF4837"/>
    <w:rsid w:val="652E5B97"/>
    <w:rsid w:val="652F13B3"/>
    <w:rsid w:val="65541195"/>
    <w:rsid w:val="655676E8"/>
    <w:rsid w:val="65751B49"/>
    <w:rsid w:val="65B9005E"/>
    <w:rsid w:val="65FE439E"/>
    <w:rsid w:val="660E2FCA"/>
    <w:rsid w:val="661C0AA1"/>
    <w:rsid w:val="661F3A7F"/>
    <w:rsid w:val="66221C58"/>
    <w:rsid w:val="66631071"/>
    <w:rsid w:val="666F440E"/>
    <w:rsid w:val="66700087"/>
    <w:rsid w:val="66863913"/>
    <w:rsid w:val="668A4CC1"/>
    <w:rsid w:val="66AA1DAD"/>
    <w:rsid w:val="66C91556"/>
    <w:rsid w:val="66F3073E"/>
    <w:rsid w:val="670F23EB"/>
    <w:rsid w:val="677E01D8"/>
    <w:rsid w:val="67B764D7"/>
    <w:rsid w:val="67D2438D"/>
    <w:rsid w:val="68067329"/>
    <w:rsid w:val="682F0468"/>
    <w:rsid w:val="685D4676"/>
    <w:rsid w:val="68C26CA7"/>
    <w:rsid w:val="68DE02B8"/>
    <w:rsid w:val="696B2837"/>
    <w:rsid w:val="696C6718"/>
    <w:rsid w:val="697052C1"/>
    <w:rsid w:val="698E0298"/>
    <w:rsid w:val="69FC3367"/>
    <w:rsid w:val="6A154999"/>
    <w:rsid w:val="6A1D56B0"/>
    <w:rsid w:val="6A4B1A8C"/>
    <w:rsid w:val="6A5D75BC"/>
    <w:rsid w:val="6A983F91"/>
    <w:rsid w:val="6A9D747E"/>
    <w:rsid w:val="6A9F7625"/>
    <w:rsid w:val="6AB26E6F"/>
    <w:rsid w:val="6ACD4B9A"/>
    <w:rsid w:val="6AE0430A"/>
    <w:rsid w:val="6B053CF7"/>
    <w:rsid w:val="6B9519F0"/>
    <w:rsid w:val="6BA448DA"/>
    <w:rsid w:val="6BAE1674"/>
    <w:rsid w:val="6BBC27FA"/>
    <w:rsid w:val="6BC83A09"/>
    <w:rsid w:val="6BDE5A4F"/>
    <w:rsid w:val="6BDF5CDE"/>
    <w:rsid w:val="6BE16DFF"/>
    <w:rsid w:val="6BEE530A"/>
    <w:rsid w:val="6BFF18DD"/>
    <w:rsid w:val="6C0F2A13"/>
    <w:rsid w:val="6C237D6A"/>
    <w:rsid w:val="6C2C714D"/>
    <w:rsid w:val="6C3E0B26"/>
    <w:rsid w:val="6C45459B"/>
    <w:rsid w:val="6C496EAD"/>
    <w:rsid w:val="6C5F730D"/>
    <w:rsid w:val="6C637047"/>
    <w:rsid w:val="6CA10756"/>
    <w:rsid w:val="6CF44CD4"/>
    <w:rsid w:val="6D0A35A7"/>
    <w:rsid w:val="6D0F2846"/>
    <w:rsid w:val="6D117F4C"/>
    <w:rsid w:val="6D223D8E"/>
    <w:rsid w:val="6D376389"/>
    <w:rsid w:val="6D394D7D"/>
    <w:rsid w:val="6D4F6E28"/>
    <w:rsid w:val="6D6575E6"/>
    <w:rsid w:val="6DF1364C"/>
    <w:rsid w:val="6DFD5CEC"/>
    <w:rsid w:val="6E2108C4"/>
    <w:rsid w:val="6E384594"/>
    <w:rsid w:val="6E3F4FC8"/>
    <w:rsid w:val="6E4004CE"/>
    <w:rsid w:val="6E656E7F"/>
    <w:rsid w:val="6E9E3012"/>
    <w:rsid w:val="6EB5634E"/>
    <w:rsid w:val="6EBC6A21"/>
    <w:rsid w:val="6EC05DE0"/>
    <w:rsid w:val="6ECD39DA"/>
    <w:rsid w:val="6ED11E90"/>
    <w:rsid w:val="6EFF2B32"/>
    <w:rsid w:val="6F2B19A5"/>
    <w:rsid w:val="6F32128B"/>
    <w:rsid w:val="6F447BD0"/>
    <w:rsid w:val="6F4B3295"/>
    <w:rsid w:val="6F767535"/>
    <w:rsid w:val="6F920FBE"/>
    <w:rsid w:val="6F990EDB"/>
    <w:rsid w:val="6FCA7EE7"/>
    <w:rsid w:val="6FDC63CB"/>
    <w:rsid w:val="7004064F"/>
    <w:rsid w:val="700675E7"/>
    <w:rsid w:val="703043EA"/>
    <w:rsid w:val="703726A3"/>
    <w:rsid w:val="70426C19"/>
    <w:rsid w:val="70740585"/>
    <w:rsid w:val="707807DE"/>
    <w:rsid w:val="70CD11B5"/>
    <w:rsid w:val="70E33428"/>
    <w:rsid w:val="70F5061E"/>
    <w:rsid w:val="710C2579"/>
    <w:rsid w:val="710F6EE2"/>
    <w:rsid w:val="71133587"/>
    <w:rsid w:val="71303573"/>
    <w:rsid w:val="71642908"/>
    <w:rsid w:val="71967B80"/>
    <w:rsid w:val="71B95E26"/>
    <w:rsid w:val="71D52852"/>
    <w:rsid w:val="71E269AE"/>
    <w:rsid w:val="71EA4AA9"/>
    <w:rsid w:val="721578A8"/>
    <w:rsid w:val="723969B9"/>
    <w:rsid w:val="72674BC4"/>
    <w:rsid w:val="727F225B"/>
    <w:rsid w:val="72814618"/>
    <w:rsid w:val="72842544"/>
    <w:rsid w:val="728C0753"/>
    <w:rsid w:val="729729D2"/>
    <w:rsid w:val="72A2135B"/>
    <w:rsid w:val="72AC493D"/>
    <w:rsid w:val="72C62BF2"/>
    <w:rsid w:val="72CD4AF2"/>
    <w:rsid w:val="72D77BA8"/>
    <w:rsid w:val="72E47E74"/>
    <w:rsid w:val="72F571B3"/>
    <w:rsid w:val="730700AE"/>
    <w:rsid w:val="730D0747"/>
    <w:rsid w:val="730D3716"/>
    <w:rsid w:val="73461E16"/>
    <w:rsid w:val="735A2FA9"/>
    <w:rsid w:val="73945CBF"/>
    <w:rsid w:val="73C84A29"/>
    <w:rsid w:val="73CE3B33"/>
    <w:rsid w:val="73D775F0"/>
    <w:rsid w:val="73E60D24"/>
    <w:rsid w:val="73EC7FDA"/>
    <w:rsid w:val="73EF6599"/>
    <w:rsid w:val="74315A75"/>
    <w:rsid w:val="743245E6"/>
    <w:rsid w:val="74335DAD"/>
    <w:rsid w:val="74F11D21"/>
    <w:rsid w:val="75346B27"/>
    <w:rsid w:val="75813776"/>
    <w:rsid w:val="7586204B"/>
    <w:rsid w:val="758A4006"/>
    <w:rsid w:val="75B42064"/>
    <w:rsid w:val="75B96845"/>
    <w:rsid w:val="75D33224"/>
    <w:rsid w:val="75D67C49"/>
    <w:rsid w:val="75DA6588"/>
    <w:rsid w:val="75DB079E"/>
    <w:rsid w:val="75E072C3"/>
    <w:rsid w:val="760E1979"/>
    <w:rsid w:val="761A24A4"/>
    <w:rsid w:val="7665366F"/>
    <w:rsid w:val="76C6020D"/>
    <w:rsid w:val="770865F1"/>
    <w:rsid w:val="771D099C"/>
    <w:rsid w:val="772721D1"/>
    <w:rsid w:val="77A13A57"/>
    <w:rsid w:val="77A93681"/>
    <w:rsid w:val="78067985"/>
    <w:rsid w:val="783A43E4"/>
    <w:rsid w:val="7887208B"/>
    <w:rsid w:val="78B37A50"/>
    <w:rsid w:val="78C70BAF"/>
    <w:rsid w:val="78CC7E27"/>
    <w:rsid w:val="78DA1771"/>
    <w:rsid w:val="78E73CFF"/>
    <w:rsid w:val="7913410C"/>
    <w:rsid w:val="797D7121"/>
    <w:rsid w:val="798C460A"/>
    <w:rsid w:val="79A02597"/>
    <w:rsid w:val="79B67C1B"/>
    <w:rsid w:val="79CF520B"/>
    <w:rsid w:val="79D42031"/>
    <w:rsid w:val="79DF460E"/>
    <w:rsid w:val="79E3659E"/>
    <w:rsid w:val="7A057E3F"/>
    <w:rsid w:val="7A0736F9"/>
    <w:rsid w:val="7A0B450D"/>
    <w:rsid w:val="7A54201E"/>
    <w:rsid w:val="7A6F0BF8"/>
    <w:rsid w:val="7A7847C5"/>
    <w:rsid w:val="7A87307D"/>
    <w:rsid w:val="7ACB608C"/>
    <w:rsid w:val="7ADE57C8"/>
    <w:rsid w:val="7AEB2EE8"/>
    <w:rsid w:val="7AF3661F"/>
    <w:rsid w:val="7B2D7B78"/>
    <w:rsid w:val="7B365157"/>
    <w:rsid w:val="7B546621"/>
    <w:rsid w:val="7B75560B"/>
    <w:rsid w:val="7BAA606A"/>
    <w:rsid w:val="7BC57369"/>
    <w:rsid w:val="7BCA607B"/>
    <w:rsid w:val="7BEB36BC"/>
    <w:rsid w:val="7BF50FB4"/>
    <w:rsid w:val="7C0F7D0F"/>
    <w:rsid w:val="7C1B74CA"/>
    <w:rsid w:val="7C3A019B"/>
    <w:rsid w:val="7C453D83"/>
    <w:rsid w:val="7C5D4E56"/>
    <w:rsid w:val="7C672130"/>
    <w:rsid w:val="7C6B2AFF"/>
    <w:rsid w:val="7C726C62"/>
    <w:rsid w:val="7C897ECA"/>
    <w:rsid w:val="7C9C666B"/>
    <w:rsid w:val="7CB20EF5"/>
    <w:rsid w:val="7CBA1945"/>
    <w:rsid w:val="7CBB070A"/>
    <w:rsid w:val="7CD053ED"/>
    <w:rsid w:val="7CFA011A"/>
    <w:rsid w:val="7D034BCC"/>
    <w:rsid w:val="7D270A82"/>
    <w:rsid w:val="7D335CF6"/>
    <w:rsid w:val="7D352EF0"/>
    <w:rsid w:val="7D401F92"/>
    <w:rsid w:val="7D6D38F9"/>
    <w:rsid w:val="7DF0061C"/>
    <w:rsid w:val="7DF526FE"/>
    <w:rsid w:val="7E361C6E"/>
    <w:rsid w:val="7E3C584B"/>
    <w:rsid w:val="7E432607"/>
    <w:rsid w:val="7E98779D"/>
    <w:rsid w:val="7EDD7C18"/>
    <w:rsid w:val="7EEF46BC"/>
    <w:rsid w:val="7F5B5887"/>
    <w:rsid w:val="7F656F0F"/>
    <w:rsid w:val="7F7152D9"/>
    <w:rsid w:val="7F7C78ED"/>
    <w:rsid w:val="7F8713AF"/>
    <w:rsid w:val="7FAF5B52"/>
    <w:rsid w:val="7FCE05BD"/>
    <w:rsid w:val="7FDE2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next w:val="1"/>
    <w:qFormat/>
    <w:uiPriority w:val="9"/>
    <w:pPr>
      <w:keepNext/>
      <w:keepLines/>
      <w:widowControl w:val="0"/>
      <w:spacing w:before="120" w:after="120" w:line="408" w:lineRule="auto"/>
      <w:jc w:val="both"/>
      <w:outlineLvl w:val="2"/>
    </w:pPr>
    <w:rPr>
      <w:rFonts w:ascii="Times New Roman" w:hAnsi="Times New Roman" w:eastAsia="黑体" w:cs="Times New Roman"/>
      <w:kern w:val="2"/>
      <w:sz w:val="28"/>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qFormat/>
    <w:uiPriority w:val="0"/>
    <w:pPr>
      <w:widowControl w:val="0"/>
      <w:jc w:val="left"/>
    </w:pPr>
    <w:rPr>
      <w:rFonts w:ascii="Times New Roman" w:hAnsi="Times New Roman" w:eastAsia="宋体" w:cs="Times New Roman"/>
      <w:kern w:val="2"/>
      <w:sz w:val="21"/>
      <w:szCs w:val="24"/>
      <w:lang w:val="en-US" w:eastAsia="zh-CN" w:bidi="ar-SA"/>
    </w:rPr>
  </w:style>
  <w:style w:type="paragraph" w:customStyle="1" w:styleId="6">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4201</Words>
  <Characters>4394</Characters>
  <Lines>0</Lines>
  <Paragraphs>0</Paragraphs>
  <TotalTime>0</TotalTime>
  <ScaleCrop>false</ScaleCrop>
  <LinksUpToDate>false</LinksUpToDate>
  <CharactersWithSpaces>4446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2023-01-05T07:54:00Z</dcterms:created>
  <dc:creator>D</dc:creator>
  <cp:lastModifiedBy>D</cp:lastModifiedBy>
  <dcterms:modified xsi:type="dcterms:W3CDTF">2023-03-24T08:09:30Z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1639639340A7460CA42713786CF209F1</vt:lpwstr>
  </property>
</Properties>
</file>