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ind w:right="-300"/>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520" w:lineRule="atLeast"/>
        <w:ind w:right="-300"/>
        <w:jc w:val="center"/>
        <w:rPr>
          <w:rFonts w:ascii="方正小标宋简体" w:hAnsi="宋体" w:eastAsia="方正小标宋简体"/>
          <w:sz w:val="36"/>
          <w:szCs w:val="36"/>
        </w:rPr>
      </w:pPr>
    </w:p>
    <w:p>
      <w:pPr>
        <w:jc w:val="center"/>
        <w:rPr>
          <w:rFonts w:ascii="仿宋" w:hAnsi="仿宋" w:eastAsia="仿宋"/>
          <w:sz w:val="32"/>
          <w:szCs w:val="32"/>
        </w:rPr>
      </w:pPr>
      <w:r>
        <w:rPr>
          <w:rFonts w:hint="eastAsia" w:ascii="方正小标宋简体" w:hAnsi="黑体" w:eastAsia="方正小标宋简体"/>
          <w:sz w:val="36"/>
          <w:szCs w:val="36"/>
        </w:rPr>
        <w:t>202</w:t>
      </w:r>
      <w:r>
        <w:rPr>
          <w:rFonts w:hint="eastAsia" w:ascii="方正小标宋简体" w:hAnsi="黑体" w:eastAsia="方正小标宋简体"/>
          <w:sz w:val="36"/>
          <w:szCs w:val="36"/>
          <w:lang w:val="en-US" w:eastAsia="zh-CN"/>
        </w:rPr>
        <w:t>4</w:t>
      </w:r>
      <w:r>
        <w:rPr>
          <w:rFonts w:hint="eastAsia" w:ascii="方正小标宋简体" w:hAnsi="黑体" w:eastAsia="方正小标宋简体"/>
          <w:sz w:val="36"/>
          <w:szCs w:val="36"/>
        </w:rPr>
        <w:t>-202</w:t>
      </w:r>
      <w:r>
        <w:rPr>
          <w:rFonts w:hint="eastAsia" w:ascii="方正小标宋简体" w:hAnsi="黑体" w:eastAsia="方正小标宋简体"/>
          <w:sz w:val="36"/>
          <w:szCs w:val="36"/>
          <w:lang w:val="en-US" w:eastAsia="zh-CN"/>
        </w:rPr>
        <w:t>6</w:t>
      </w:r>
      <w:r>
        <w:rPr>
          <w:rFonts w:hint="eastAsia" w:ascii="方正小标宋简体" w:hAnsi="黑体" w:eastAsia="方正小标宋简体"/>
          <w:sz w:val="36"/>
          <w:szCs w:val="36"/>
        </w:rPr>
        <w:t>年记账式国债承销主协议</w:t>
      </w:r>
      <w:r>
        <w:rPr>
          <w:rFonts w:hint="eastAsia" w:ascii="方正小标宋简体" w:hAnsi="黑体" w:eastAsia="方正小标宋简体"/>
          <w:sz w:val="36"/>
          <w:szCs w:val="36"/>
          <w:lang w:eastAsia="zh-CN"/>
        </w:rPr>
        <w:t>（范本）</w:t>
      </w:r>
    </w:p>
    <w:p>
      <w:pPr>
        <w:jc w:val="center"/>
        <w:rPr>
          <w:rFonts w:hint="eastAsia" w:ascii="仿宋" w:hAnsi="仿宋" w:eastAsia="仿宋"/>
          <w:sz w:val="32"/>
          <w:szCs w:val="32"/>
          <w:lang w:val="en" w:eastAsia="zh-CN"/>
        </w:rPr>
      </w:pP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为明确财政部和202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记账式国债承销团（以下称承销团）成员的权利义务，维护双方合法权益，保障记账式国债发行兑付工作顺利进行，根据《中华人民共和国民法典》等法律法规及国家国债管理有关规定，甲乙双方在平等自愿的基础上签署本协议：</w:t>
      </w:r>
    </w:p>
    <w:p>
      <w:pPr>
        <w:spacing w:line="580" w:lineRule="exact"/>
        <w:ind w:left="-357" w:right="-300" w:firstLine="59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甲方：财政部</w:t>
      </w:r>
    </w:p>
    <w:p>
      <w:pPr>
        <w:spacing w:line="580" w:lineRule="exact"/>
        <w:ind w:left="-357" w:right="-300" w:firstLine="590"/>
        <w:rPr>
          <w:rFonts w:hint="eastAsia"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乙方：</w:t>
      </w:r>
      <w:r>
        <w:rPr>
          <w:rFonts w:hint="eastAsia" w:ascii="仿宋_GB2312" w:hAnsi="仿宋_GB2312" w:eastAsia="仿宋_GB2312" w:cs="仿宋_GB2312"/>
          <w:b/>
          <w:sz w:val="32"/>
          <w:szCs w:val="32"/>
          <w:u w:val="single"/>
          <w:lang w:val="en-US" w:eastAsia="zh-CN"/>
        </w:rPr>
        <w:t xml:space="preserve">                  </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本协议所称记账式国债，是指财政部在中国境内通过记账式国债承销团向投资者发行的以电子方式记录债权的可流通国债。</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本协议之订立目的为规范甲乙双方在202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年记账式国债发行、承销、兑付</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过程中的行为，明确甲乙双方的权利义务。</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甲方权利和义务：</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1．根据国家法律法规及国务院有关文件等赋予的国债管理职能，制定记账式国债发行、兑付等有关政策，并对有关政策进行解释；</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2．确定每期（次）记账式国债的招标时间、发行方式、数量、期限、付息方式、发行手续费率、发行款缴纳时间以及债权确认时间等要素；</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3．组织招标发行；</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4．监督检查乙方承销、分销、交易记账式国债</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情况；</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5．定期对记账式国债承销团相关业务进行综合排名，并公布排名结果；</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6．根据国债发行需要，增补承销团成员；</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7．研究推出国债管理改革创新业务；</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8．及时披露记账式国债发行信息，包括但不限于：</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（1）通过财政部官方网站公布关键期限等记账式国债年度发行计划以及记账式国债季度发行计划，包括期限、招标日期、发行方式、付息方式等相关信息；</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（2）招标前及时通过财政部官方网站发布当期（次）国债发行通知，明确各项招标发行信息；</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（3）招标结束后，及时通过财政部官方网站对外公告当期（次）国债招标结果；</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9．按季度向乙方支付记账式国债发行手续费。</w:t>
      </w:r>
      <w:r>
        <w:rPr>
          <w:rFonts w:hint="eastAsia" w:ascii="仿宋_GB2312" w:hAnsi="仿宋_GB2312" w:eastAsia="仿宋_GB2312" w:cs="仿宋_GB2312"/>
          <w:kern w:val="0"/>
          <w:sz w:val="32"/>
          <w:szCs w:val="32"/>
        </w:rPr>
        <w:t>1年期至3年期（含）记账式国债发行手续费为</w:t>
      </w:r>
      <w:r>
        <w:rPr>
          <w:rFonts w:hint="eastAsia" w:ascii="仿宋_GB2312" w:hAnsi="仿宋_GB2312" w:eastAsia="仿宋_GB2312" w:cs="仿宋_GB2312"/>
          <w:kern w:val="0"/>
          <w:sz w:val="32"/>
          <w:szCs w:val="32"/>
          <w:lang w:eastAsia="zh-CN"/>
        </w:rPr>
        <w:t>乙方承销面值</w:t>
      </w:r>
      <w:r>
        <w:rPr>
          <w:rFonts w:hint="eastAsia" w:ascii="仿宋_GB2312" w:hAnsi="仿宋_GB2312" w:eastAsia="仿宋_GB2312" w:cs="仿宋_GB2312"/>
          <w:kern w:val="0"/>
          <w:sz w:val="32"/>
          <w:szCs w:val="32"/>
        </w:rPr>
        <w:t>的0.0</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%；5年期（含）至50年期记账式国债发行手续费为</w:t>
      </w:r>
      <w:r>
        <w:rPr>
          <w:rFonts w:hint="eastAsia" w:ascii="仿宋_GB2312" w:hAnsi="仿宋_GB2312" w:eastAsia="仿宋_GB2312" w:cs="仿宋_GB2312"/>
          <w:kern w:val="0"/>
          <w:sz w:val="32"/>
          <w:szCs w:val="32"/>
          <w:lang w:eastAsia="zh-CN"/>
        </w:rPr>
        <w:t>乙方承销面值</w:t>
      </w:r>
      <w:r>
        <w:rPr>
          <w:rFonts w:hint="eastAsia" w:ascii="仿宋_GB2312" w:hAnsi="仿宋_GB2312" w:eastAsia="仿宋_GB2312" w:cs="仿宋_GB2312"/>
          <w:kern w:val="0"/>
          <w:sz w:val="32"/>
          <w:szCs w:val="32"/>
        </w:rPr>
        <w:t>的0.0</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%；1年期以下（包括1年期续发）记账式国债无发行手续费</w:t>
      </w:r>
      <w:r>
        <w:rPr>
          <w:rFonts w:hint="eastAsia" w:ascii="仿宋_GB2312" w:hAnsi="仿宋_GB2312" w:eastAsia="仿宋_GB2312" w:cs="仿宋_GB2312"/>
          <w:sz w:val="32"/>
          <w:szCs w:val="32"/>
        </w:rPr>
        <w:t>。</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乙方权利和义务：</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1．对记账式国债发行和管理政策提出意见和建议；</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2．参加记账式国债竞争性招标；</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3．依照本协议第三条第</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款，获取记账式国债发行手续费；</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4．通过规定渠道及时获取记账式国债发行信息；</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5．按规定参加记账式国债改革创新试点工作；</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6．按规定参加记账式国债业务考察和培训；</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7．申请退出承销团；</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本协议生效后首次记账式国债招标前，开通与财政部政府债券发行系统中心端相连的专用通讯线路；保障通讯线路畅通，完善与国债投标相关的软、硬件设施，并符合财政部政府债券发行系统技术支持部门有关要求；</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9．按照记账式国债招标发行规则等有关规定，连续参加招投标活动；</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10．不得违规与其他承销团成员之间进行代投标；</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11．按照招标结果确定的每期（次）国债应缴款额向甲方指定账户按时足额缴纳发行款，并在附言中注明缴款国债简称和乙方机构简称和代码（参见承销团成员确认通知）；</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12．向甲方准确无误地书面报备有关信息，包括但不限于：</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（1）乙方记账式国债内部管理规章制度；</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（2）乙方记账式国债发行手续费收款账户信息，包括账户名称、账号、开户行及开户行大额支付系统行号； </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（3）乙方记账式国债牵头联系部门和缴款、兑付业务负责部门，各部门职责、负责人、业务经办人及有关联系信息等；</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上述信息首次报送截止时间为</w:t>
      </w:r>
      <w:r>
        <w:rPr>
          <w:rFonts w:hint="eastAsia" w:ascii="仿宋_GB2312" w:hAnsi="仿宋_GB2312" w:eastAsia="仿宋_GB2312" w:cs="仿宋_GB2312"/>
          <w:sz w:val="32"/>
          <w:szCs w:val="32"/>
          <w:lang w:val="en-US" w:eastAsia="zh-CN"/>
        </w:rPr>
        <w:t>2024年1月31日（含）。</w:t>
      </w:r>
      <w:r>
        <w:rPr>
          <w:rFonts w:hint="eastAsia" w:ascii="仿宋_GB2312" w:hAnsi="仿宋_GB2312" w:eastAsia="仿宋_GB2312" w:cs="仿宋_GB2312"/>
          <w:sz w:val="32"/>
          <w:szCs w:val="32"/>
          <w:lang w:eastAsia="zh-CN"/>
        </w:rPr>
        <w:t>此后，</w:t>
      </w:r>
      <w:r>
        <w:rPr>
          <w:rFonts w:hint="eastAsia" w:ascii="仿宋_GB2312" w:hAnsi="仿宋_GB2312" w:eastAsia="仿宋_GB2312" w:cs="仿宋_GB2312"/>
          <w:sz w:val="32"/>
          <w:szCs w:val="32"/>
        </w:rPr>
        <w:t>如乙方变更手续费收款账户信息，</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应当不迟于启用新收款账户前</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个工作日</w:t>
      </w:r>
      <w:r>
        <w:rPr>
          <w:rFonts w:hint="eastAsia" w:ascii="仿宋_GB2312" w:hAnsi="仿宋_GB2312" w:eastAsia="仿宋_GB2312" w:cs="仿宋_GB2312"/>
          <w:sz w:val="32"/>
          <w:szCs w:val="32"/>
          <w:lang w:eastAsia="zh-CN"/>
        </w:rPr>
        <w:t>向甲方</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eastAsia="zh-CN"/>
        </w:rPr>
        <w:t>变更情况</w:t>
      </w:r>
      <w:r>
        <w:rPr>
          <w:rFonts w:hint="eastAsia" w:ascii="仿宋_GB2312" w:hAnsi="仿宋_GB2312" w:eastAsia="仿宋_GB2312" w:cs="仿宋_GB2312"/>
          <w:sz w:val="32"/>
          <w:szCs w:val="32"/>
        </w:rPr>
        <w:t>；如乙方</w:t>
      </w:r>
      <w:r>
        <w:rPr>
          <w:rFonts w:hint="eastAsia" w:ascii="仿宋_GB2312" w:hAnsi="仿宋_GB2312" w:eastAsia="仿宋_GB2312" w:cs="仿宋_GB2312"/>
          <w:sz w:val="32"/>
          <w:szCs w:val="32"/>
          <w:lang w:eastAsia="zh-CN"/>
        </w:rPr>
        <w:t>名称或上述其他信息变更</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当不迟于</w:t>
      </w:r>
      <w:r>
        <w:rPr>
          <w:rFonts w:hint="eastAsia" w:ascii="仿宋_GB2312" w:hAnsi="仿宋_GB2312" w:eastAsia="仿宋_GB2312" w:cs="仿宋_GB2312"/>
          <w:sz w:val="32"/>
          <w:szCs w:val="32"/>
        </w:rPr>
        <w:t>变更后</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个工作日向甲方备案</w:t>
      </w:r>
      <w:r>
        <w:rPr>
          <w:rFonts w:hint="eastAsia" w:ascii="仿宋_GB2312" w:hAnsi="仿宋_GB2312" w:eastAsia="仿宋_GB2312" w:cs="仿宋_GB2312"/>
          <w:sz w:val="32"/>
          <w:szCs w:val="32"/>
          <w:lang w:eastAsia="zh-CN"/>
        </w:rPr>
        <w:t>变更情况</w:t>
      </w:r>
      <w:r>
        <w:rPr>
          <w:rFonts w:hint="eastAsia" w:ascii="仿宋_GB2312" w:hAnsi="仿宋_GB2312" w:eastAsia="仿宋_GB2312" w:cs="仿宋_GB2312"/>
          <w:sz w:val="32"/>
          <w:szCs w:val="32"/>
        </w:rPr>
        <w:t>；</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13．积极参与国债交易，维护国债市场正常秩序；</w:t>
      </w:r>
    </w:p>
    <w:p>
      <w:pPr>
        <w:spacing w:line="520" w:lineRule="atLeast"/>
        <w:ind w:left="-357" w:right="-301" w:firstLine="59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14．积极配合甲方开展国债管理工作，</w:t>
      </w:r>
      <w:r>
        <w:rPr>
          <w:rFonts w:hint="eastAsia" w:ascii="仿宋_GB2312" w:hAnsi="仿宋_GB2312" w:eastAsia="仿宋_GB2312" w:cs="仿宋_GB2312"/>
          <w:sz w:val="32"/>
          <w:szCs w:val="32"/>
          <w:lang w:val="en-US" w:eastAsia="zh-CN"/>
        </w:rPr>
        <w:t>按照甲方要求，及时向甲方报送月度金融市场分析及国债承销交易情况的报告，以及年度国债工作总结报告等；</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15．遇有重大事项及时向甲方报告，并保证各项材料和信息的真实性</w:t>
      </w:r>
      <w:r>
        <w:rPr>
          <w:rFonts w:hint="eastAsia" w:ascii="仿宋_GB2312" w:hAnsi="仿宋_GB2312" w:eastAsia="仿宋_GB2312" w:cs="仿宋_GB2312"/>
          <w:sz w:val="32"/>
          <w:szCs w:val="32"/>
          <w:lang w:eastAsia="zh-CN"/>
        </w:rPr>
        <w:t>；</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16．遵守国家法律法规，接受记账式国债业务监管部门的监督检查，及时报告乙方出现的重大违法行为或者财务恶化等情况。</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乙方为记账式国债承销团甲类成员的，除本协议第四条规定的权利义务外，还具有以下权利义务：</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参加国债季度会议；</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对于可追加承销的记账式国债，按照记账式国债招标发行规则和发行通知规定进行追加承销；</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3．优先</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甲方牵头推出的国债创新业务试点；</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4．优先参加记账式国债业务考察和培训；</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5．申请变更为乙类成员。</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乙方超过其应缴发行款金额向甲方缴纳发行款的，应当按有关规定向甲方递交书面退款申请；甲方在收到乙方退款申请并审核无误后，将多缴资金数额退还乙方。</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乙方向甲方报备发行手续费收款账户信息有误，导致甲方划出记账式国债发行手续费退回的，甲方在收到乙方重新报备发行手续费收款账户信息之前，无需向乙方支付记账式国债发行手续费，也无需承担违约或延迟支付责任。</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除发生不可抗力因素外，乙方未按</w:t>
      </w:r>
      <w:r>
        <w:rPr>
          <w:rFonts w:hint="eastAsia" w:ascii="仿宋_GB2312" w:hAnsi="仿宋_GB2312" w:eastAsia="仿宋_GB2312" w:cs="仿宋_GB2312"/>
          <w:sz w:val="32"/>
          <w:szCs w:val="32"/>
          <w:lang w:val="en-US" w:eastAsia="zh-CN"/>
        </w:rPr>
        <w:t>规定时间</w:t>
      </w:r>
      <w:r>
        <w:rPr>
          <w:rFonts w:hint="eastAsia" w:ascii="仿宋_GB2312" w:hAnsi="仿宋_GB2312" w:eastAsia="仿宋_GB2312" w:cs="仿宋_GB2312"/>
          <w:sz w:val="32"/>
          <w:szCs w:val="32"/>
        </w:rPr>
        <w:t>缴纳记账式国债发行款的，按滞缴发行款</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额，以当期（次）国债票面利率（利率招标）或发行价格折成的参考收益率（价格招标）的两倍折成日利率，从应缴款日起至实际支付日止（不含实际支付日）计算，向甲方支付滞纳金；如当期（次）记账式国债规定有发行手续费，甲方收到乙方滞缴发行款滞纳金之前，不向乙方支付发行手续费。</w:t>
      </w:r>
    </w:p>
    <w:p>
      <w:pPr>
        <w:pStyle w:val="3"/>
        <w:spacing w:line="580" w:lineRule="exact"/>
        <w:ind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乙方有下列行为之一的，甲方有权会同中国人民银行、中国证券监督管理委员会通知其退出记账式国债承销团，终止本协议，并向社会公告：</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1．以欺骗、利益输送等不正当手段加入承销团；</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2．财务状况恶化，难以继续履行承销团成员义务；</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3．如乙方为乙类成员，在一个自然年度内累计5次以上（含5次）出现1类未达标情况；或在一个自然年度内累计</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次以上（含</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次）出现2类未达标情况；</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如乙方为甲类成员，在一个自然年度内累计6次以上（含6次）出现1类未达标情况；或在一个自然年度内累计</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次以上（含</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次）出现2类未达标情况，甲方有权将其调整为乙类成员，并按照乙类成员标准对自然年度内所有期（次）重新考核；</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类未达标情况是指：对发行时待偿期在1年以上（含1年）的记账式国债，承销团成员未在规定的最低投标限额以上进行国债投标或未达到单期（次）国债最低承销额的情况（对于单期（次）国债，两种情况同时出现算1次，下同），或是承销团成员未按本协议规定缴纳发行款的情况；</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2类未达标情况是指：对发行时待偿期在1年以下（</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含1年）的记账式国债，承销团成员未在规定的最低投标限额以上进行国债投标或未达到单期（次）国债最低承销额的情况，或是承销团成员未按本协议规定缴纳发行款的情况；</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4．出现严重不正当投标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超承销额度分销、违规向承销团其他成员分销、操纵二级市场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伪造国债账务记录、提供虚假材料和信息等重大违法行为或者金融违规行为；</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．根据有关监管规定，不再具备继续承销政府债券资格的。</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乙方在202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年满足退团条件或退出承销团，不能申请加入下一届记账式国债承销团。</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在本协议有效期内，国家有关国债发行、登记托管及流通转让政策等发生变化，以变化后的国家有关政策为准。</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本协议所称工作日，是指国务院办公厅规定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工作日。</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对本协议的修改，由甲乙双方以书面形式作出。如对本协议产生异议，由甲乙双方根据有关规定协商解决。</w:t>
      </w:r>
    </w:p>
    <w:p>
      <w:pPr>
        <w:spacing w:line="580" w:lineRule="exact"/>
        <w:ind w:left="-357" w:right="-300" w:firstLine="59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本协议一式两份，甲乙双方各执一份，具有相同法律效力。</w:t>
      </w:r>
    </w:p>
    <w:p>
      <w:pPr>
        <w:spacing w:line="580" w:lineRule="exact"/>
        <w:ind w:left="-359" w:leftChars="-171" w:right="-300"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本协议自甲、乙双方授权代表签字盖章之日起生效，有效期至202</w:t>
      </w:r>
      <w:r>
        <w:rPr>
          <w:rFonts w:hint="eastAsia" w:ascii="仿宋_GB2312" w:hAnsi="仿宋_GB2312" w:eastAsia="仿宋_GB2312" w:cs="仿宋_GB2312"/>
          <w:sz w:val="32"/>
          <w:szCs w:val="32"/>
          <w:lang w:val="en"/>
        </w:rPr>
        <w:t>6</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
        </w:rPr>
        <w:t>6</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尚未完成新一届记账式国债承销团组建，本协议有效期延长至新一届记账式国债承销团组建完成。</w:t>
      </w:r>
      <w:r>
        <w:rPr>
          <w:rFonts w:hint="eastAsia" w:ascii="仿宋_GB2312" w:hAnsi="仿宋_GB2312" w:eastAsia="仿宋_GB2312" w:cs="仿宋_GB2312"/>
          <w:sz w:val="32"/>
          <w:szCs w:val="32"/>
        </w:rPr>
        <w:t xml:space="preserve">在此期间，乙方退出承销团的，本协议自甲方确认乙方退出承销团之日起终止。  </w:t>
      </w:r>
    </w:p>
    <w:p>
      <w:pPr>
        <w:spacing w:line="580" w:lineRule="exact"/>
        <w:ind w:left="-359" w:leftChars="-171" w:right="-300"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xml:space="preserve"> 如需对本协议有关条款进行</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特别约定或对本协议未尽事宜进行补充约定，甲乙双方可以签署补充协议，补充协议须符合国家法律、法规和国债管理制度规定。补充协议亦构成本协议有效且不可分割的部分，补充协议与本协议不一致的，以补充协议为准。</w:t>
      </w:r>
    </w:p>
    <w:p>
      <w:pPr>
        <w:spacing w:line="580" w:lineRule="exact"/>
        <w:ind w:left="-359" w:leftChars="-171" w:right="-3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（以下无正文）</w:t>
      </w:r>
    </w:p>
    <w:p>
      <w:pPr>
        <w:spacing w:line="480" w:lineRule="auto"/>
        <w:ind w:left="0" w:leftChars="0" w:right="-300" w:firstLine="0" w:firstLineChars="0"/>
        <w:rPr>
          <w:rFonts w:hint="eastAsia" w:ascii="仿宋_GB2312" w:hAnsi="仿宋_GB2312" w:eastAsia="仿宋_GB2312" w:cs="仿宋_GB2312"/>
          <w:sz w:val="32"/>
          <w:szCs w:val="32"/>
        </w:rPr>
      </w:pPr>
    </w:p>
    <w:p>
      <w:pPr>
        <w:adjustRightInd w:val="0"/>
        <w:snapToGrid w:val="0"/>
        <w:spacing w:line="480" w:lineRule="auto"/>
        <w:ind w:left="0" w:right="0" w:firstLine="0" w:firstLineChars="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lang w:eastAsia="zh-CN"/>
        </w:rPr>
        <w:t>甲方：财政部</w:t>
      </w:r>
      <w:r>
        <w:rPr>
          <w:rFonts w:hint="eastAsia" w:ascii="仿宋_GB2312" w:hAnsi="仿宋_GB2312" w:eastAsia="仿宋_GB2312" w:cs="仿宋_GB2312"/>
          <w:sz w:val="32"/>
          <w:szCs w:val="32"/>
          <w:lang w:val="en-US" w:eastAsia="zh-CN"/>
        </w:rPr>
        <w:t xml:space="preserve">                  乙方：</w:t>
      </w:r>
    </w:p>
    <w:p>
      <w:pPr>
        <w:adjustRightInd w:val="0"/>
        <w:snapToGrid w:val="0"/>
        <w:spacing w:line="480" w:lineRule="auto"/>
        <w:ind w:left="0" w:right="-300"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甲方代表:                     乙方代表:</w:t>
      </w:r>
    </w:p>
    <w:p>
      <w:pPr>
        <w:adjustRightInd w:val="0"/>
        <w:snapToGrid w:val="0"/>
        <w:spacing w:line="480" w:lineRule="auto"/>
        <w:ind w:left="0" w:right="-300" w:firstLine="1120" w:firstLineChars="3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                        (签字)</w:t>
      </w:r>
    </w:p>
    <w:p>
      <w:pPr>
        <w:adjustRightInd w:val="0"/>
        <w:snapToGrid w:val="0"/>
        <w:spacing w:line="480" w:lineRule="auto"/>
        <w:ind w:left="0" w:right="-300" w:firstLine="1120" w:firstLineChars="3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(盖章)                        (盖章)</w:t>
      </w:r>
    </w:p>
    <w:p>
      <w:pPr>
        <w:adjustRightInd w:val="0"/>
        <w:snapToGrid w:val="0"/>
        <w:spacing w:line="480" w:lineRule="auto"/>
        <w:ind w:left="-360" w:right="-301"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签署日期：      年    月    日</w:t>
      </w:r>
    </w:p>
    <w:p>
      <w:pPr>
        <w:snapToGrid w:val="0"/>
        <w:spacing w:line="480" w:lineRule="auto"/>
        <w:ind w:left="-359" w:leftChars="-171" w:right="299" w:firstLine="3516" w:firstLineChars="1099"/>
        <w:jc w:val="cente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74534"/>
    </w:sdtPr>
    <w:sdtContent>
      <w:p>
        <w:pPr>
          <w:pStyle w:val="5"/>
          <w:jc w:val="center"/>
        </w:pPr>
        <w:r>
          <w:fldChar w:fldCharType="begin"/>
        </w:r>
        <w:r>
          <w:instrText xml:space="preserve"> PAGE   \* MERGEFORMAT </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59"/>
    <w:rsid w:val="00021446"/>
    <w:rsid w:val="0002304F"/>
    <w:rsid w:val="00052086"/>
    <w:rsid w:val="0008475A"/>
    <w:rsid w:val="00085C83"/>
    <w:rsid w:val="000C4603"/>
    <w:rsid w:val="000E74D2"/>
    <w:rsid w:val="000F5A9F"/>
    <w:rsid w:val="0013799F"/>
    <w:rsid w:val="00141E7C"/>
    <w:rsid w:val="00142A5A"/>
    <w:rsid w:val="0015763D"/>
    <w:rsid w:val="001664EF"/>
    <w:rsid w:val="001764C6"/>
    <w:rsid w:val="0018673F"/>
    <w:rsid w:val="001A08D5"/>
    <w:rsid w:val="001B2062"/>
    <w:rsid w:val="001B2AD4"/>
    <w:rsid w:val="001C3C87"/>
    <w:rsid w:val="001D0D15"/>
    <w:rsid w:val="001D156B"/>
    <w:rsid w:val="001D309D"/>
    <w:rsid w:val="001E485C"/>
    <w:rsid w:val="001F1ABB"/>
    <w:rsid w:val="001F7FB6"/>
    <w:rsid w:val="00207F55"/>
    <w:rsid w:val="00214A07"/>
    <w:rsid w:val="00216156"/>
    <w:rsid w:val="00237B35"/>
    <w:rsid w:val="0025181B"/>
    <w:rsid w:val="00251AB1"/>
    <w:rsid w:val="00257AB5"/>
    <w:rsid w:val="00260B88"/>
    <w:rsid w:val="00261052"/>
    <w:rsid w:val="0028145D"/>
    <w:rsid w:val="00296E6D"/>
    <w:rsid w:val="002A5D4C"/>
    <w:rsid w:val="002B2AD2"/>
    <w:rsid w:val="002B6163"/>
    <w:rsid w:val="002D57CD"/>
    <w:rsid w:val="002E74CD"/>
    <w:rsid w:val="003034E4"/>
    <w:rsid w:val="00304DA9"/>
    <w:rsid w:val="00326A6E"/>
    <w:rsid w:val="003344AB"/>
    <w:rsid w:val="00345BB3"/>
    <w:rsid w:val="00345EF2"/>
    <w:rsid w:val="003475B5"/>
    <w:rsid w:val="00364515"/>
    <w:rsid w:val="00365C0C"/>
    <w:rsid w:val="00366FD2"/>
    <w:rsid w:val="00374D49"/>
    <w:rsid w:val="00377F85"/>
    <w:rsid w:val="003847C8"/>
    <w:rsid w:val="003B5016"/>
    <w:rsid w:val="003B758E"/>
    <w:rsid w:val="003C0788"/>
    <w:rsid w:val="003D672A"/>
    <w:rsid w:val="003E708B"/>
    <w:rsid w:val="003F6FA6"/>
    <w:rsid w:val="00405E01"/>
    <w:rsid w:val="00415A7D"/>
    <w:rsid w:val="00415D38"/>
    <w:rsid w:val="00437FCE"/>
    <w:rsid w:val="00443B72"/>
    <w:rsid w:val="004665FE"/>
    <w:rsid w:val="004749A4"/>
    <w:rsid w:val="00484743"/>
    <w:rsid w:val="0049593B"/>
    <w:rsid w:val="004A1A62"/>
    <w:rsid w:val="004A78EF"/>
    <w:rsid w:val="004B5826"/>
    <w:rsid w:val="004C016E"/>
    <w:rsid w:val="004C3A07"/>
    <w:rsid w:val="004F61DE"/>
    <w:rsid w:val="00515390"/>
    <w:rsid w:val="005428CB"/>
    <w:rsid w:val="00543366"/>
    <w:rsid w:val="00543A02"/>
    <w:rsid w:val="00552126"/>
    <w:rsid w:val="00554E31"/>
    <w:rsid w:val="00560F61"/>
    <w:rsid w:val="005814F9"/>
    <w:rsid w:val="00584BAE"/>
    <w:rsid w:val="0058735F"/>
    <w:rsid w:val="005A4D98"/>
    <w:rsid w:val="005B20D8"/>
    <w:rsid w:val="005C09C6"/>
    <w:rsid w:val="005D0E42"/>
    <w:rsid w:val="005D62D4"/>
    <w:rsid w:val="005D6D59"/>
    <w:rsid w:val="005E5785"/>
    <w:rsid w:val="0060635D"/>
    <w:rsid w:val="006142B3"/>
    <w:rsid w:val="00624CB0"/>
    <w:rsid w:val="006341C9"/>
    <w:rsid w:val="0063539B"/>
    <w:rsid w:val="00641A52"/>
    <w:rsid w:val="00644301"/>
    <w:rsid w:val="00671568"/>
    <w:rsid w:val="006726AE"/>
    <w:rsid w:val="00672E1B"/>
    <w:rsid w:val="006844CF"/>
    <w:rsid w:val="006B2ADE"/>
    <w:rsid w:val="006C1C1C"/>
    <w:rsid w:val="006D7912"/>
    <w:rsid w:val="00700BE9"/>
    <w:rsid w:val="00701EB7"/>
    <w:rsid w:val="007050B1"/>
    <w:rsid w:val="00707661"/>
    <w:rsid w:val="00720D1D"/>
    <w:rsid w:val="00721EFD"/>
    <w:rsid w:val="00723C58"/>
    <w:rsid w:val="00734074"/>
    <w:rsid w:val="00740412"/>
    <w:rsid w:val="00762791"/>
    <w:rsid w:val="007737AF"/>
    <w:rsid w:val="0078152B"/>
    <w:rsid w:val="00784DA1"/>
    <w:rsid w:val="0078648A"/>
    <w:rsid w:val="00786F78"/>
    <w:rsid w:val="0079418A"/>
    <w:rsid w:val="007B516F"/>
    <w:rsid w:val="007C6090"/>
    <w:rsid w:val="007D780E"/>
    <w:rsid w:val="007F206E"/>
    <w:rsid w:val="007F6780"/>
    <w:rsid w:val="007F6C2C"/>
    <w:rsid w:val="00816D44"/>
    <w:rsid w:val="00845E93"/>
    <w:rsid w:val="00854246"/>
    <w:rsid w:val="0087528C"/>
    <w:rsid w:val="00876DCA"/>
    <w:rsid w:val="00880056"/>
    <w:rsid w:val="00883271"/>
    <w:rsid w:val="008A1363"/>
    <w:rsid w:val="008A1CE1"/>
    <w:rsid w:val="008A2B91"/>
    <w:rsid w:val="008C722B"/>
    <w:rsid w:val="008D57E6"/>
    <w:rsid w:val="008E5170"/>
    <w:rsid w:val="00907CB9"/>
    <w:rsid w:val="00907D9E"/>
    <w:rsid w:val="0092381F"/>
    <w:rsid w:val="00930DDC"/>
    <w:rsid w:val="0093120E"/>
    <w:rsid w:val="00937398"/>
    <w:rsid w:val="00942FCC"/>
    <w:rsid w:val="00975DBB"/>
    <w:rsid w:val="00981352"/>
    <w:rsid w:val="00983C64"/>
    <w:rsid w:val="00987FC2"/>
    <w:rsid w:val="0099385A"/>
    <w:rsid w:val="009960F2"/>
    <w:rsid w:val="00997B69"/>
    <w:rsid w:val="009C1F1F"/>
    <w:rsid w:val="009C603F"/>
    <w:rsid w:val="009D74B0"/>
    <w:rsid w:val="009F2379"/>
    <w:rsid w:val="00A255C9"/>
    <w:rsid w:val="00A25E38"/>
    <w:rsid w:val="00A43403"/>
    <w:rsid w:val="00A43CDC"/>
    <w:rsid w:val="00A45F2F"/>
    <w:rsid w:val="00A70F47"/>
    <w:rsid w:val="00A74DE7"/>
    <w:rsid w:val="00A75574"/>
    <w:rsid w:val="00A954B0"/>
    <w:rsid w:val="00A97384"/>
    <w:rsid w:val="00AB00E9"/>
    <w:rsid w:val="00AB01C2"/>
    <w:rsid w:val="00AC3F0D"/>
    <w:rsid w:val="00AE2176"/>
    <w:rsid w:val="00AE2CB9"/>
    <w:rsid w:val="00AE789C"/>
    <w:rsid w:val="00AF2CBF"/>
    <w:rsid w:val="00AF73E4"/>
    <w:rsid w:val="00B070E8"/>
    <w:rsid w:val="00B155F8"/>
    <w:rsid w:val="00B16859"/>
    <w:rsid w:val="00B32819"/>
    <w:rsid w:val="00B522DB"/>
    <w:rsid w:val="00B61D30"/>
    <w:rsid w:val="00B7202C"/>
    <w:rsid w:val="00B73B9B"/>
    <w:rsid w:val="00B836FD"/>
    <w:rsid w:val="00BA1D33"/>
    <w:rsid w:val="00BA4F27"/>
    <w:rsid w:val="00BC1431"/>
    <w:rsid w:val="00BD70C3"/>
    <w:rsid w:val="00C068EF"/>
    <w:rsid w:val="00C314D0"/>
    <w:rsid w:val="00C5138B"/>
    <w:rsid w:val="00C51E49"/>
    <w:rsid w:val="00C7348B"/>
    <w:rsid w:val="00C77D3E"/>
    <w:rsid w:val="00C82BC1"/>
    <w:rsid w:val="00C836C3"/>
    <w:rsid w:val="00CB064D"/>
    <w:rsid w:val="00CB6BAE"/>
    <w:rsid w:val="00CC5728"/>
    <w:rsid w:val="00CC5984"/>
    <w:rsid w:val="00CD0545"/>
    <w:rsid w:val="00CD239E"/>
    <w:rsid w:val="00CD2F4E"/>
    <w:rsid w:val="00CE53BA"/>
    <w:rsid w:val="00CF3105"/>
    <w:rsid w:val="00D01A9E"/>
    <w:rsid w:val="00D0784D"/>
    <w:rsid w:val="00D30E27"/>
    <w:rsid w:val="00D64BA5"/>
    <w:rsid w:val="00D6728F"/>
    <w:rsid w:val="00D74D5F"/>
    <w:rsid w:val="00D86901"/>
    <w:rsid w:val="00D8781B"/>
    <w:rsid w:val="00D94B69"/>
    <w:rsid w:val="00D96BB0"/>
    <w:rsid w:val="00DA189A"/>
    <w:rsid w:val="00DA3AAA"/>
    <w:rsid w:val="00DB1843"/>
    <w:rsid w:val="00DD23FD"/>
    <w:rsid w:val="00DD7675"/>
    <w:rsid w:val="00DE2B27"/>
    <w:rsid w:val="00DF483D"/>
    <w:rsid w:val="00E062C1"/>
    <w:rsid w:val="00E0643D"/>
    <w:rsid w:val="00E10D23"/>
    <w:rsid w:val="00E16312"/>
    <w:rsid w:val="00E25C4E"/>
    <w:rsid w:val="00E267F4"/>
    <w:rsid w:val="00E3016A"/>
    <w:rsid w:val="00E36B7F"/>
    <w:rsid w:val="00E4025E"/>
    <w:rsid w:val="00E63CC9"/>
    <w:rsid w:val="00E75999"/>
    <w:rsid w:val="00EA3C5F"/>
    <w:rsid w:val="00ED0157"/>
    <w:rsid w:val="00ED545B"/>
    <w:rsid w:val="00ED6B62"/>
    <w:rsid w:val="00F17814"/>
    <w:rsid w:val="00F30D2F"/>
    <w:rsid w:val="00F47799"/>
    <w:rsid w:val="00F55907"/>
    <w:rsid w:val="00F76277"/>
    <w:rsid w:val="00F86037"/>
    <w:rsid w:val="00F92A79"/>
    <w:rsid w:val="00F94270"/>
    <w:rsid w:val="00F94ECD"/>
    <w:rsid w:val="00FB57E7"/>
    <w:rsid w:val="00FC78D9"/>
    <w:rsid w:val="00FD543B"/>
    <w:rsid w:val="00FF0D2B"/>
    <w:rsid w:val="00FF5DD9"/>
    <w:rsid w:val="17FB1C66"/>
    <w:rsid w:val="2FF75A5B"/>
    <w:rsid w:val="399ACF8C"/>
    <w:rsid w:val="3F7E658B"/>
    <w:rsid w:val="3FAA49E2"/>
    <w:rsid w:val="3FC91B58"/>
    <w:rsid w:val="3FCF396C"/>
    <w:rsid w:val="460279DE"/>
    <w:rsid w:val="463A494D"/>
    <w:rsid w:val="4CC30CEA"/>
    <w:rsid w:val="55731111"/>
    <w:rsid w:val="57FE5A94"/>
    <w:rsid w:val="5EEFBEBF"/>
    <w:rsid w:val="5FF89EBD"/>
    <w:rsid w:val="617E9089"/>
    <w:rsid w:val="63976966"/>
    <w:rsid w:val="6733C73E"/>
    <w:rsid w:val="6DEF8A01"/>
    <w:rsid w:val="6EABB373"/>
    <w:rsid w:val="6F53E8E7"/>
    <w:rsid w:val="71FFC22E"/>
    <w:rsid w:val="74BF77B4"/>
    <w:rsid w:val="766BC315"/>
    <w:rsid w:val="79BFFE46"/>
    <w:rsid w:val="7BDFE916"/>
    <w:rsid w:val="7DDB9806"/>
    <w:rsid w:val="7FB7C706"/>
    <w:rsid w:val="7FBB45AB"/>
    <w:rsid w:val="7FE731FB"/>
    <w:rsid w:val="7FF324DD"/>
    <w:rsid w:val="7FFF8BC3"/>
    <w:rsid w:val="93F6FFB2"/>
    <w:rsid w:val="A7CBC904"/>
    <w:rsid w:val="A7E65AEA"/>
    <w:rsid w:val="B6DB3048"/>
    <w:rsid w:val="B9DE9EF9"/>
    <w:rsid w:val="B9FBE7BF"/>
    <w:rsid w:val="BBFEB683"/>
    <w:rsid w:val="BCB70962"/>
    <w:rsid w:val="BDD8A4A8"/>
    <w:rsid w:val="BFABFDCF"/>
    <w:rsid w:val="BFEFD631"/>
    <w:rsid w:val="BFFEC28F"/>
    <w:rsid w:val="CFBF5F4A"/>
    <w:rsid w:val="DEB5A81A"/>
    <w:rsid w:val="DFEF9161"/>
    <w:rsid w:val="EB5E8B56"/>
    <w:rsid w:val="EBDE25A5"/>
    <w:rsid w:val="F4FE82EC"/>
    <w:rsid w:val="F6644F1D"/>
    <w:rsid w:val="F7BDF7EE"/>
    <w:rsid w:val="F9F77E50"/>
    <w:rsid w:val="FCCD6BA9"/>
    <w:rsid w:val="FFFD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lock Text"/>
    <w:basedOn w:val="1"/>
    <w:qFormat/>
    <w:uiPriority w:val="0"/>
    <w:pPr>
      <w:spacing w:line="520" w:lineRule="atLeast"/>
      <w:ind w:left="-357" w:right="-301" w:firstLine="600"/>
    </w:pPr>
    <w:rPr>
      <w:sz w:val="30"/>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semiHidden/>
    <w:unhideWhenUsed/>
    <w:qFormat/>
    <w:uiPriority w:val="99"/>
    <w:pPr>
      <w:snapToGrid w:val="0"/>
      <w:jc w:val="left"/>
    </w:pPr>
    <w:rPr>
      <w:sz w:val="18"/>
      <w:szCs w:val="18"/>
    </w:rPr>
  </w:style>
  <w:style w:type="paragraph" w:styleId="8">
    <w:name w:val="annotation subject"/>
    <w:basedOn w:val="2"/>
    <w:next w:val="2"/>
    <w:link w:val="19"/>
    <w:semiHidden/>
    <w:unhideWhenUsed/>
    <w:qFormat/>
    <w:uiPriority w:val="99"/>
    <w:rPr>
      <w:b/>
      <w:bCs/>
    </w:rPr>
  </w:style>
  <w:style w:type="character" w:styleId="11">
    <w:name w:val="page number"/>
    <w:basedOn w:val="10"/>
    <w:qFormat/>
    <w:uiPriority w:val="0"/>
  </w:style>
  <w:style w:type="character" w:styleId="12">
    <w:name w:val="annotation reference"/>
    <w:basedOn w:val="10"/>
    <w:semiHidden/>
    <w:unhideWhenUsed/>
    <w:qFormat/>
    <w:uiPriority w:val="99"/>
    <w:rPr>
      <w:sz w:val="21"/>
      <w:szCs w:val="21"/>
    </w:rPr>
  </w:style>
  <w:style w:type="character" w:styleId="13">
    <w:name w:val="footnote reference"/>
    <w:basedOn w:val="10"/>
    <w:semiHidden/>
    <w:unhideWhenUsed/>
    <w:qFormat/>
    <w:uiPriority w:val="99"/>
    <w:rPr>
      <w:vertAlign w:val="superscript"/>
    </w:rPr>
  </w:style>
  <w:style w:type="character" w:customStyle="1" w:styleId="14">
    <w:name w:val="页眉 字符"/>
    <w:basedOn w:val="10"/>
    <w:link w:val="6"/>
    <w:qFormat/>
    <w:uiPriority w:val="99"/>
    <w:rPr>
      <w:rFonts w:ascii="Times New Roman" w:hAnsi="Times New Roman" w:eastAsia="宋体" w:cs="Times New Roman"/>
      <w:sz w:val="18"/>
      <w:szCs w:val="18"/>
    </w:rPr>
  </w:style>
  <w:style w:type="character" w:customStyle="1" w:styleId="15">
    <w:name w:val="页脚 字符"/>
    <w:basedOn w:val="10"/>
    <w:link w:val="5"/>
    <w:qFormat/>
    <w:uiPriority w:val="99"/>
    <w:rPr>
      <w:rFonts w:ascii="Times New Roman" w:hAnsi="Times New Roman" w:eastAsia="宋体" w:cs="Times New Roman"/>
      <w:sz w:val="18"/>
      <w:szCs w:val="18"/>
    </w:rPr>
  </w:style>
  <w:style w:type="character" w:customStyle="1" w:styleId="16">
    <w:name w:val="批注框文本 字符"/>
    <w:basedOn w:val="10"/>
    <w:link w:val="4"/>
    <w:semiHidden/>
    <w:qFormat/>
    <w:uiPriority w:val="99"/>
    <w:rPr>
      <w:rFonts w:ascii="Times New Roman" w:hAnsi="Times New Roman" w:eastAsia="宋体" w:cs="Times New Roman"/>
      <w:sz w:val="18"/>
      <w:szCs w:val="18"/>
    </w:rPr>
  </w:style>
  <w:style w:type="character" w:customStyle="1" w:styleId="17">
    <w:name w:val="脚注文本 字符"/>
    <w:basedOn w:val="10"/>
    <w:link w:val="7"/>
    <w:semiHidden/>
    <w:qFormat/>
    <w:uiPriority w:val="99"/>
    <w:rPr>
      <w:rFonts w:ascii="Times New Roman" w:hAnsi="Times New Roman"/>
      <w:kern w:val="2"/>
      <w:sz w:val="18"/>
      <w:szCs w:val="18"/>
    </w:rPr>
  </w:style>
  <w:style w:type="character" w:customStyle="1" w:styleId="18">
    <w:name w:val="批注文字 字符"/>
    <w:basedOn w:val="10"/>
    <w:link w:val="2"/>
    <w:semiHidden/>
    <w:qFormat/>
    <w:uiPriority w:val="99"/>
    <w:rPr>
      <w:rFonts w:ascii="Times New Roman" w:hAnsi="Times New Roman"/>
      <w:kern w:val="2"/>
      <w:sz w:val="21"/>
      <w:szCs w:val="24"/>
    </w:rPr>
  </w:style>
  <w:style w:type="character" w:customStyle="1" w:styleId="19">
    <w:name w:val="批注主题 字符"/>
    <w:basedOn w:val="18"/>
    <w:link w:val="8"/>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523</Words>
  <Characters>2983</Characters>
  <Lines>24</Lines>
  <Paragraphs>6</Paragraphs>
  <TotalTime>1</TotalTime>
  <ScaleCrop>false</ScaleCrop>
  <LinksUpToDate>false</LinksUpToDate>
  <CharactersWithSpaces>3500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2020-12-27T03:55:00Z</dcterms:created>
  <dc:creator>user</dc:creator>
  <cp:lastModifiedBy>sunjx</cp:lastModifiedBy>
  <cp:lastPrinted>2023-09-18T06:38:00Z</cp:lastPrinted>
  <dcterms:modified xsi:type="dcterms:W3CDTF">2023-11-10T11:22:38Z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