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uto"/>
        <w:jc w:val="left"/>
        <w:rPr>
          <w:rFonts w:hint="eastAsia" w:ascii="仿宋_GB2312" w:hAnsi="宋体" w:eastAsia="仿宋_GB2312"/>
          <w:sz w:val="32"/>
          <w:szCs w:val="32"/>
        </w:rPr>
      </w:pPr>
      <w:bookmarkStart w:id="0" w:name="_GoBack"/>
      <w:bookmarkEnd w:id="0"/>
      <w:r>
        <w:rPr>
          <w:rFonts w:hint="eastAsia" w:ascii="仿宋_GB2312" w:hAnsi="宋体" w:eastAsia="仿宋_GB2312"/>
          <w:sz w:val="32"/>
          <w:szCs w:val="32"/>
        </w:rPr>
        <w:t>附</w:t>
      </w:r>
      <w:r>
        <w:rPr>
          <w:rFonts w:hint="eastAsia" w:ascii="仿宋_GB2312" w:hAnsi="宋体" w:eastAsia="仿宋_GB2312"/>
          <w:sz w:val="32"/>
          <w:szCs w:val="32"/>
          <w:lang w:eastAsia="zh-CN"/>
        </w:rPr>
        <w:t>件</w:t>
      </w:r>
      <w:r>
        <w:rPr>
          <w:rFonts w:hint="eastAsia" w:ascii="仿宋_GB2312" w:hAnsi="宋体" w:eastAsia="仿宋_GB2312"/>
          <w:sz w:val="32"/>
          <w:szCs w:val="32"/>
          <w:lang w:val="en-US" w:eastAsia="zh-CN"/>
        </w:rPr>
        <w:t>3</w:t>
      </w:r>
      <w:r>
        <w:rPr>
          <w:rFonts w:hint="eastAsia" w:ascii="仿宋_GB2312" w:hAnsi="宋体" w:eastAsia="仿宋_GB2312"/>
          <w:sz w:val="32"/>
          <w:szCs w:val="32"/>
        </w:rPr>
        <w:t>：</w:t>
      </w:r>
    </w:p>
    <w:p>
      <w:pPr>
        <w:widowControl/>
        <w:spacing w:line="240" w:lineRule="auto"/>
        <w:jc w:val="left"/>
        <w:rPr>
          <w:rFonts w:hint="eastAsia" w:ascii="仿宋_GB2312" w:hAnsi="宋体" w:eastAsia="仿宋_GB2312"/>
          <w:sz w:val="32"/>
          <w:szCs w:val="32"/>
        </w:rPr>
      </w:pPr>
    </w:p>
    <w:p>
      <w:pPr>
        <w:spacing w:before="156" w:beforeLines="50" w:after="156" w:afterLines="50" w:line="600" w:lineRule="exact"/>
        <w:jc w:val="center"/>
        <w:rPr>
          <w:rFonts w:hint="eastAsia" w:ascii="方正小标宋简体" w:hAnsi="方正小标宋简体" w:eastAsia="方正小标宋简体" w:cs="方正小标宋简体"/>
          <w:b w:val="0"/>
          <w:bCs/>
          <w:sz w:val="36"/>
          <w:szCs w:val="36"/>
          <w:lang w:eastAsia="zh-CN"/>
        </w:rPr>
      </w:pPr>
      <w:r>
        <w:rPr>
          <w:rFonts w:hint="eastAsia" w:ascii="方正小标宋简体" w:hAnsi="方正小标宋简体" w:eastAsia="方正小标宋简体" w:cs="方正小标宋简体"/>
          <w:b w:val="0"/>
          <w:bCs/>
          <w:sz w:val="36"/>
          <w:szCs w:val="36"/>
        </w:rPr>
        <w:t>评审指标体系</w:t>
      </w:r>
      <w:r>
        <w:rPr>
          <w:rFonts w:hint="eastAsia" w:ascii="方正小标宋简体" w:hAnsi="方正小标宋简体" w:eastAsia="方正小标宋简体" w:cs="方正小标宋简体"/>
          <w:b w:val="0"/>
          <w:bCs/>
          <w:sz w:val="36"/>
          <w:szCs w:val="36"/>
          <w:lang w:eastAsia="zh-CN"/>
        </w:rPr>
        <w:t>及评分方法</w:t>
      </w:r>
    </w:p>
    <w:p>
      <w:pPr>
        <w:spacing w:line="600" w:lineRule="exact"/>
        <w:ind w:firstLine="566" w:firstLineChars="188"/>
        <w:jc w:val="left"/>
        <w:rPr>
          <w:rFonts w:hint="eastAsia" w:ascii="仿宋_GB2312" w:hAnsi="宋体" w:eastAsia="仿宋_GB2312"/>
          <w:b/>
          <w:sz w:val="30"/>
          <w:szCs w:val="30"/>
        </w:rPr>
      </w:pPr>
    </w:p>
    <w:p>
      <w:pPr>
        <w:adjustRightInd w:val="0"/>
        <w:snapToGrid w:val="0"/>
        <w:spacing w:line="360" w:lineRule="auto"/>
        <w:ind w:firstLine="640" w:firstLineChars="200"/>
        <w:jc w:val="left"/>
        <w:rPr>
          <w:rFonts w:hint="eastAsia" w:ascii="黑体" w:hAnsi="黑体" w:eastAsia="黑体" w:cs="黑体"/>
          <w:b w:val="0"/>
          <w:bCs/>
          <w:sz w:val="32"/>
          <w:szCs w:val="32"/>
        </w:rPr>
      </w:pPr>
      <w:r>
        <w:rPr>
          <w:rFonts w:hint="eastAsia" w:ascii="黑体" w:hAnsi="黑体" w:eastAsia="黑体" w:cs="黑体"/>
          <w:b w:val="0"/>
          <w:bCs/>
          <w:sz w:val="32"/>
          <w:szCs w:val="32"/>
        </w:rPr>
        <w:t>一、指标体系</w:t>
      </w:r>
    </w:p>
    <w:p>
      <w:pPr>
        <w:adjustRightInd w:val="0"/>
        <w:snapToGrid w:val="0"/>
        <w:spacing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评审指标包括</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个方面：储蓄国债业务开展情况、储蓄存款情况、业务渠道情况、风险防控能力、资本经营状况、其他因素，权重分别为</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default" w:ascii="仿宋_GB2312" w:hAnsi="仿宋_GB2312" w:eastAsia="仿宋_GB2312" w:cs="仿宋_GB2312"/>
          <w:sz w:val="32"/>
          <w:szCs w:val="32"/>
          <w:lang w:val="en"/>
        </w:rPr>
        <w:t>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10%、1</w:t>
      </w:r>
      <w:r>
        <w:rPr>
          <w:rFonts w:hint="eastAsia" w:ascii="仿宋_GB2312" w:hAnsi="仿宋_GB2312" w:eastAsia="仿宋_GB2312" w:cs="仿宋_GB2312"/>
          <w:sz w:val="32"/>
          <w:szCs w:val="32"/>
        </w:rPr>
        <w:t>0%（详见表1）。</w:t>
      </w:r>
    </w:p>
    <w:p>
      <w:pPr>
        <w:spacing w:before="156" w:beforeLines="50" w:after="156" w:afterLines="50" w:line="58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8"/>
          <w:szCs w:val="28"/>
        </w:rPr>
        <w:t>表1 ：储蓄国债承销团评审指标</w:t>
      </w:r>
    </w:p>
    <w:tbl>
      <w:tblPr>
        <w:tblStyle w:val="9"/>
        <w:tblW w:w="8851" w:type="dxa"/>
        <w:jc w:val="center"/>
        <w:tblLayout w:type="fixed"/>
        <w:tblCellMar>
          <w:top w:w="0" w:type="dxa"/>
          <w:left w:w="108" w:type="dxa"/>
          <w:bottom w:w="0" w:type="dxa"/>
          <w:right w:w="108" w:type="dxa"/>
        </w:tblCellMar>
      </w:tblPr>
      <w:tblGrid>
        <w:gridCol w:w="766"/>
        <w:gridCol w:w="1775"/>
        <w:gridCol w:w="4211"/>
        <w:gridCol w:w="708"/>
        <w:gridCol w:w="1391"/>
      </w:tblGrid>
      <w:tr>
        <w:tblPrEx>
          <w:tblCellMar>
            <w:top w:w="0" w:type="dxa"/>
            <w:left w:w="108" w:type="dxa"/>
            <w:bottom w:w="0" w:type="dxa"/>
            <w:right w:w="108" w:type="dxa"/>
          </w:tblCellMar>
        </w:tblPrEx>
        <w:trPr>
          <w:trHeight w:val="61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序号</w:t>
            </w:r>
          </w:p>
        </w:tc>
        <w:tc>
          <w:tcPr>
            <w:tcW w:w="1775"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类别</w:t>
            </w:r>
          </w:p>
        </w:tc>
        <w:tc>
          <w:tcPr>
            <w:tcW w:w="421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分项指标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权重</w:t>
            </w:r>
          </w:p>
        </w:tc>
        <w:tc>
          <w:tcPr>
            <w:tcW w:w="139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
                <w:bCs/>
                <w:color w:val="000000"/>
                <w:kern w:val="0"/>
                <w:sz w:val="24"/>
              </w:rPr>
            </w:pPr>
            <w:r>
              <w:rPr>
                <w:rFonts w:hint="eastAsia" w:ascii="仿宋_GB2312" w:hAnsi="仿宋_GB2312" w:eastAsia="仿宋_GB2312" w:cs="仿宋_GB2312"/>
                <w:b/>
                <w:bCs/>
                <w:color w:val="000000"/>
                <w:kern w:val="0"/>
                <w:sz w:val="24"/>
              </w:rPr>
              <w:t>权重合计</w:t>
            </w:r>
          </w:p>
        </w:tc>
      </w:tr>
      <w:tr>
        <w:tblPrEx>
          <w:tblCellMar>
            <w:top w:w="0" w:type="dxa"/>
            <w:left w:w="108" w:type="dxa"/>
            <w:bottom w:w="0" w:type="dxa"/>
            <w:right w:w="108" w:type="dxa"/>
          </w:tblCellMar>
        </w:tblPrEx>
        <w:trPr>
          <w:trHeight w:val="379" w:hRule="atLeast"/>
          <w:jc w:val="center"/>
        </w:trPr>
        <w:tc>
          <w:tcPr>
            <w:tcW w:w="766"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一</w:t>
            </w:r>
          </w:p>
        </w:tc>
        <w:tc>
          <w:tcPr>
            <w:tcW w:w="1775" w:type="dxa"/>
            <w:vMerge w:val="restart"/>
            <w:tcBorders>
              <w:top w:val="single" w:color="auto" w:sz="4" w:space="0"/>
              <w:left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储蓄国债业务开展情况</w:t>
            </w:r>
          </w:p>
        </w:tc>
        <w:tc>
          <w:tcPr>
            <w:tcW w:w="421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储蓄国债承销量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20</w:t>
            </w:r>
            <w:r>
              <w:rPr>
                <w:rFonts w:hint="eastAsia" w:ascii="仿宋_GB2312" w:hAnsi="仿宋_GB2312" w:eastAsia="仿宋_GB2312" w:cs="仿宋_GB2312"/>
                <w:bCs/>
                <w:color w:val="000000"/>
                <w:kern w:val="0"/>
                <w:sz w:val="24"/>
              </w:rPr>
              <w:t>%</w:t>
            </w:r>
          </w:p>
        </w:tc>
        <w:tc>
          <w:tcPr>
            <w:tcW w:w="1391" w:type="dxa"/>
            <w:vMerge w:val="restart"/>
            <w:tcBorders>
              <w:top w:val="single" w:color="auto" w:sz="4" w:space="0"/>
              <w:left w:val="nil"/>
              <w:right w:val="single" w:color="auto" w:sz="4" w:space="0"/>
            </w:tcBorders>
            <w:vAlign w:val="center"/>
          </w:tcPr>
          <w:p>
            <w:pPr>
              <w:widowControl/>
              <w:jc w:val="center"/>
              <w:rPr>
                <w:rFonts w:hint="eastAsia" w:ascii="仿宋_GB2312" w:hAnsi="仿宋_GB2312" w:eastAsia="仿宋_GB2312" w:cs="仿宋_GB2312"/>
                <w:bCs/>
                <w:color w:val="000000"/>
                <w:kern w:val="0"/>
                <w:sz w:val="24"/>
              </w:rPr>
            </w:pPr>
            <w:r>
              <w:rPr>
                <w:rFonts w:hint="default" w:ascii="仿宋_GB2312" w:hAnsi="仿宋_GB2312" w:eastAsia="仿宋_GB2312" w:cs="仿宋_GB2312"/>
                <w:bCs/>
                <w:color w:val="000000"/>
                <w:kern w:val="0"/>
                <w:sz w:val="24"/>
                <w:lang w:val="en"/>
              </w:rPr>
              <w:t>2</w:t>
            </w:r>
            <w:r>
              <w:rPr>
                <w:rFonts w:hint="eastAsia" w:ascii="仿宋_GB2312" w:hAnsi="仿宋_GB2312" w:eastAsia="仿宋_GB2312" w:cs="仿宋_GB2312"/>
                <w:bCs/>
                <w:color w:val="000000"/>
                <w:kern w:val="0"/>
                <w:sz w:val="24"/>
                <w:lang w:val="en-US" w:eastAsia="zh-CN"/>
              </w:rPr>
              <w:t>5</w:t>
            </w:r>
            <w:r>
              <w:rPr>
                <w:rFonts w:hint="eastAsia" w:ascii="仿宋_GB2312" w:hAnsi="仿宋_GB2312" w:eastAsia="仿宋_GB2312" w:cs="仿宋_GB2312"/>
                <w:bCs/>
                <w:color w:val="000000"/>
                <w:kern w:val="0"/>
                <w:sz w:val="24"/>
              </w:rPr>
              <w:t>%</w:t>
            </w:r>
          </w:p>
          <w:p>
            <w:pPr>
              <w:widowControl/>
              <w:jc w:val="both"/>
              <w:rPr>
                <w:rFonts w:hint="eastAsia"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510" w:hRule="atLeast"/>
          <w:jc w:val="center"/>
        </w:trPr>
        <w:tc>
          <w:tcPr>
            <w:tcW w:w="766" w:type="dxa"/>
            <w:vMerge w:val="continue"/>
            <w:tcBorders>
              <w:left w:val="single" w:color="auto" w:sz="4" w:space="0"/>
              <w:right w:val="single" w:color="auto" w:sz="4" w:space="0"/>
            </w:tcBorders>
          </w:tcPr>
          <w:p>
            <w:pPr>
              <w:widowControl/>
              <w:jc w:val="both"/>
              <w:rPr>
                <w:rFonts w:hint="eastAsia" w:ascii="仿宋_GB2312" w:hAnsi="仿宋_GB2312" w:eastAsia="仿宋_GB2312" w:cs="仿宋_GB2312"/>
                <w:color w:val="000000"/>
                <w:kern w:val="0"/>
                <w:sz w:val="24"/>
              </w:rPr>
            </w:pPr>
          </w:p>
        </w:tc>
        <w:tc>
          <w:tcPr>
            <w:tcW w:w="1775" w:type="dxa"/>
            <w:vMerge w:val="continue"/>
            <w:tcBorders>
              <w:left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rPr>
            </w:pPr>
          </w:p>
        </w:tc>
        <w:tc>
          <w:tcPr>
            <w:tcW w:w="421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储蓄国债承销</w:t>
            </w:r>
          </w:p>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计划完成率</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lang w:val="en-US" w:eastAsia="zh-CN"/>
              </w:rPr>
              <w:t>3</w:t>
            </w:r>
            <w:r>
              <w:rPr>
                <w:rFonts w:hint="eastAsia" w:ascii="仿宋_GB2312" w:hAnsi="仿宋_GB2312" w:eastAsia="仿宋_GB2312" w:cs="仿宋_GB2312"/>
                <w:bCs/>
                <w:color w:val="000000"/>
                <w:kern w:val="0"/>
                <w:sz w:val="24"/>
              </w:rPr>
              <w:t>%</w:t>
            </w:r>
          </w:p>
        </w:tc>
        <w:tc>
          <w:tcPr>
            <w:tcW w:w="1391" w:type="dxa"/>
            <w:vMerge w:val="continue"/>
            <w:tcBorders>
              <w:left w:val="nil"/>
              <w:right w:val="single" w:color="auto" w:sz="4" w:space="0"/>
            </w:tcBorders>
            <w:vAlign w:val="center"/>
          </w:tcPr>
          <w:p>
            <w:pPr>
              <w:widowControl/>
              <w:jc w:val="center"/>
              <w:rPr>
                <w:rFonts w:hint="eastAsia"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380" w:hRule="atLeast"/>
          <w:jc w:val="center"/>
        </w:trPr>
        <w:tc>
          <w:tcPr>
            <w:tcW w:w="766" w:type="dxa"/>
            <w:vMerge w:val="continue"/>
            <w:tcBorders>
              <w:left w:val="single" w:color="auto" w:sz="4" w:space="0"/>
              <w:bottom w:val="single" w:color="auto" w:sz="4" w:space="0"/>
              <w:right w:val="single" w:color="auto" w:sz="4" w:space="0"/>
            </w:tcBorders>
          </w:tcPr>
          <w:p>
            <w:pPr>
              <w:widowControl/>
              <w:jc w:val="both"/>
              <w:rPr>
                <w:rFonts w:hint="eastAsia" w:ascii="仿宋_GB2312" w:hAnsi="仿宋_GB2312" w:eastAsia="仿宋_GB2312" w:cs="仿宋_GB2312"/>
                <w:color w:val="000000"/>
                <w:kern w:val="0"/>
                <w:sz w:val="24"/>
              </w:rPr>
            </w:pPr>
          </w:p>
        </w:tc>
        <w:tc>
          <w:tcPr>
            <w:tcW w:w="1775"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rPr>
            </w:pPr>
          </w:p>
        </w:tc>
        <w:tc>
          <w:tcPr>
            <w:tcW w:w="421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储蓄国债业务开展年限</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000000"/>
                <w:kern w:val="0"/>
                <w:sz w:val="24"/>
              </w:rPr>
            </w:pPr>
            <w:r>
              <w:rPr>
                <w:rFonts w:hint="default" w:ascii="仿宋_GB2312" w:hAnsi="仿宋_GB2312" w:eastAsia="仿宋_GB2312" w:cs="仿宋_GB2312"/>
                <w:bCs/>
                <w:color w:val="000000"/>
                <w:kern w:val="0"/>
                <w:sz w:val="24"/>
                <w:lang w:val="en"/>
              </w:rPr>
              <w:t>2</w:t>
            </w:r>
            <w:r>
              <w:rPr>
                <w:rFonts w:hint="eastAsia" w:ascii="仿宋_GB2312" w:hAnsi="仿宋_GB2312" w:eastAsia="仿宋_GB2312" w:cs="仿宋_GB2312"/>
                <w:bCs/>
                <w:color w:val="000000"/>
                <w:kern w:val="0"/>
                <w:sz w:val="24"/>
              </w:rPr>
              <w:t>%</w:t>
            </w:r>
          </w:p>
        </w:tc>
        <w:tc>
          <w:tcPr>
            <w:tcW w:w="1391" w:type="dxa"/>
            <w:vMerge w:val="continue"/>
            <w:tcBorders>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000000"/>
                <w:kern w:val="0"/>
                <w:sz w:val="24"/>
              </w:rPr>
            </w:pPr>
          </w:p>
        </w:tc>
      </w:tr>
      <w:tr>
        <w:tblPrEx>
          <w:tblCellMar>
            <w:top w:w="0" w:type="dxa"/>
            <w:left w:w="108" w:type="dxa"/>
            <w:bottom w:w="0" w:type="dxa"/>
            <w:right w:w="108" w:type="dxa"/>
          </w:tblCellMar>
        </w:tblPrEx>
        <w:trPr>
          <w:trHeight w:val="380" w:hRule="atLeast"/>
          <w:jc w:val="center"/>
        </w:trPr>
        <w:tc>
          <w:tcPr>
            <w:tcW w:w="766" w:type="dxa"/>
            <w:vMerge w:val="restart"/>
            <w:tcBorders>
              <w:top w:val="single" w:color="auto" w:sz="4" w:space="0"/>
              <w:left w:val="single" w:color="auto" w:sz="4" w:space="0"/>
              <w:right w:val="single" w:color="auto" w:sz="4" w:space="0"/>
            </w:tcBorders>
          </w:tcPr>
          <w:p>
            <w:pPr>
              <w:widowControl/>
              <w:jc w:val="both"/>
              <w:rPr>
                <w:rFonts w:hint="eastAsia" w:ascii="仿宋_GB2312" w:hAnsi="仿宋_GB2312" w:eastAsia="仿宋_GB2312" w:cs="仿宋_GB2312"/>
                <w:color w:val="000000"/>
                <w:kern w:val="0"/>
                <w:sz w:val="24"/>
              </w:rPr>
            </w:pPr>
          </w:p>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二</w:t>
            </w:r>
          </w:p>
        </w:tc>
        <w:tc>
          <w:tcPr>
            <w:tcW w:w="1775" w:type="dxa"/>
            <w:vMerge w:val="restart"/>
            <w:tcBorders>
              <w:top w:val="single" w:color="auto" w:sz="4" w:space="0"/>
              <w:left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储蓄存款情况</w:t>
            </w:r>
          </w:p>
        </w:tc>
        <w:tc>
          <w:tcPr>
            <w:tcW w:w="421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个人储蓄存款余额</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bCs/>
                <w:color w:val="000000"/>
                <w:kern w:val="0"/>
                <w:sz w:val="24"/>
              </w:rPr>
            </w:pPr>
            <w:r>
              <w:rPr>
                <w:rFonts w:hint="default" w:ascii="仿宋_GB2312" w:hAnsi="仿宋_GB2312" w:eastAsia="仿宋_GB2312" w:cs="仿宋_GB2312"/>
                <w:bCs/>
                <w:color w:val="000000"/>
                <w:kern w:val="0"/>
                <w:sz w:val="24"/>
                <w:lang w:val="en" w:eastAsia="zh-CN"/>
              </w:rPr>
              <w:t>18</w:t>
            </w:r>
            <w:r>
              <w:rPr>
                <w:rFonts w:hint="eastAsia" w:ascii="仿宋_GB2312" w:hAnsi="仿宋_GB2312" w:eastAsia="仿宋_GB2312" w:cs="仿宋_GB2312"/>
                <w:bCs/>
                <w:color w:val="000000"/>
                <w:kern w:val="0"/>
                <w:sz w:val="24"/>
              </w:rPr>
              <w:t>%</w:t>
            </w:r>
          </w:p>
        </w:tc>
        <w:tc>
          <w:tcPr>
            <w:tcW w:w="1391" w:type="dxa"/>
            <w:vMerge w:val="restart"/>
            <w:tcBorders>
              <w:top w:val="single" w:color="auto" w:sz="4" w:space="0"/>
              <w:left w:val="nil"/>
              <w:right w:val="single" w:color="auto" w:sz="4" w:space="0"/>
            </w:tcBorders>
            <w:vAlign w:val="center"/>
          </w:tcPr>
          <w:p>
            <w:pPr>
              <w:widowControl/>
              <w:jc w:val="center"/>
              <w:rPr>
                <w:rFonts w:hint="eastAsia" w:ascii="仿宋_GB2312" w:hAnsi="仿宋_GB2312" w:eastAsia="仿宋_GB2312" w:cs="仿宋_GB2312"/>
                <w:bCs/>
                <w:color w:val="000000"/>
                <w:kern w:val="0"/>
                <w:sz w:val="24"/>
              </w:rPr>
            </w:pPr>
            <w:r>
              <w:rPr>
                <w:rFonts w:hint="eastAsia" w:ascii="仿宋_GB2312" w:hAnsi="仿宋_GB2312" w:eastAsia="仿宋_GB2312" w:cs="仿宋_GB2312"/>
                <w:bCs/>
                <w:color w:val="000000"/>
                <w:kern w:val="0"/>
                <w:sz w:val="24"/>
              </w:rPr>
              <w:t>2</w:t>
            </w:r>
            <w:r>
              <w:rPr>
                <w:rFonts w:hint="eastAsia" w:ascii="仿宋_GB2312" w:hAnsi="仿宋_GB2312" w:eastAsia="仿宋_GB2312" w:cs="仿宋_GB2312"/>
                <w:bCs/>
                <w:color w:val="000000"/>
                <w:kern w:val="0"/>
                <w:sz w:val="24"/>
                <w:lang w:val="en-US" w:eastAsia="zh-CN"/>
              </w:rPr>
              <w:t>0</w:t>
            </w:r>
            <w:r>
              <w:rPr>
                <w:rFonts w:hint="eastAsia" w:ascii="仿宋_GB2312" w:hAnsi="仿宋_GB2312" w:eastAsia="仿宋_GB2312" w:cs="仿宋_GB2312"/>
                <w:bCs/>
                <w:color w:val="000000"/>
                <w:kern w:val="0"/>
                <w:sz w:val="24"/>
              </w:rPr>
              <w:t>%</w:t>
            </w:r>
          </w:p>
        </w:tc>
      </w:tr>
      <w:tr>
        <w:tblPrEx>
          <w:tblCellMar>
            <w:top w:w="0" w:type="dxa"/>
            <w:left w:w="108" w:type="dxa"/>
            <w:bottom w:w="0" w:type="dxa"/>
            <w:right w:w="108" w:type="dxa"/>
          </w:tblCellMar>
        </w:tblPrEx>
        <w:trPr>
          <w:trHeight w:val="493" w:hRule="atLeast"/>
          <w:jc w:val="center"/>
        </w:trPr>
        <w:tc>
          <w:tcPr>
            <w:tcW w:w="766" w:type="dxa"/>
            <w:vMerge w:val="continue"/>
            <w:tcBorders>
              <w:left w:val="single" w:color="auto" w:sz="4" w:space="0"/>
              <w:bottom w:val="single" w:color="auto" w:sz="4" w:space="0"/>
              <w:right w:val="single" w:color="auto" w:sz="4" w:space="0"/>
            </w:tcBorders>
          </w:tcPr>
          <w:p>
            <w:pPr>
              <w:widowControl/>
              <w:jc w:val="both"/>
              <w:rPr>
                <w:rFonts w:hint="eastAsia" w:ascii="仿宋_GB2312" w:hAnsi="仿宋_GB2312" w:eastAsia="仿宋_GB2312" w:cs="仿宋_GB2312"/>
                <w:color w:val="000000"/>
                <w:kern w:val="0"/>
                <w:sz w:val="24"/>
              </w:rPr>
            </w:pPr>
          </w:p>
        </w:tc>
        <w:tc>
          <w:tcPr>
            <w:tcW w:w="1775" w:type="dxa"/>
            <w:vMerge w:val="continue"/>
            <w:tcBorders>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rPr>
            </w:pPr>
          </w:p>
        </w:tc>
        <w:tc>
          <w:tcPr>
            <w:tcW w:w="421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个人存款占各项存款的比例</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lang w:val="en" w:eastAsia="zh-CN"/>
              </w:rPr>
              <w:t>2</w:t>
            </w:r>
            <w:r>
              <w:rPr>
                <w:rFonts w:hint="eastAsia" w:ascii="仿宋_GB2312" w:hAnsi="仿宋_GB2312" w:eastAsia="仿宋_GB2312" w:cs="仿宋_GB2312"/>
                <w:color w:val="000000"/>
                <w:kern w:val="0"/>
                <w:sz w:val="24"/>
              </w:rPr>
              <w:t>%</w:t>
            </w:r>
          </w:p>
        </w:tc>
        <w:tc>
          <w:tcPr>
            <w:tcW w:w="1391"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27"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ind w:firstLine="120" w:firstLineChars="50"/>
              <w:jc w:val="both"/>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三</w:t>
            </w:r>
          </w:p>
        </w:tc>
        <w:tc>
          <w:tcPr>
            <w:tcW w:w="1775" w:type="dxa"/>
            <w:vMerge w:val="restart"/>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业务渠道情况</w:t>
            </w:r>
          </w:p>
        </w:tc>
        <w:tc>
          <w:tcPr>
            <w:tcW w:w="4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营业网点数量</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18</w:t>
            </w:r>
            <w:r>
              <w:rPr>
                <w:rFonts w:hint="eastAsia" w:ascii="仿宋_GB2312" w:hAnsi="仿宋_GB2312" w:eastAsia="仿宋_GB2312" w:cs="仿宋_GB2312"/>
                <w:color w:val="000000"/>
                <w:kern w:val="0"/>
                <w:sz w:val="24"/>
              </w:rPr>
              <w:t>%</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lang w:val="en" w:eastAsia="zh-CN"/>
              </w:rPr>
              <w:t>2</w:t>
            </w:r>
            <w:r>
              <w:rPr>
                <w:rFonts w:hint="eastAsia" w:ascii="仿宋_GB2312" w:hAnsi="仿宋_GB2312" w:eastAsia="仿宋_GB2312" w:cs="仿宋_GB2312"/>
                <w:color w:val="000000"/>
                <w:kern w:val="0"/>
                <w:sz w:val="24"/>
                <w:lang w:val="en-US" w:eastAsia="zh-CN"/>
              </w:rPr>
              <w:t>0</w:t>
            </w:r>
            <w:r>
              <w:rPr>
                <w:rFonts w:hint="eastAsia" w:ascii="仿宋_GB2312" w:hAnsi="仿宋_GB2312" w:eastAsia="仿宋_GB2312" w:cs="仿宋_GB2312"/>
                <w:color w:val="000000"/>
                <w:kern w:val="0"/>
                <w:sz w:val="24"/>
              </w:rPr>
              <w:t>%</w:t>
            </w:r>
          </w:p>
        </w:tc>
      </w:tr>
      <w:tr>
        <w:tblPrEx>
          <w:tblCellMar>
            <w:top w:w="0" w:type="dxa"/>
            <w:left w:w="108" w:type="dxa"/>
            <w:bottom w:w="0" w:type="dxa"/>
            <w:right w:w="108" w:type="dxa"/>
          </w:tblCellMar>
        </w:tblPrEx>
        <w:trPr>
          <w:trHeight w:val="432" w:hRule="atLeast"/>
          <w:jc w:val="center"/>
        </w:trPr>
        <w:tc>
          <w:tcPr>
            <w:tcW w:w="766" w:type="dxa"/>
            <w:vMerge w:val="continue"/>
            <w:tcBorders>
              <w:top w:val="single" w:color="auto" w:sz="4" w:space="0"/>
              <w:left w:val="single" w:color="auto" w:sz="4" w:space="0"/>
              <w:bottom w:val="single" w:color="auto" w:sz="4" w:space="0"/>
              <w:right w:val="single" w:color="auto" w:sz="4" w:space="0"/>
            </w:tcBorders>
          </w:tcPr>
          <w:p>
            <w:pPr>
              <w:widowControl/>
              <w:ind w:firstLine="120" w:firstLineChars="50"/>
              <w:jc w:val="both"/>
              <w:rPr>
                <w:rFonts w:hint="eastAsia" w:ascii="仿宋_GB2312" w:hAnsi="仿宋_GB2312" w:eastAsia="仿宋_GB2312" w:cs="仿宋_GB2312"/>
                <w:color w:val="000000"/>
                <w:kern w:val="0"/>
                <w:sz w:val="24"/>
              </w:rPr>
            </w:pP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c>
          <w:tcPr>
            <w:tcW w:w="4211"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个人网上银行和手机银行账户数量</w:t>
            </w:r>
          </w:p>
        </w:tc>
        <w:tc>
          <w:tcPr>
            <w:tcW w:w="708" w:type="dxa"/>
            <w:tcBorders>
              <w:top w:val="single" w:color="auto" w:sz="4" w:space="0"/>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2</w:t>
            </w:r>
            <w:r>
              <w:rPr>
                <w:rFonts w:hint="eastAsia" w:ascii="仿宋_GB2312" w:hAnsi="仿宋_GB2312" w:eastAsia="仿宋_GB2312" w:cs="仿宋_GB2312"/>
                <w:color w:val="000000"/>
                <w:kern w:val="0"/>
                <w:sz w:val="24"/>
              </w:rPr>
              <w:t>%</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80" w:hRule="atLeast"/>
          <w:jc w:val="center"/>
        </w:trPr>
        <w:tc>
          <w:tcPr>
            <w:tcW w:w="76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四</w:t>
            </w:r>
          </w:p>
        </w:tc>
        <w:tc>
          <w:tcPr>
            <w:tcW w:w="17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风险防控能力</w:t>
            </w:r>
          </w:p>
        </w:tc>
        <w:tc>
          <w:tcPr>
            <w:tcW w:w="421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资本充足率</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w:t>
            </w:r>
            <w:r>
              <w:rPr>
                <w:rFonts w:hint="eastAsia" w:ascii="仿宋_GB2312" w:hAnsi="仿宋_GB2312" w:eastAsia="仿宋_GB2312" w:cs="仿宋_GB2312"/>
                <w:color w:val="000000"/>
                <w:kern w:val="0"/>
                <w:sz w:val="24"/>
              </w:rPr>
              <w:t>%</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1</w:t>
            </w:r>
            <w:r>
              <w:rPr>
                <w:rFonts w:hint="eastAsia" w:ascii="仿宋_GB2312" w:hAnsi="仿宋_GB2312" w:eastAsia="仿宋_GB2312" w:cs="仿宋_GB2312"/>
                <w:color w:val="000000"/>
                <w:kern w:val="0"/>
                <w:sz w:val="24"/>
                <w:lang w:val="en-US" w:eastAsia="zh-CN"/>
              </w:rPr>
              <w:t>5</w:t>
            </w:r>
            <w:r>
              <w:rPr>
                <w:rFonts w:hint="eastAsia" w:ascii="仿宋_GB2312" w:hAnsi="仿宋_GB2312" w:eastAsia="仿宋_GB2312" w:cs="仿宋_GB2312"/>
                <w:color w:val="000000"/>
                <w:kern w:val="0"/>
                <w:sz w:val="24"/>
              </w:rPr>
              <w:t>%</w:t>
            </w:r>
          </w:p>
        </w:tc>
      </w:tr>
      <w:tr>
        <w:tblPrEx>
          <w:tblCellMar>
            <w:top w:w="0" w:type="dxa"/>
            <w:left w:w="108" w:type="dxa"/>
            <w:bottom w:w="0" w:type="dxa"/>
            <w:right w:w="108" w:type="dxa"/>
          </w:tblCellMar>
        </w:tblPrEx>
        <w:trPr>
          <w:trHeight w:val="380" w:hRule="atLeast"/>
          <w:jc w:val="center"/>
        </w:trPr>
        <w:tc>
          <w:tcPr>
            <w:tcW w:w="766" w:type="dxa"/>
            <w:vMerge w:val="continue"/>
            <w:tcBorders>
              <w:top w:val="single" w:color="auto" w:sz="4" w:space="0"/>
              <w:left w:val="single" w:color="auto" w:sz="4" w:space="0"/>
              <w:bottom w:val="single" w:color="auto" w:sz="4" w:space="0"/>
              <w:right w:val="single" w:color="auto" w:sz="4" w:space="0"/>
            </w:tcBorders>
          </w:tcPr>
          <w:p>
            <w:pPr>
              <w:widowControl/>
              <w:jc w:val="both"/>
              <w:rPr>
                <w:rFonts w:hint="eastAsia" w:ascii="仿宋_GB2312" w:hAnsi="仿宋_GB2312" w:eastAsia="仿宋_GB2312" w:cs="仿宋_GB2312"/>
                <w:color w:val="000000"/>
                <w:kern w:val="0"/>
                <w:sz w:val="24"/>
              </w:rPr>
            </w:pP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c>
          <w:tcPr>
            <w:tcW w:w="421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杠杆率</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w:t>
            </w:r>
            <w:r>
              <w:rPr>
                <w:rFonts w:hint="eastAsia" w:ascii="仿宋_GB2312" w:hAnsi="仿宋_GB2312" w:eastAsia="仿宋_GB2312" w:cs="仿宋_GB2312"/>
                <w:color w:val="000000"/>
                <w:kern w:val="0"/>
                <w:sz w:val="24"/>
              </w:rPr>
              <w:t>%</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80" w:hRule="atLeast"/>
          <w:jc w:val="center"/>
        </w:trPr>
        <w:tc>
          <w:tcPr>
            <w:tcW w:w="766" w:type="dxa"/>
            <w:vMerge w:val="continue"/>
            <w:tcBorders>
              <w:top w:val="single" w:color="auto" w:sz="4" w:space="0"/>
              <w:left w:val="single" w:color="auto" w:sz="4" w:space="0"/>
              <w:bottom w:val="single" w:color="auto" w:sz="4" w:space="0"/>
              <w:right w:val="single" w:color="auto" w:sz="4" w:space="0"/>
            </w:tcBorders>
          </w:tcPr>
          <w:p>
            <w:pPr>
              <w:widowControl/>
              <w:jc w:val="both"/>
              <w:rPr>
                <w:rFonts w:hint="eastAsia" w:ascii="仿宋_GB2312" w:hAnsi="仿宋_GB2312" w:eastAsia="仿宋_GB2312" w:cs="仿宋_GB2312"/>
                <w:color w:val="000000"/>
                <w:kern w:val="0"/>
                <w:sz w:val="24"/>
              </w:rPr>
            </w:pP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c>
          <w:tcPr>
            <w:tcW w:w="421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不良贷款率</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w:t>
            </w:r>
            <w:r>
              <w:rPr>
                <w:rFonts w:hint="eastAsia" w:ascii="仿宋_GB2312" w:hAnsi="仿宋_GB2312" w:eastAsia="仿宋_GB2312" w:cs="仿宋_GB2312"/>
                <w:color w:val="000000"/>
                <w:kern w:val="0"/>
                <w:sz w:val="24"/>
              </w:rPr>
              <w:t>%</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80" w:hRule="atLeast"/>
          <w:jc w:val="center"/>
        </w:trPr>
        <w:tc>
          <w:tcPr>
            <w:tcW w:w="766" w:type="dxa"/>
            <w:vMerge w:val="continue"/>
            <w:tcBorders>
              <w:top w:val="single" w:color="auto" w:sz="4" w:space="0"/>
              <w:left w:val="single" w:color="auto" w:sz="4" w:space="0"/>
              <w:bottom w:val="single" w:color="auto" w:sz="4" w:space="0"/>
              <w:right w:val="single" w:color="auto" w:sz="4" w:space="0"/>
            </w:tcBorders>
          </w:tcPr>
          <w:p>
            <w:pPr>
              <w:widowControl/>
              <w:jc w:val="both"/>
              <w:rPr>
                <w:rFonts w:hint="eastAsia" w:ascii="仿宋_GB2312" w:hAnsi="仿宋_GB2312" w:eastAsia="仿宋_GB2312" w:cs="仿宋_GB2312"/>
                <w:color w:val="000000"/>
                <w:kern w:val="0"/>
                <w:sz w:val="24"/>
              </w:rPr>
            </w:pP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c>
          <w:tcPr>
            <w:tcW w:w="421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拨备覆盖率</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w:t>
            </w:r>
            <w:r>
              <w:rPr>
                <w:rFonts w:hint="eastAsia" w:ascii="仿宋_GB2312" w:hAnsi="仿宋_GB2312" w:eastAsia="仿宋_GB2312" w:cs="仿宋_GB2312"/>
                <w:color w:val="000000"/>
                <w:kern w:val="0"/>
                <w:sz w:val="24"/>
              </w:rPr>
              <w:t>%</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380" w:hRule="atLeast"/>
          <w:jc w:val="center"/>
        </w:trPr>
        <w:tc>
          <w:tcPr>
            <w:tcW w:w="766" w:type="dxa"/>
            <w:vMerge w:val="continue"/>
            <w:tcBorders>
              <w:top w:val="single" w:color="auto" w:sz="4" w:space="0"/>
              <w:left w:val="single" w:color="auto" w:sz="4" w:space="0"/>
              <w:bottom w:val="single" w:color="auto" w:sz="4" w:space="0"/>
              <w:right w:val="single" w:color="auto" w:sz="4" w:space="0"/>
            </w:tcBorders>
          </w:tcPr>
          <w:p>
            <w:pPr>
              <w:widowControl/>
              <w:jc w:val="both"/>
              <w:rPr>
                <w:rFonts w:hint="eastAsia" w:ascii="仿宋_GB2312" w:hAnsi="仿宋_GB2312" w:eastAsia="仿宋_GB2312" w:cs="仿宋_GB2312"/>
                <w:color w:val="000000"/>
                <w:kern w:val="0"/>
                <w:sz w:val="24"/>
              </w:rPr>
            </w:pPr>
          </w:p>
        </w:tc>
        <w:tc>
          <w:tcPr>
            <w:tcW w:w="17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c>
          <w:tcPr>
            <w:tcW w:w="4211"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流动性覆盖率</w:t>
            </w:r>
          </w:p>
        </w:tc>
        <w:tc>
          <w:tcPr>
            <w:tcW w:w="708" w:type="dxa"/>
            <w:tcBorders>
              <w:top w:val="nil"/>
              <w:left w:val="nil"/>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val="en-US" w:eastAsia="zh-CN"/>
              </w:rPr>
              <w:t>3</w:t>
            </w:r>
            <w:r>
              <w:rPr>
                <w:rFonts w:hint="eastAsia" w:ascii="仿宋_GB2312" w:hAnsi="仿宋_GB2312" w:eastAsia="仿宋_GB2312" w:cs="仿宋_GB2312"/>
                <w:color w:val="000000"/>
                <w:kern w:val="0"/>
                <w:sz w:val="24"/>
              </w:rPr>
              <w:t>%</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rPr>
            </w:pPr>
          </w:p>
        </w:tc>
      </w:tr>
      <w:tr>
        <w:tblPrEx>
          <w:tblCellMar>
            <w:top w:w="0" w:type="dxa"/>
            <w:left w:w="108" w:type="dxa"/>
            <w:bottom w:w="0" w:type="dxa"/>
            <w:right w:w="108" w:type="dxa"/>
          </w:tblCellMar>
        </w:tblPrEx>
        <w:trPr>
          <w:trHeight w:val="510"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五</w:t>
            </w:r>
          </w:p>
        </w:tc>
        <w:tc>
          <w:tcPr>
            <w:tcW w:w="1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资本经营状况</w:t>
            </w:r>
          </w:p>
        </w:tc>
        <w:tc>
          <w:tcPr>
            <w:tcW w:w="421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总资产、净资产、利润总额、净资产收益率、总资产报酬率等</w:t>
            </w:r>
          </w:p>
        </w:tc>
        <w:tc>
          <w:tcPr>
            <w:tcW w:w="7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rPr>
              <w:t>10%</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rPr>
              <w:t>10%</w:t>
            </w:r>
          </w:p>
        </w:tc>
      </w:tr>
      <w:tr>
        <w:tblPrEx>
          <w:tblCellMar>
            <w:top w:w="0" w:type="dxa"/>
            <w:left w:w="108" w:type="dxa"/>
            <w:bottom w:w="0" w:type="dxa"/>
            <w:right w:w="108" w:type="dxa"/>
          </w:tblCellMar>
        </w:tblPrEx>
        <w:trPr>
          <w:trHeight w:val="2681"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lang w:eastAsia="zh-CN"/>
              </w:rPr>
              <w:t>六</w:t>
            </w:r>
          </w:p>
        </w:tc>
        <w:tc>
          <w:tcPr>
            <w:tcW w:w="17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其他因素</w:t>
            </w:r>
          </w:p>
        </w:tc>
        <w:tc>
          <w:tcPr>
            <w:tcW w:w="4919"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办理中央集中收付情况（</w:t>
            </w:r>
            <w:r>
              <w:rPr>
                <w:rFonts w:hint="eastAsia" w:ascii="仿宋_GB2312" w:hAnsi="仿宋_GB2312" w:eastAsia="仿宋_GB2312" w:cs="仿宋_GB2312"/>
                <w:color w:val="000000"/>
                <w:kern w:val="0"/>
                <w:sz w:val="24"/>
                <w:lang w:eastAsia="zh-CN"/>
              </w:rPr>
              <w:t>中央财政国库集中支付、非税收入收缴代理业务情况</w:t>
            </w:r>
            <w:r>
              <w:rPr>
                <w:rFonts w:hint="eastAsia" w:ascii="仿宋_GB2312" w:hAnsi="仿宋_GB2312" w:eastAsia="仿宋_GB2312" w:cs="仿宋_GB2312"/>
                <w:color w:val="000000"/>
                <w:kern w:val="0"/>
                <w:sz w:val="24"/>
                <w:lang w:val="en-US" w:eastAsia="zh-CN"/>
              </w:rPr>
              <w:t>）</w:t>
            </w:r>
            <w:r>
              <w:rPr>
                <w:rFonts w:hint="eastAsia" w:ascii="仿宋_GB2312" w:hAnsi="仿宋_GB2312" w:eastAsia="仿宋_GB2312" w:cs="仿宋_GB2312"/>
                <w:color w:val="000000"/>
                <w:kern w:val="0"/>
                <w:sz w:val="24"/>
                <w:lang w:eastAsia="zh-CN"/>
              </w:rPr>
              <w:t>，</w:t>
            </w:r>
            <w:r>
              <w:rPr>
                <w:rFonts w:hint="eastAsia" w:ascii="仿宋_GB2312" w:hAnsi="仿宋_GB2312" w:eastAsia="仿宋_GB2312" w:cs="仿宋_GB2312"/>
                <w:color w:val="000000"/>
                <w:kern w:val="0"/>
                <w:sz w:val="24"/>
                <w:highlight w:val="none"/>
                <w:lang w:eastAsia="zh-CN"/>
              </w:rPr>
              <w:t>储蓄国债工作开展情况（储蓄国债承销团综合排名情况，</w:t>
            </w:r>
            <w:r>
              <w:rPr>
                <w:rFonts w:hint="eastAsia" w:ascii="仿宋_GB2312" w:hAnsi="仿宋_GB2312" w:eastAsia="仿宋_GB2312" w:cs="仿宋_GB2312"/>
                <w:color w:val="000000"/>
                <w:kern w:val="0"/>
                <w:sz w:val="24"/>
                <w:lang w:eastAsia="zh-CN"/>
              </w:rPr>
              <w:t>储蓄国债承销违规情况，</w:t>
            </w:r>
            <w:r>
              <w:rPr>
                <w:rFonts w:hint="eastAsia" w:ascii="仿宋_GB2312" w:hAnsi="仿宋_GB2312" w:eastAsia="仿宋_GB2312" w:cs="仿宋_GB2312"/>
                <w:color w:val="000000"/>
                <w:kern w:val="0"/>
                <w:sz w:val="24"/>
                <w:highlight w:val="none"/>
                <w:lang w:eastAsia="zh-CN"/>
              </w:rPr>
              <w:t>储蓄国债提前兑取管理情况，按规定开展网上银行、手机银行销售储蓄国债情况，按规定开展“国债下乡”情况等），其他可以说明储蓄国债工作能力的因素（个人金融业务亮点、</w:t>
            </w:r>
            <w:r>
              <w:rPr>
                <w:rFonts w:hint="eastAsia" w:ascii="仿宋_GB2312" w:hAnsi="仿宋_GB2312" w:eastAsia="仿宋_GB2312" w:cs="仿宋_GB2312"/>
                <w:color w:val="000000"/>
                <w:kern w:val="0"/>
                <w:sz w:val="24"/>
                <w:lang w:eastAsia="zh-CN"/>
              </w:rPr>
              <w:t>研究能力、创新能力、信息系统建设能力等</w:t>
            </w:r>
            <w:r>
              <w:rPr>
                <w:rFonts w:hint="eastAsia" w:ascii="仿宋_GB2312" w:hAnsi="仿宋_GB2312" w:eastAsia="仿宋_GB2312" w:cs="仿宋_GB2312"/>
                <w:color w:val="000000"/>
                <w:kern w:val="0"/>
                <w:sz w:val="24"/>
                <w:highlight w:val="none"/>
                <w:lang w:eastAsia="zh-CN"/>
              </w:rPr>
              <w:t>）</w:t>
            </w:r>
          </w:p>
        </w:tc>
        <w:tc>
          <w:tcPr>
            <w:tcW w:w="139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rPr>
            </w:pPr>
            <w:r>
              <w:rPr>
                <w:rFonts w:hint="default" w:ascii="仿宋_GB2312" w:hAnsi="仿宋_GB2312" w:eastAsia="仿宋_GB2312" w:cs="仿宋_GB2312"/>
                <w:color w:val="000000"/>
                <w:kern w:val="0"/>
                <w:sz w:val="24"/>
                <w:lang w:val="en" w:eastAsia="zh-CN"/>
              </w:rPr>
              <w:t xml:space="preserve">                                                                      </w:t>
            </w:r>
            <w:r>
              <w:rPr>
                <w:rFonts w:hint="eastAsia" w:ascii="仿宋_GB2312" w:hAnsi="仿宋_GB2312" w:eastAsia="仿宋_GB2312" w:cs="仿宋_GB2312"/>
                <w:color w:val="000000"/>
                <w:kern w:val="0"/>
                <w:sz w:val="24"/>
                <w:lang w:val="en-US" w:eastAsia="zh-CN"/>
              </w:rPr>
              <w:t>1</w:t>
            </w:r>
            <w:r>
              <w:rPr>
                <w:rFonts w:hint="default" w:ascii="仿宋_GB2312" w:hAnsi="仿宋_GB2312" w:eastAsia="仿宋_GB2312" w:cs="仿宋_GB2312"/>
                <w:color w:val="000000"/>
                <w:kern w:val="0"/>
                <w:sz w:val="24"/>
                <w:lang w:val="en" w:eastAsia="zh-CN"/>
              </w:rPr>
              <w:t>0</w:t>
            </w:r>
            <w:r>
              <w:rPr>
                <w:rFonts w:hint="eastAsia" w:ascii="仿宋_GB2312" w:hAnsi="仿宋_GB2312" w:eastAsia="仿宋_GB2312" w:cs="仿宋_GB2312"/>
                <w:color w:val="000000"/>
                <w:kern w:val="0"/>
                <w:sz w:val="24"/>
              </w:rPr>
              <w:t>%</w:t>
            </w:r>
          </w:p>
        </w:tc>
      </w:tr>
    </w:tbl>
    <w:p>
      <w:pPr>
        <w:adjustRightInd w:val="0"/>
        <w:snapToGrid w:val="0"/>
        <w:spacing w:line="360" w:lineRule="auto"/>
        <w:ind w:firstLine="640" w:firstLineChars="200"/>
        <w:jc w:val="left"/>
        <w:rPr>
          <w:rFonts w:hint="eastAsia" w:ascii="黑体" w:hAnsi="黑体" w:eastAsia="黑体" w:cs="黑体"/>
          <w:b w:val="0"/>
          <w:bCs/>
          <w:sz w:val="32"/>
          <w:szCs w:val="32"/>
          <w:lang w:eastAsia="zh-CN"/>
        </w:rPr>
      </w:pPr>
    </w:p>
    <w:p>
      <w:pPr>
        <w:adjustRightInd w:val="0"/>
        <w:snapToGrid w:val="0"/>
        <w:spacing w:line="360" w:lineRule="auto"/>
        <w:ind w:firstLine="640" w:firstLineChars="200"/>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评分方法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储蓄国债业务开展情况、储蓄存款情况、业务渠道情况、风险防控能力</w:t>
      </w:r>
      <w:r>
        <w:rPr>
          <w:rFonts w:hint="eastAsia" w:ascii="仿宋_GB2312" w:hAnsi="仿宋_GB2312" w:eastAsia="仿宋_GB2312" w:cs="仿宋_GB2312"/>
          <w:sz w:val="32"/>
          <w:szCs w:val="32"/>
          <w:lang w:eastAsia="zh-CN"/>
        </w:rPr>
        <w:t>得分</w:t>
      </w:r>
      <w:r>
        <w:rPr>
          <w:rFonts w:hint="eastAsia" w:ascii="仿宋_GB2312" w:hAnsi="仿宋_GB2312" w:eastAsia="仿宋_GB2312" w:cs="仿宋_GB2312"/>
          <w:sz w:val="32"/>
          <w:szCs w:val="32"/>
        </w:rPr>
        <w:t>根据报名机构相关业务数据计算得出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资本经营状况、其他因素</w:t>
      </w:r>
      <w:r>
        <w:rPr>
          <w:rFonts w:hint="eastAsia" w:ascii="仿宋_GB2312" w:hAnsi="仿宋_GB2312" w:eastAsia="仿宋_GB2312" w:cs="仿宋_GB2312"/>
          <w:sz w:val="32"/>
          <w:szCs w:val="32"/>
          <w:lang w:val="en-US" w:eastAsia="zh-CN"/>
        </w:rPr>
        <w:t>得分</w:t>
      </w:r>
      <w:r>
        <w:rPr>
          <w:rFonts w:hint="eastAsia" w:ascii="仿宋_GB2312" w:hAnsi="仿宋_GB2312" w:eastAsia="仿宋_GB2312" w:cs="仿宋_GB2312"/>
          <w:sz w:val="32"/>
          <w:szCs w:val="32"/>
        </w:rPr>
        <w:t>由评审专家根据报名机构情况打分得出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各分项指标得分、总分计算过程及结果均保留2位小数（2位小数以后四舍五入，下同）。</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（一）前三部分评分指标计算方法。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储蓄国债业务开展情况、储蓄存款情况、业务渠道情况得分计算方法为：</w:t>
      </w:r>
    </w:p>
    <w:p>
      <w:pPr>
        <w:adjustRightInd w:val="0"/>
        <w:snapToGrid w:val="0"/>
        <w:spacing w:line="360" w:lineRule="auto"/>
        <w:ind w:firstLine="480"/>
        <w:rPr>
          <w:rFonts w:ascii="仿宋_GB2312" w:hAnsi="Calibri" w:eastAsia="仿宋_GB2312"/>
          <w:sz w:val="24"/>
        </w:rPr>
      </w:pPr>
      <w:r>
        <w:rPr>
          <w:rFonts w:hint="eastAsia" w:asciiTheme="minorEastAsia" w:hAnsiTheme="minorEastAsia" w:eastAsiaTheme="minorEastAsia" w:cstheme="minorEastAsia"/>
          <w:sz w:val="24"/>
        </w:rPr>
        <w:t>单项指标得分=</w:t>
      </w:r>
      <w:r>
        <w:rPr>
          <w:rFonts w:ascii="仿宋_GB2312" w:hAnsi="Calibri" w:eastAsia="仿宋_GB2312"/>
          <w:position w:val="-26"/>
          <w:sz w:val="24"/>
        </w:rPr>
        <w:object>
          <v:shape id="_x0000_i1025" o:spt="75" type="#_x0000_t75" style="height:33.2pt;width:197.2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仿宋_GB2312" w:hAnsi="Calibri" w:eastAsia="仿宋_GB2312"/>
          <w:sz w:val="24"/>
        </w:rPr>
        <w:t>×100</w:t>
      </w:r>
    </w:p>
    <w:p>
      <w:pPr>
        <w:adjustRightInd w:val="0"/>
        <w:snapToGrid w:val="0"/>
        <w:spacing w:line="360" w:lineRule="auto"/>
        <w:ind w:firstLine="600" w:firstLineChars="200"/>
        <w:rPr>
          <w:rFonts w:hint="eastAsia" w:ascii="仿宋_GB2312" w:hAnsi="Calibri" w:eastAsia="仿宋_GB2312"/>
          <w:sz w:val="30"/>
          <w:szCs w:val="30"/>
        </w:rPr>
      </w:pPr>
      <w:r>
        <w:rPr>
          <w:rFonts w:hint="eastAsia" w:ascii="仿宋_GB2312" w:hAnsi="Calibri" w:eastAsia="仿宋_GB2312"/>
          <w:sz w:val="30"/>
          <w:szCs w:val="30"/>
        </w:rPr>
        <w:t>其中，储蓄国债业务开展年限超过5年的，按5年计算。</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（二）风险防控能力评分指标计算方法。</w: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1.资本充足率：10.5%以上,100分；5.25%以下，0分；</w:t>
      </w:r>
    </w:p>
    <w:p>
      <w:pPr>
        <w:adjustRightInd w:val="0"/>
        <w:snapToGrid w:val="0"/>
        <w:spacing w:line="360" w:lineRule="auto"/>
        <w:rPr>
          <w:rFonts w:hint="eastAsia" w:ascii="仿宋_GB2312" w:hAnsi="仿宋_GB2312" w:eastAsia="仿宋_GB2312" w:cs="仿宋_GB2312"/>
          <w:position w:val="-30"/>
          <w:sz w:val="32"/>
          <w:szCs w:val="32"/>
        </w:rPr>
      </w:pPr>
      <w:r>
        <w:rPr>
          <w:rFonts w:hint="eastAsia" w:ascii="仿宋_GB2312" w:hAnsi="仿宋_GB2312" w:eastAsia="仿宋_GB2312" w:cs="仿宋_GB2312"/>
          <w:sz w:val="32"/>
          <w:szCs w:val="32"/>
        </w:rPr>
        <w:t xml:space="preserve">                  5.25%至10.5%，</w:t>
      </w:r>
      <w:r>
        <w:rPr>
          <w:rFonts w:hint="eastAsia" w:ascii="仿宋_GB2312" w:hAnsi="仿宋_GB2312" w:eastAsia="仿宋_GB2312" w:cs="仿宋_GB2312"/>
          <w:position w:val="-24"/>
          <w:sz w:val="32"/>
          <w:szCs w:val="32"/>
        </w:rPr>
        <w:object>
          <v:shape id="_x0000_i1026" o:spt="75" type="#_x0000_t75" style="height:32.55pt;width:155.25pt;" o:ole="t" filled="f" o:preferrelative="t" stroked="f" coordsize="21600,21600">
            <v:path/>
            <v:fill on="f" focussize="0,0"/>
            <v:stroke on="f" joinstyle="miter"/>
            <v:imagedata r:id="rId8" o:title=""/>
            <o:lock v:ext="edit" aspectratio="t"/>
            <w10:wrap type="none"/>
            <w10:anchorlock/>
          </v:shape>
          <o:OLEObject Type="Embed" ProgID="Equation.3" ShapeID="_x0000_i1026" DrawAspect="Content" ObjectID="_1468075726" r:id="rId7">
            <o:LockedField>false</o:LockedField>
          </o:OLEObject>
        </w:object>
      </w:r>
    </w:p>
    <w:p>
      <w:pPr>
        <w:adjustRightInd w:val="0"/>
        <w:snapToGrid w:val="0"/>
        <w:spacing w:line="360" w:lineRule="auto"/>
        <w:ind w:firstLine="672" w:firstLineChars="210"/>
        <w:rPr>
          <w:rFonts w:hint="eastAsia" w:ascii="仿宋_GB2312" w:hAnsi="仿宋_GB2312" w:eastAsia="仿宋_GB2312" w:cs="仿宋_GB2312"/>
          <w:position w:val="-30"/>
          <w:sz w:val="32"/>
          <w:szCs w:val="32"/>
        </w:rPr>
      </w:pPr>
      <w:r>
        <w:rPr>
          <w:rFonts w:hint="eastAsia" w:ascii="仿宋_GB2312" w:hAnsi="仿宋_GB2312" w:eastAsia="仿宋_GB2312" w:cs="仿宋_GB2312"/>
          <w:position w:val="-30"/>
          <w:sz w:val="32"/>
          <w:szCs w:val="32"/>
        </w:rPr>
        <w:t>2.杠杆率： 5.6%</w:t>
      </w:r>
      <w:r>
        <w:rPr>
          <w:rFonts w:hint="eastAsia" w:ascii="仿宋_GB2312" w:hAnsi="仿宋_GB2312" w:eastAsia="仿宋_GB2312" w:cs="仿宋_GB2312"/>
          <w:position w:val="-30"/>
          <w:sz w:val="32"/>
          <w:szCs w:val="32"/>
          <w:lang w:eastAsia="zh-CN"/>
        </w:rPr>
        <w:t>以上</w:t>
      </w:r>
      <w:r>
        <w:rPr>
          <w:rFonts w:hint="eastAsia" w:ascii="仿宋_GB2312" w:hAnsi="仿宋_GB2312" w:eastAsia="仿宋_GB2312" w:cs="仿宋_GB2312"/>
          <w:position w:val="-30"/>
          <w:sz w:val="32"/>
          <w:szCs w:val="32"/>
        </w:rPr>
        <w:t>，100分；2.4%</w:t>
      </w:r>
      <w:r>
        <w:rPr>
          <w:rFonts w:hint="eastAsia" w:ascii="仿宋_GB2312" w:hAnsi="仿宋_GB2312" w:eastAsia="仿宋_GB2312" w:cs="仿宋_GB2312"/>
          <w:position w:val="-30"/>
          <w:sz w:val="32"/>
          <w:szCs w:val="32"/>
          <w:lang w:eastAsia="zh-CN"/>
        </w:rPr>
        <w:t>以下</w:t>
      </w:r>
      <w:r>
        <w:rPr>
          <w:rFonts w:hint="eastAsia" w:ascii="仿宋_GB2312" w:hAnsi="仿宋_GB2312" w:eastAsia="仿宋_GB2312" w:cs="仿宋_GB2312"/>
          <w:position w:val="-30"/>
          <w:sz w:val="32"/>
          <w:szCs w:val="32"/>
        </w:rPr>
        <w:t>，0分；</w:t>
      </w:r>
    </w:p>
    <w:p>
      <w:pPr>
        <w:adjustRightInd w:val="0"/>
        <w:snapToGrid w:val="0"/>
        <w:spacing w:line="360" w:lineRule="auto"/>
        <w:ind w:firstLine="2432" w:firstLineChars="760"/>
        <w:rPr>
          <w:rFonts w:hint="eastAsia" w:ascii="仿宋_GB2312" w:hAnsi="仿宋_GB2312" w:eastAsia="仿宋_GB2312" w:cs="仿宋_GB2312"/>
          <w:position w:val="-30"/>
          <w:sz w:val="32"/>
          <w:szCs w:val="32"/>
        </w:rPr>
      </w:pPr>
      <w:r>
        <w:rPr>
          <w:rFonts w:hint="eastAsia" w:ascii="仿宋_GB2312" w:hAnsi="仿宋_GB2312" w:eastAsia="仿宋_GB2312" w:cs="仿宋_GB2312"/>
          <w:sz w:val="32"/>
          <w:szCs w:val="32"/>
        </w:rPr>
        <w:t>2.4%至5.6%，</w:t>
      </w:r>
      <w:r>
        <w:rPr>
          <w:rFonts w:hint="eastAsia" w:ascii="仿宋_GB2312" w:hAnsi="仿宋_GB2312" w:eastAsia="仿宋_GB2312" w:cs="仿宋_GB2312"/>
          <w:position w:val="-24"/>
          <w:sz w:val="32"/>
          <w:szCs w:val="32"/>
        </w:rPr>
        <w:object>
          <v:shape id="_x0000_i1027" o:spt="75" type="#_x0000_t75" style="height:32.55pt;width:125.2pt;" o:ole="t" filled="f" o:preferrelative="t" stroked="f" coordsize="21600,21600">
            <v:path/>
            <v:fill on="f" focussize="0,0"/>
            <v:stroke on="f" joinstyle="miter"/>
            <v:imagedata r:id="rId10" o:title=""/>
            <o:lock v:ext="edit" aspectratio="t"/>
            <w10:wrap type="none"/>
            <w10:anchorlock/>
          </v:shape>
          <o:OLEObject Type="Embed" ProgID="Equation.3" ShapeID="_x0000_i1027" DrawAspect="Content" ObjectID="_1468075727" r:id="rId9">
            <o:LockedField>false</o:LockedField>
          </o:OLEObject>
        </w:object>
      </w:r>
    </w:p>
    <w:p>
      <w:pPr>
        <w:adjustRightInd w:val="0"/>
        <w:snapToGrid w:val="0"/>
        <w:spacing w:line="360" w:lineRule="auto"/>
        <w:ind w:firstLine="691" w:firstLineChars="216"/>
        <w:rPr>
          <w:rFonts w:hint="eastAsia" w:ascii="仿宋_GB2312" w:hAnsi="仿宋_GB2312" w:eastAsia="仿宋_GB2312" w:cs="仿宋_GB2312"/>
          <w:position w:val="-30"/>
          <w:sz w:val="32"/>
          <w:szCs w:val="32"/>
        </w:rPr>
      </w:pPr>
      <w:r>
        <w:rPr>
          <w:rFonts w:hint="eastAsia" w:ascii="仿宋_GB2312" w:hAnsi="仿宋_GB2312" w:eastAsia="仿宋_GB2312" w:cs="仿宋_GB2312"/>
          <w:position w:val="-30"/>
          <w:sz w:val="32"/>
          <w:szCs w:val="32"/>
        </w:rPr>
        <w:t>3.不良贷款率：2%以下，100分；10%以上，0分；</w:t>
      </w:r>
    </w:p>
    <w:p>
      <w:pPr>
        <w:adjustRightInd w:val="0"/>
        <w:snapToGrid w:val="0"/>
        <w:spacing w:line="360" w:lineRule="auto"/>
        <w:ind w:firstLine="2931" w:firstLineChars="916"/>
        <w:rPr>
          <w:rFonts w:hint="eastAsia" w:ascii="仿宋_GB2312" w:hAnsi="仿宋_GB2312" w:eastAsia="仿宋_GB2312" w:cs="仿宋_GB2312"/>
          <w:position w:val="-30"/>
          <w:sz w:val="32"/>
          <w:szCs w:val="32"/>
        </w:rPr>
      </w:pPr>
      <w:r>
        <w:rPr>
          <w:rFonts w:hint="eastAsia" w:ascii="仿宋_GB2312" w:hAnsi="仿宋_GB2312" w:eastAsia="仿宋_GB2312" w:cs="仿宋_GB2312"/>
          <w:sz w:val="32"/>
          <w:szCs w:val="32"/>
        </w:rPr>
        <w:t>2%至10%，</w:t>
      </w:r>
      <w:r>
        <w:rPr>
          <w:rFonts w:hint="eastAsia" w:ascii="仿宋_GB2312" w:hAnsi="仿宋_GB2312" w:eastAsia="仿宋_GB2312" w:cs="仿宋_GB2312"/>
          <w:position w:val="-24"/>
          <w:sz w:val="32"/>
          <w:szCs w:val="32"/>
        </w:rPr>
        <w:object>
          <v:shape id="_x0000_i1028" o:spt="75" type="#_x0000_t75" style="height:32.55pt;width:142.75pt;" o:ole="t" filled="f" o:preferrelative="t" stroked="f" coordsize="21600,21600">
            <v:path/>
            <v:fill on="f" focussize="0,0"/>
            <v:stroke on="f" joinstyle="miter"/>
            <v:imagedata r:id="rId12" o:title=""/>
            <o:lock v:ext="edit" aspectratio="t"/>
            <w10:wrap type="none"/>
            <w10:anchorlock/>
          </v:shape>
          <o:OLEObject Type="Embed" ProgID="Equation.3" ShapeID="_x0000_i1028" DrawAspect="Content" ObjectID="_1468075728" r:id="rId11">
            <o:LockedField>false</o:LockedField>
          </o:OLEObject>
        </w:object>
      </w:r>
    </w:p>
    <w:p>
      <w:pPr>
        <w:adjustRightInd w:val="0"/>
        <w:snapToGrid w:val="0"/>
        <w:spacing w:line="360" w:lineRule="auto"/>
        <w:ind w:firstLine="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4.拨备覆盖率：300%以上，100分；100%以下，0分；</w:t>
      </w:r>
    </w:p>
    <w:p>
      <w:pPr>
        <w:adjustRightInd w:val="0"/>
        <w:snapToGrid w:val="0"/>
        <w:spacing w:line="360" w:lineRule="auto"/>
        <w:ind w:firstLine="3040" w:firstLineChars="9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100%至300%，</w:t>
      </w:r>
      <w:r>
        <w:rPr>
          <w:rFonts w:hint="eastAsia" w:ascii="仿宋_GB2312" w:hAnsi="仿宋_GB2312" w:eastAsia="仿宋_GB2312" w:cs="仿宋_GB2312"/>
          <w:position w:val="-24"/>
          <w:sz w:val="32"/>
          <w:szCs w:val="32"/>
        </w:rPr>
        <w:object>
          <v:shape id="_x0000_i1029" o:spt="75" type="#_x0000_t75" style="height:32.55pt;width:149pt;" o:ole="t" filled="f" o:preferrelative="t" stroked="f" coordsize="21600,21600">
            <v:path/>
            <v:fill on="f" focussize="0,0"/>
            <v:stroke on="f" joinstyle="miter"/>
            <v:imagedata r:id="rId14" o:title=""/>
            <o:lock v:ext="edit" aspectratio="t"/>
            <w10:wrap type="none"/>
            <w10:anchorlock/>
          </v:shape>
          <o:OLEObject Type="Embed" ProgID="Equation.3" ShapeID="_x0000_i1029" DrawAspect="Content" ObjectID="_1468075729" r:id="rId13">
            <o:LockedField>false</o:LockedField>
          </o:OLEObject>
        </w:object>
      </w:r>
    </w:p>
    <w:p>
      <w:pPr>
        <w:adjustRightInd w:val="0"/>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5.流动性覆盖率：108%</w:t>
      </w:r>
      <w:r>
        <w:rPr>
          <w:rFonts w:hint="eastAsia" w:ascii="仿宋_GB2312" w:hAnsi="仿宋_GB2312" w:eastAsia="仿宋_GB2312" w:cs="仿宋_GB2312"/>
          <w:sz w:val="32"/>
          <w:szCs w:val="32"/>
          <w:lang w:eastAsia="zh-CN"/>
        </w:rPr>
        <w:t>以上</w:t>
      </w:r>
      <w:r>
        <w:rPr>
          <w:rFonts w:hint="eastAsia" w:ascii="仿宋_GB2312" w:hAnsi="仿宋_GB2312" w:eastAsia="仿宋_GB2312" w:cs="仿宋_GB2312"/>
          <w:sz w:val="32"/>
          <w:szCs w:val="32"/>
        </w:rPr>
        <w:t>，100分；54%</w:t>
      </w:r>
      <w:r>
        <w:rPr>
          <w:rFonts w:hint="eastAsia" w:ascii="仿宋_GB2312" w:hAnsi="仿宋_GB2312" w:eastAsia="仿宋_GB2312" w:cs="仿宋_GB2312"/>
          <w:sz w:val="32"/>
          <w:szCs w:val="32"/>
          <w:lang w:eastAsia="zh-CN"/>
        </w:rPr>
        <w:t>以下</w:t>
      </w:r>
      <w:r>
        <w:rPr>
          <w:rFonts w:hint="eastAsia" w:ascii="仿宋_GB2312" w:hAnsi="仿宋_GB2312" w:eastAsia="仿宋_GB2312" w:cs="仿宋_GB2312"/>
          <w:sz w:val="32"/>
          <w:szCs w:val="32"/>
        </w:rPr>
        <w:t>，0分；</w:t>
      </w:r>
    </w:p>
    <w:p>
      <w:pPr>
        <w:adjustRightInd w:val="0"/>
        <w:snapToGrid w:val="0"/>
        <w:spacing w:line="360" w:lineRule="auto"/>
        <w:ind w:firstLine="3200" w:firstLineChars="1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54%至108%，</w:t>
      </w:r>
      <w:r>
        <w:rPr>
          <w:rFonts w:hint="eastAsia" w:ascii="仿宋_GB2312" w:hAnsi="仿宋_GB2312" w:eastAsia="仿宋_GB2312" w:cs="仿宋_GB2312"/>
          <w:position w:val="-24"/>
          <w:sz w:val="32"/>
          <w:szCs w:val="32"/>
        </w:rPr>
        <w:object>
          <v:shape id="_x0000_i1030" o:spt="75" type="#_x0000_t75" style="height:32.55pt;width:155.9pt;" o:ole="t" filled="f" o:preferrelative="t" stroked="f" coordsize="21600,21600">
            <v:path/>
            <v:fill on="f" focussize="0,0"/>
            <v:stroke on="f" joinstyle="miter"/>
            <v:imagedata r:id="rId16" o:title=""/>
            <o:lock v:ext="edit" aspectratio="t"/>
            <w10:wrap type="none"/>
            <w10:anchorlock/>
          </v:shape>
          <o:OLEObject Type="Embed" ProgID="Equation.3" ShapeID="_x0000_i1030" DrawAspect="Content" ObjectID="_1468075730" r:id="rId15">
            <o:LockedField>false</o:LockedField>
          </o:OLEObject>
        </w:objec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资本经营状况和其他因素</w:t>
      </w:r>
      <w:r>
        <w:rPr>
          <w:rFonts w:hint="eastAsia" w:ascii="楷体_GB2312" w:hAnsi="楷体_GB2312" w:eastAsia="楷体_GB2312" w:cs="楷体_GB2312"/>
          <w:sz w:val="32"/>
          <w:szCs w:val="32"/>
        </w:rPr>
        <w:t>评分指标评审方法。</w:t>
      </w:r>
    </w:p>
    <w:p>
      <w:pPr>
        <w:widowControl/>
        <w:adjustRightInd w:val="0"/>
        <w:snapToGri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资本经营状况由评审专家根据报名机构的总资产、净资产等进行评分，最高为10分；其他因素由评审专家根据报名机构</w:t>
      </w:r>
      <w:r>
        <w:rPr>
          <w:rFonts w:hint="eastAsia" w:ascii="仿宋_GB2312" w:hAnsi="仿宋_GB2312" w:eastAsia="仿宋_GB2312" w:cs="仿宋_GB2312"/>
          <w:sz w:val="32"/>
          <w:szCs w:val="32"/>
          <w:lang w:eastAsia="zh-CN"/>
        </w:rPr>
        <w:t>以及相关部门提供的材料</w:t>
      </w:r>
      <w:r>
        <w:rPr>
          <w:rFonts w:hint="eastAsia" w:ascii="仿宋_GB2312" w:hAnsi="仿宋_GB2312" w:eastAsia="仿宋_GB2312" w:cs="仿宋_GB2312"/>
          <w:sz w:val="32"/>
          <w:szCs w:val="32"/>
        </w:rPr>
        <w:t>等进行评分，最高为</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分。</w:t>
      </w:r>
    </w:p>
    <w:p>
      <w:pPr>
        <w:adjustRightInd w:val="0"/>
        <w:snapToGrid w:val="0"/>
        <w:spacing w:line="360" w:lineRule="auto"/>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kern w:val="2"/>
          <w:sz w:val="32"/>
          <w:szCs w:val="32"/>
        </w:rPr>
        <w:t>（</w:t>
      </w:r>
      <w:r>
        <w:rPr>
          <w:rFonts w:hint="eastAsia" w:ascii="楷体_GB2312" w:hAnsi="楷体_GB2312" w:eastAsia="楷体_GB2312" w:cs="楷体_GB2312"/>
          <w:kern w:val="2"/>
          <w:sz w:val="32"/>
          <w:szCs w:val="32"/>
          <w:lang w:eastAsia="zh-CN"/>
        </w:rPr>
        <w:t>四</w:t>
      </w:r>
      <w:r>
        <w:rPr>
          <w:rFonts w:hint="eastAsia" w:ascii="楷体_GB2312" w:hAnsi="楷体_GB2312" w:eastAsia="楷体_GB2312" w:cs="楷体_GB2312"/>
          <w:kern w:val="2"/>
          <w:sz w:val="32"/>
          <w:szCs w:val="32"/>
        </w:rPr>
        <w:t>）</w:t>
      </w:r>
      <w:r>
        <w:rPr>
          <w:rFonts w:hint="eastAsia" w:ascii="楷体_GB2312" w:hAnsi="楷体_GB2312" w:eastAsia="楷体_GB2312" w:cs="楷体_GB2312"/>
          <w:sz w:val="32"/>
          <w:szCs w:val="32"/>
        </w:rPr>
        <w:t>总分计算方法。</w:t>
      </w:r>
    </w:p>
    <w:p>
      <w:pPr>
        <w:widowControl/>
        <w:spacing w:line="360" w:lineRule="auto"/>
        <w:ind w:left="422" w:leftChars="201" w:firstLine="143"/>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单个专家对某个机构评分=</w:t>
      </w:r>
    </w:p>
    <w:p>
      <w:pPr>
        <w:widowControl/>
        <w:spacing w:line="360" w:lineRule="auto"/>
        <w:rPr>
          <w:rFonts w:ascii="仿宋_GB2312" w:hAnsi="Arial" w:eastAsia="仿宋_GB2312" w:cs="Arial"/>
          <w:kern w:val="0"/>
          <w:sz w:val="24"/>
        </w:rPr>
      </w:pPr>
      <w:r>
        <w:rPr>
          <w:rFonts w:hint="eastAsia" w:ascii="仿宋_GB2312" w:hAnsi="Arial" w:eastAsia="仿宋_GB2312" w:cs="Arial"/>
          <w:kern w:val="0"/>
          <w:sz w:val="24"/>
        </w:rPr>
        <w:t>∑</w:t>
      </w:r>
      <w:r>
        <w:rPr>
          <w:rFonts w:hint="eastAsia" w:ascii="仿宋_GB2312" w:hAnsi="Calibri" w:eastAsia="仿宋_GB2312"/>
          <w:sz w:val="24"/>
        </w:rPr>
        <w:t>前</w:t>
      </w:r>
      <w:r>
        <w:rPr>
          <w:rFonts w:hint="eastAsia" w:ascii="仿宋_GB2312" w:hAnsi="Calibri" w:eastAsia="仿宋_GB2312"/>
          <w:sz w:val="24"/>
          <w:lang w:eastAsia="zh-CN"/>
        </w:rPr>
        <w:t>四</w:t>
      </w:r>
      <w:r>
        <w:rPr>
          <w:rFonts w:hint="eastAsia" w:ascii="仿宋_GB2312" w:hAnsi="Calibri" w:eastAsia="仿宋_GB2312"/>
          <w:sz w:val="24"/>
        </w:rPr>
        <w:t>部分单项指标得分×本项指标权重</w:t>
      </w:r>
      <w:r>
        <w:rPr>
          <w:rFonts w:hint="eastAsia" w:ascii="仿宋" w:hAnsi="仿宋" w:eastAsia="仿宋" w:cs="仿宋"/>
          <w:kern w:val="0"/>
          <w:sz w:val="24"/>
          <w:lang w:val="en-US" w:eastAsia="zh-CN"/>
        </w:rPr>
        <w:t>+</w:t>
      </w:r>
      <w:r>
        <w:rPr>
          <w:rFonts w:hint="eastAsia" w:ascii="仿宋_GB2312" w:hAnsi="Arial" w:eastAsia="仿宋_GB2312" w:cs="Arial"/>
          <w:kern w:val="0"/>
          <w:sz w:val="24"/>
        </w:rPr>
        <w:t>资本经营状况得分+其他因素得分</w:t>
      </w:r>
    </w:p>
    <w:p>
      <w:pPr>
        <w:widowControl/>
        <w:adjustRightInd w:val="0"/>
        <w:snapToGrid w:val="0"/>
        <w:spacing w:line="360" w:lineRule="auto"/>
        <w:ind w:firstLine="640" w:firstLineChars="200"/>
        <w:rPr>
          <w:rFonts w:hint="eastAsia" w:ascii="仿宋_GB2312" w:hAnsi="Calibri" w:eastAsia="仿宋_GB2312"/>
          <w:sz w:val="32"/>
          <w:szCs w:val="32"/>
        </w:rPr>
      </w:pPr>
      <w:r>
        <w:rPr>
          <w:rFonts w:hint="eastAsia" w:ascii="仿宋_GB2312" w:hAnsi="Calibri" w:eastAsia="仿宋_GB2312"/>
          <w:sz w:val="32"/>
          <w:szCs w:val="32"/>
        </w:rPr>
        <w:t>报名机构最终得分为去掉专家评分中的一个最高值和一个最低值后的其他得分的算术平均值。</w:t>
      </w:r>
    </w:p>
    <w:p>
      <w:pPr>
        <w:widowControl/>
        <w:numPr>
          <w:ilvl w:val="0"/>
          <w:numId w:val="1"/>
        </w:numPr>
        <w:adjustRightInd w:val="0"/>
        <w:snapToGrid w:val="0"/>
        <w:spacing w:line="360" w:lineRule="auto"/>
        <w:ind w:firstLine="640" w:firstLineChars="200"/>
        <w:jc w:val="left"/>
        <w:rPr>
          <w:rFonts w:hint="eastAsia" w:ascii="黑体" w:hAnsi="黑体" w:eastAsia="黑体" w:cs="黑体"/>
          <w:bCs/>
          <w:sz w:val="32"/>
          <w:szCs w:val="32"/>
          <w:lang w:eastAsia="zh-CN"/>
        </w:rPr>
      </w:pPr>
      <w:r>
        <w:rPr>
          <w:rFonts w:hint="eastAsia" w:ascii="黑体" w:hAnsi="黑体" w:eastAsia="黑体" w:cs="黑体"/>
          <w:bCs/>
          <w:sz w:val="32"/>
          <w:szCs w:val="32"/>
          <w:lang w:eastAsia="zh-CN"/>
        </w:rPr>
        <w:t>评审数据口径</w:t>
      </w:r>
    </w:p>
    <w:p>
      <w:pPr>
        <w:keepNext w:val="0"/>
        <w:keepLines w:val="0"/>
        <w:widowControl/>
        <w:suppressLineNumbers w:val="0"/>
        <w:autoSpaceDE/>
        <w:autoSpaceDN/>
        <w:adjustRightInd w:val="0"/>
        <w:snapToGrid w:val="0"/>
        <w:spacing w:before="0" w:beforeAutospacing="0" w:after="0" w:afterAutospacing="0" w:line="360" w:lineRule="auto"/>
        <w:ind w:left="0" w:right="0" w:firstLine="640" w:firstLineChars="200"/>
        <w:jc w:val="both"/>
        <w:rPr>
          <w:rFonts w:hint="eastAsia" w:ascii="仿宋_GB2312" w:hAnsi="仿宋_GB2312" w:eastAsia="仿宋_GB2312" w:cs="仿宋_GB2312"/>
          <w:snapToGrid/>
          <w:spacing w:val="0"/>
          <w:kern w:val="2"/>
          <w:sz w:val="32"/>
          <w:szCs w:val="32"/>
          <w:lang w:val="en-US" w:eastAsia="zh-CN" w:bidi="ar"/>
        </w:rPr>
      </w:pPr>
      <w:r>
        <w:rPr>
          <w:rFonts w:hint="eastAsia" w:ascii="仿宋_GB2312" w:hAnsi="仿宋_GB2312" w:eastAsia="仿宋_GB2312" w:cs="仿宋_GB2312"/>
          <w:sz w:val="32"/>
          <w:szCs w:val="32"/>
          <w:lang w:eastAsia="zh-CN"/>
        </w:rPr>
        <w:t>报名成员</w:t>
      </w:r>
      <w:r>
        <w:rPr>
          <w:rFonts w:hint="eastAsia" w:ascii="仿宋_GB2312" w:hAnsi="仿宋_GB2312" w:eastAsia="仿宋_GB2312" w:cs="仿宋_GB2312"/>
          <w:sz w:val="32"/>
          <w:szCs w:val="32"/>
        </w:rPr>
        <w:t>储蓄国债业务开展情况</w:t>
      </w:r>
      <w:r>
        <w:rPr>
          <w:rFonts w:hint="eastAsia" w:ascii="仿宋_GB2312" w:hAnsi="仿宋_GB2312" w:eastAsia="仿宋_GB2312" w:cs="仿宋_GB2312"/>
          <w:sz w:val="32"/>
          <w:szCs w:val="32"/>
          <w:lang w:eastAsia="zh-CN"/>
        </w:rPr>
        <w:t>以财政部、中国人民银行数据为准；</w:t>
      </w:r>
      <w:r>
        <w:rPr>
          <w:rFonts w:hint="eastAsia" w:ascii="仿宋_GB2312" w:hAnsi="仿宋_GB2312" w:eastAsia="仿宋_GB2312" w:cs="仿宋_GB2312"/>
          <w:sz w:val="32"/>
          <w:szCs w:val="32"/>
        </w:rPr>
        <w:t>储蓄存款情况、业务渠道情况、风险防控能力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资本经营状况</w:t>
      </w:r>
      <w:r>
        <w:rPr>
          <w:rFonts w:hint="eastAsia" w:ascii="仿宋_GB2312" w:hAnsi="仿宋_GB2312" w:eastAsia="仿宋_GB2312" w:cs="仿宋_GB2312"/>
          <w:sz w:val="32"/>
          <w:szCs w:val="32"/>
          <w:lang w:eastAsia="zh-CN"/>
        </w:rPr>
        <w:t>相关数据以中国人民银行、金融监管总局数据为准；</w:t>
      </w:r>
      <w:r>
        <w:rPr>
          <w:rFonts w:hint="eastAsia" w:ascii="仿宋_GB2312" w:hAnsi="仿宋_GB2312" w:eastAsia="仿宋_GB2312" w:cs="仿宋_GB2312"/>
          <w:sz w:val="32"/>
          <w:szCs w:val="32"/>
        </w:rPr>
        <w:t>参与中央财政国库集中支付、非税收入收缴代理业务情况</w:t>
      </w:r>
      <w:r>
        <w:rPr>
          <w:rFonts w:hint="eastAsia" w:ascii="仿宋_GB2312" w:hAnsi="仿宋_GB2312" w:eastAsia="仿宋_GB2312" w:cs="仿宋_GB2312"/>
          <w:sz w:val="32"/>
          <w:szCs w:val="32"/>
          <w:lang w:eastAsia="zh-CN"/>
        </w:rPr>
        <w:t>以财政部相关业务履职情况为准；具体口径如下：</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632" w:firstLineChars="200"/>
        <w:jc w:val="both"/>
        <w:rPr>
          <w:rFonts w:hint="eastAsia" w:ascii="仿宋_GB2312" w:hAnsi="仿宋_GB2312" w:eastAsia="仿宋_GB2312" w:cs="仿宋_GB2312"/>
          <w:sz w:val="32"/>
          <w:szCs w:val="32"/>
          <w:lang w:val="en-US"/>
        </w:rPr>
      </w:pPr>
      <w:r>
        <w:rPr>
          <w:rFonts w:hint="eastAsia" w:ascii="仿宋_GB2312" w:hAnsi="仿宋_GB2312" w:eastAsia="仿宋_GB2312" w:cs="仿宋_GB2312"/>
          <w:snapToGrid/>
          <w:spacing w:val="-2"/>
          <w:kern w:val="2"/>
          <w:sz w:val="32"/>
          <w:szCs w:val="32"/>
          <w:lang w:val="en-US" w:eastAsia="zh-CN" w:bidi="ar"/>
        </w:rPr>
        <w:t>1.2021-2023年储蓄国债承销量、计划完成率为报名机构2021年1月1日至2023年11月30日数据。</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632" w:firstLineChars="200"/>
        <w:jc w:val="both"/>
        <w:rPr>
          <w:rFonts w:hint="eastAsia" w:ascii="仿宋_GB2312" w:hAnsi="仿宋_GB2312" w:eastAsia="仿宋_GB2312" w:cs="仿宋_GB2312"/>
          <w:color w:val="000000"/>
          <w:sz w:val="32"/>
          <w:szCs w:val="32"/>
          <w:lang w:val="en-US"/>
        </w:rPr>
      </w:pPr>
      <w:r>
        <w:rPr>
          <w:rFonts w:hint="eastAsia" w:ascii="仿宋_GB2312" w:hAnsi="仿宋_GB2312" w:eastAsia="仿宋_GB2312" w:cs="仿宋_GB2312"/>
          <w:snapToGrid/>
          <w:spacing w:val="-2"/>
          <w:kern w:val="2"/>
          <w:sz w:val="32"/>
          <w:szCs w:val="32"/>
          <w:lang w:val="en-US" w:eastAsia="zh-CN" w:bidi="ar"/>
        </w:rPr>
        <w:t>2.个人储蓄存款余额、个人存款占各项存款的比例</w:t>
      </w:r>
      <w:r>
        <w:rPr>
          <w:rFonts w:hint="eastAsia" w:ascii="仿宋_GB2312" w:hAnsi="仿宋_GB2312" w:eastAsia="仿宋_GB2312" w:cs="仿宋_GB2312"/>
          <w:snapToGrid/>
          <w:color w:val="auto"/>
          <w:spacing w:val="-2"/>
          <w:kern w:val="2"/>
          <w:sz w:val="32"/>
          <w:szCs w:val="32"/>
          <w:lang w:val="en-US" w:eastAsia="zh-CN" w:bidi="ar"/>
        </w:rPr>
        <w:t>、</w:t>
      </w:r>
      <w:r>
        <w:rPr>
          <w:rFonts w:hint="eastAsia" w:ascii="仿宋_GB2312" w:hAnsi="仿宋_GB2312" w:eastAsia="仿宋_GB2312" w:cs="仿宋_GB2312"/>
          <w:snapToGrid/>
          <w:spacing w:val="-2"/>
          <w:kern w:val="2"/>
          <w:sz w:val="32"/>
          <w:szCs w:val="32"/>
          <w:lang w:val="en-US" w:eastAsia="zh-CN" w:bidi="ar"/>
        </w:rPr>
        <w:t>营业网点数量、个人网上银行和手机银行账户数量为2023年</w:t>
      </w:r>
      <w:r>
        <w:rPr>
          <w:rFonts w:hint="default" w:ascii="仿宋_GB2312" w:hAnsi="仿宋_GB2312" w:eastAsia="仿宋_GB2312" w:cs="仿宋_GB2312"/>
          <w:snapToGrid/>
          <w:spacing w:val="-2"/>
          <w:kern w:val="2"/>
          <w:sz w:val="32"/>
          <w:szCs w:val="32"/>
          <w:lang w:val="en" w:eastAsia="zh-CN" w:bidi="ar"/>
        </w:rPr>
        <w:t>9</w:t>
      </w:r>
      <w:r>
        <w:rPr>
          <w:rFonts w:hint="eastAsia" w:ascii="仿宋_GB2312" w:hAnsi="仿宋_GB2312" w:eastAsia="仿宋_GB2312" w:cs="仿宋_GB2312"/>
          <w:snapToGrid/>
          <w:color w:val="000000"/>
          <w:spacing w:val="-2"/>
          <w:kern w:val="2"/>
          <w:sz w:val="32"/>
          <w:szCs w:val="32"/>
          <w:lang w:val="en-US" w:eastAsia="zh-CN" w:bidi="ar"/>
        </w:rPr>
        <w:t>月30日时点数据。</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632" w:firstLineChars="200"/>
        <w:jc w:val="both"/>
        <w:rPr>
          <w:rFonts w:hint="eastAsia" w:ascii="仿宋_GB2312" w:hAnsi="仿宋_GB2312" w:eastAsia="仿宋_GB2312" w:cs="仿宋_GB2312"/>
          <w:snapToGrid/>
          <w:spacing w:val="-2"/>
          <w:kern w:val="2"/>
          <w:sz w:val="32"/>
          <w:szCs w:val="32"/>
          <w:lang w:val="en-US" w:eastAsia="zh-CN" w:bidi="ar"/>
        </w:rPr>
      </w:pPr>
      <w:r>
        <w:rPr>
          <w:rFonts w:hint="eastAsia" w:ascii="仿宋_GB2312" w:hAnsi="仿宋_GB2312" w:eastAsia="仿宋_GB2312" w:cs="仿宋_GB2312"/>
          <w:snapToGrid/>
          <w:spacing w:val="-2"/>
          <w:kern w:val="2"/>
          <w:sz w:val="32"/>
          <w:szCs w:val="32"/>
          <w:lang w:val="en-US" w:eastAsia="zh-CN" w:bidi="ar"/>
        </w:rPr>
        <w:t>3.资本充足率、杠杆率、不良贷款率、拨备覆盖率、流动性覆盖率为2021年12月31日、2022年12月31日和2023年</w:t>
      </w:r>
      <w:r>
        <w:rPr>
          <w:rFonts w:hint="default" w:ascii="仿宋_GB2312" w:hAnsi="仿宋_GB2312" w:eastAsia="仿宋_GB2312" w:cs="仿宋_GB2312"/>
          <w:snapToGrid/>
          <w:spacing w:val="-2"/>
          <w:kern w:val="2"/>
          <w:sz w:val="32"/>
          <w:szCs w:val="32"/>
          <w:lang w:val="en" w:eastAsia="zh-CN" w:bidi="ar"/>
        </w:rPr>
        <w:t>9</w:t>
      </w:r>
      <w:r>
        <w:rPr>
          <w:rFonts w:hint="eastAsia" w:ascii="仿宋_GB2312" w:hAnsi="仿宋_GB2312" w:eastAsia="仿宋_GB2312" w:cs="仿宋_GB2312"/>
          <w:snapToGrid/>
          <w:spacing w:val="-2"/>
          <w:kern w:val="2"/>
          <w:sz w:val="32"/>
          <w:szCs w:val="32"/>
          <w:lang w:val="en-US" w:eastAsia="zh-CN" w:bidi="ar"/>
        </w:rPr>
        <w:t>月30日时点数据的算术平均值。</w:t>
      </w:r>
    </w:p>
    <w:p>
      <w:pPr>
        <w:widowControl w:val="0"/>
        <w:numPr>
          <w:ilvl w:val="-1"/>
          <w:numId w:val="0"/>
        </w:numPr>
        <w:autoSpaceDE w:val="0"/>
        <w:autoSpaceDN w:val="0"/>
        <w:adjustRightInd w:val="0"/>
        <w:snapToGrid w:val="0"/>
        <w:spacing w:line="360" w:lineRule="auto"/>
        <w:ind w:firstLine="632" w:firstLineChars="200"/>
        <w:jc w:val="both"/>
        <w:rPr>
          <w:rFonts w:hint="eastAsia" w:ascii="仿宋_GB2312" w:hAnsi="仿宋_GB2312" w:eastAsia="仿宋_GB2312" w:cs="仿宋_GB2312"/>
          <w:bCs/>
          <w:sz w:val="32"/>
          <w:szCs w:val="32"/>
          <w:lang w:eastAsia="zh-CN"/>
        </w:rPr>
      </w:pPr>
      <w:r>
        <w:rPr>
          <w:rFonts w:hint="eastAsia" w:ascii="仿宋_GB2312" w:hAnsi="仿宋_GB2312" w:eastAsia="仿宋_GB2312" w:cs="仿宋_GB2312"/>
          <w:snapToGrid/>
          <w:spacing w:val="-2"/>
          <w:kern w:val="2"/>
          <w:sz w:val="32"/>
          <w:szCs w:val="32"/>
          <w:lang w:val="en-US" w:eastAsia="zh-CN" w:bidi="ar"/>
        </w:rPr>
        <w:t>4.</w:t>
      </w:r>
      <w:r>
        <w:rPr>
          <w:rFonts w:hint="eastAsia" w:ascii="仿宋_GB2312" w:hAnsi="仿宋_GB2312" w:eastAsia="仿宋_GB2312" w:cs="仿宋_GB2312"/>
          <w:spacing w:val="-2"/>
          <w:sz w:val="32"/>
          <w:szCs w:val="32"/>
          <w:lang w:eastAsia="zh-CN" w:bidi="ar"/>
        </w:rPr>
        <w:t>总资产、净资产数据口径为</w:t>
      </w:r>
      <w:r>
        <w:rPr>
          <w:rFonts w:hint="eastAsia" w:ascii="仿宋_GB2312" w:hAnsi="仿宋_GB2312" w:eastAsia="仿宋_GB2312" w:cs="仿宋_GB2312"/>
          <w:spacing w:val="-2"/>
          <w:sz w:val="32"/>
          <w:szCs w:val="32"/>
          <w:lang w:val="en-US" w:eastAsia="zh-CN" w:bidi="ar"/>
        </w:rPr>
        <w:t>2021年12月31日、2022年12月31日、2023年6月30日时点数据；利润总额、总资产报酬率、净资产报酬率，数据口径为2021年、2022年、2023年1月1日-6月30日时段数据；注册资本为2023年6月30日时点数据。</w:t>
      </w:r>
    </w:p>
    <w:p>
      <w:pPr>
        <w:adjustRightInd w:val="0"/>
        <w:snapToGrid w:val="0"/>
        <w:spacing w:line="360" w:lineRule="auto"/>
        <w:ind w:firstLine="640" w:firstLineChars="200"/>
        <w:rPr>
          <w:rFonts w:hint="eastAsia" w:ascii="仿宋_GB2312" w:hAnsi="仿宋_GB2312" w:eastAsia="仿宋_GB2312" w:cs="仿宋_GB2312"/>
          <w:sz w:val="32"/>
          <w:szCs w:val="32"/>
        </w:rPr>
      </w:pPr>
    </w:p>
    <w:p>
      <w:pPr>
        <w:adjustRightInd w:val="0"/>
        <w:snapToGrid w:val="0"/>
        <w:spacing w:line="360" w:lineRule="auto"/>
        <w:ind w:firstLine="640" w:firstLineChars="200"/>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000386"/>
      <w:docPartObj>
        <w:docPartGallery w:val="autotext"/>
      </w:docPartObj>
    </w:sdtPr>
    <w:sdtContent>
      <w:p>
        <w:pPr>
          <w:pStyle w:val="6"/>
          <w:jc w:val="center"/>
        </w:pPr>
        <w:r>
          <w:fldChar w:fldCharType="begin"/>
        </w:r>
        <w:r>
          <w:instrText xml:space="preserve">PAGE   \* MERGEFORMAT</w:instrText>
        </w:r>
        <w:r>
          <w:fldChar w:fldCharType="separate"/>
        </w:r>
        <w:r>
          <w:rPr>
            <w:lang w:val="zh-CN"/>
          </w:rPr>
          <w:t>3</w:t>
        </w:r>
        <w: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FE1D21"/>
    <w:multiLevelType w:val="singleLevel"/>
    <w:tmpl w:val="DFFE1D2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C19"/>
    <w:rsid w:val="000650BA"/>
    <w:rsid w:val="00081660"/>
    <w:rsid w:val="0008613F"/>
    <w:rsid w:val="000E11E1"/>
    <w:rsid w:val="00113503"/>
    <w:rsid w:val="001306E0"/>
    <w:rsid w:val="0013632A"/>
    <w:rsid w:val="001C2AFB"/>
    <w:rsid w:val="001C3333"/>
    <w:rsid w:val="001E2810"/>
    <w:rsid w:val="001E4BE9"/>
    <w:rsid w:val="001E631B"/>
    <w:rsid w:val="001F229C"/>
    <w:rsid w:val="00206D4B"/>
    <w:rsid w:val="00213EB2"/>
    <w:rsid w:val="0025524F"/>
    <w:rsid w:val="00295963"/>
    <w:rsid w:val="003169C4"/>
    <w:rsid w:val="00321A60"/>
    <w:rsid w:val="00336D48"/>
    <w:rsid w:val="00340442"/>
    <w:rsid w:val="00350BD9"/>
    <w:rsid w:val="003A435D"/>
    <w:rsid w:val="003B5E83"/>
    <w:rsid w:val="004176B4"/>
    <w:rsid w:val="00422642"/>
    <w:rsid w:val="0042394E"/>
    <w:rsid w:val="00462C61"/>
    <w:rsid w:val="00467835"/>
    <w:rsid w:val="004A427D"/>
    <w:rsid w:val="004D141E"/>
    <w:rsid w:val="00502B01"/>
    <w:rsid w:val="00567079"/>
    <w:rsid w:val="00573B41"/>
    <w:rsid w:val="005A00DC"/>
    <w:rsid w:val="005B1CA3"/>
    <w:rsid w:val="005E2181"/>
    <w:rsid w:val="005E6533"/>
    <w:rsid w:val="006014DD"/>
    <w:rsid w:val="006020E7"/>
    <w:rsid w:val="00614FE7"/>
    <w:rsid w:val="00624E88"/>
    <w:rsid w:val="00654C19"/>
    <w:rsid w:val="00683B24"/>
    <w:rsid w:val="006B438E"/>
    <w:rsid w:val="006C775C"/>
    <w:rsid w:val="00725633"/>
    <w:rsid w:val="00751326"/>
    <w:rsid w:val="00793DA6"/>
    <w:rsid w:val="007D3366"/>
    <w:rsid w:val="008F34A1"/>
    <w:rsid w:val="00904969"/>
    <w:rsid w:val="009317E2"/>
    <w:rsid w:val="00945255"/>
    <w:rsid w:val="0099400A"/>
    <w:rsid w:val="009A1C3C"/>
    <w:rsid w:val="00A055A8"/>
    <w:rsid w:val="00A10FE4"/>
    <w:rsid w:val="00A56C5F"/>
    <w:rsid w:val="00A80827"/>
    <w:rsid w:val="00A97211"/>
    <w:rsid w:val="00AF4A9B"/>
    <w:rsid w:val="00B305E9"/>
    <w:rsid w:val="00B710D2"/>
    <w:rsid w:val="00BE0B73"/>
    <w:rsid w:val="00BF0618"/>
    <w:rsid w:val="00C23F54"/>
    <w:rsid w:val="00C43518"/>
    <w:rsid w:val="00C75D05"/>
    <w:rsid w:val="00CE3206"/>
    <w:rsid w:val="00CF7496"/>
    <w:rsid w:val="00D01267"/>
    <w:rsid w:val="00D71EB3"/>
    <w:rsid w:val="00D81245"/>
    <w:rsid w:val="00D8169B"/>
    <w:rsid w:val="00D85CA7"/>
    <w:rsid w:val="00E36927"/>
    <w:rsid w:val="00E36D98"/>
    <w:rsid w:val="00E64B5E"/>
    <w:rsid w:val="00E76567"/>
    <w:rsid w:val="00E777EC"/>
    <w:rsid w:val="00FA446C"/>
    <w:rsid w:val="00FB28E2"/>
    <w:rsid w:val="00FC4617"/>
    <w:rsid w:val="056EF39C"/>
    <w:rsid w:val="275B9D72"/>
    <w:rsid w:val="2BAE86A4"/>
    <w:rsid w:val="35F1744E"/>
    <w:rsid w:val="39FEA190"/>
    <w:rsid w:val="3E6FED2B"/>
    <w:rsid w:val="3FFFF94F"/>
    <w:rsid w:val="43BF0330"/>
    <w:rsid w:val="4EF7E716"/>
    <w:rsid w:val="4FEAC8B2"/>
    <w:rsid w:val="4FF74FC2"/>
    <w:rsid w:val="533069F0"/>
    <w:rsid w:val="55FE7E83"/>
    <w:rsid w:val="5AFF95DE"/>
    <w:rsid w:val="5BB7F8E3"/>
    <w:rsid w:val="5BEA6993"/>
    <w:rsid w:val="5DB6924A"/>
    <w:rsid w:val="5F7E9D68"/>
    <w:rsid w:val="5F7F51D6"/>
    <w:rsid w:val="5FF90255"/>
    <w:rsid w:val="5FFBBAB1"/>
    <w:rsid w:val="637358DA"/>
    <w:rsid w:val="676FD6E3"/>
    <w:rsid w:val="67FB4EA3"/>
    <w:rsid w:val="6D9E5CF2"/>
    <w:rsid w:val="6DFF9675"/>
    <w:rsid w:val="6F2FA6F1"/>
    <w:rsid w:val="6F5C831C"/>
    <w:rsid w:val="6FA330C0"/>
    <w:rsid w:val="6FDF106C"/>
    <w:rsid w:val="6FED0421"/>
    <w:rsid w:val="773BF117"/>
    <w:rsid w:val="777F1CDB"/>
    <w:rsid w:val="779FBE2C"/>
    <w:rsid w:val="77ED9558"/>
    <w:rsid w:val="78FFBD6E"/>
    <w:rsid w:val="7A5FE8ED"/>
    <w:rsid w:val="7BEFE1B2"/>
    <w:rsid w:val="7CF22281"/>
    <w:rsid w:val="7E1DD53F"/>
    <w:rsid w:val="7ED82F28"/>
    <w:rsid w:val="7F7A2AFF"/>
    <w:rsid w:val="7FE665A7"/>
    <w:rsid w:val="8FFE65C0"/>
    <w:rsid w:val="A5DFD06A"/>
    <w:rsid w:val="ABFD6F0F"/>
    <w:rsid w:val="ABFF1649"/>
    <w:rsid w:val="AF8F8CBE"/>
    <w:rsid w:val="B3B5AEA2"/>
    <w:rsid w:val="BA436BFC"/>
    <w:rsid w:val="BEEFDABD"/>
    <w:rsid w:val="BF7E3DCB"/>
    <w:rsid w:val="BFFBA974"/>
    <w:rsid w:val="CF453C64"/>
    <w:rsid w:val="D6DD42EA"/>
    <w:rsid w:val="DBFD1290"/>
    <w:rsid w:val="DFBEF4E8"/>
    <w:rsid w:val="DFFD7F06"/>
    <w:rsid w:val="E790652E"/>
    <w:rsid w:val="ED9F7016"/>
    <w:rsid w:val="EEDEA94A"/>
    <w:rsid w:val="EF9BD93E"/>
    <w:rsid w:val="EFDE5559"/>
    <w:rsid w:val="F1FE21D6"/>
    <w:rsid w:val="F5FF6994"/>
    <w:rsid w:val="F6AF721B"/>
    <w:rsid w:val="F6E9BF7C"/>
    <w:rsid w:val="F796D816"/>
    <w:rsid w:val="F7D71680"/>
    <w:rsid w:val="F7E984D5"/>
    <w:rsid w:val="F8EC1F74"/>
    <w:rsid w:val="FAB9CDBD"/>
    <w:rsid w:val="FABC647D"/>
    <w:rsid w:val="FB6DDAB7"/>
    <w:rsid w:val="FB7F6882"/>
    <w:rsid w:val="FBDF188B"/>
    <w:rsid w:val="FBFE715D"/>
    <w:rsid w:val="FDFCF4F3"/>
    <w:rsid w:val="FEDB94CB"/>
    <w:rsid w:val="FF3F682F"/>
    <w:rsid w:val="FF736CE6"/>
    <w:rsid w:val="FF7F84EC"/>
    <w:rsid w:val="FFCFED50"/>
    <w:rsid w:val="FFFE290C"/>
    <w:rsid w:val="FFFF1B7B"/>
    <w:rsid w:val="FFFF8A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link w:val="18"/>
    <w:qFormat/>
    <w:uiPriority w:val="0"/>
    <w:pPr>
      <w:autoSpaceDE w:val="0"/>
      <w:autoSpaceDN w:val="0"/>
      <w:adjustRightInd w:val="0"/>
      <w:snapToGrid w:val="0"/>
      <w:spacing w:line="588" w:lineRule="atLeast"/>
    </w:pPr>
    <w:rPr>
      <w:rFonts w:ascii="宋体" w:hAnsi="宋体" w:eastAsia="仿宋_GB2312"/>
      <w:spacing w:val="-2"/>
      <w:sz w:val="32"/>
    </w:rPr>
  </w:style>
  <w:style w:type="paragraph" w:styleId="4">
    <w:name w:val="endnote text"/>
    <w:basedOn w:val="1"/>
    <w:link w:val="17"/>
    <w:semiHidden/>
    <w:unhideWhenUsed/>
    <w:qFormat/>
    <w:uiPriority w:val="99"/>
    <w:pPr>
      <w:snapToGrid w:val="0"/>
      <w:jc w:val="left"/>
    </w:pPr>
  </w:style>
  <w:style w:type="paragraph" w:styleId="5">
    <w:name w:val="Balloon Text"/>
    <w:basedOn w:val="1"/>
    <w:link w:val="16"/>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4"/>
    <w:semiHidden/>
    <w:unhideWhenUsed/>
    <w:qFormat/>
    <w:uiPriority w:val="99"/>
    <w:pPr>
      <w:snapToGrid w:val="0"/>
      <w:jc w:val="left"/>
    </w:pPr>
    <w:rPr>
      <w:rFonts w:ascii="Calibri" w:hAnsi="Calibri"/>
      <w:sz w:val="18"/>
      <w:szCs w:val="18"/>
    </w:rPr>
  </w:style>
  <w:style w:type="character" w:styleId="11">
    <w:name w:val="endnote reference"/>
    <w:basedOn w:val="10"/>
    <w:semiHidden/>
    <w:unhideWhenUsed/>
    <w:qFormat/>
    <w:uiPriority w:val="99"/>
    <w:rPr>
      <w:vertAlign w:val="superscript"/>
    </w:rPr>
  </w:style>
  <w:style w:type="character" w:styleId="12">
    <w:name w:val="footnote reference"/>
    <w:basedOn w:val="10"/>
    <w:semiHidden/>
    <w:unhideWhenUsed/>
    <w:qFormat/>
    <w:uiPriority w:val="99"/>
    <w:rPr>
      <w:vertAlign w:val="superscript"/>
    </w:rPr>
  </w:style>
  <w:style w:type="character" w:customStyle="1" w:styleId="13">
    <w:name w:val="页脚 Char"/>
    <w:basedOn w:val="10"/>
    <w:link w:val="6"/>
    <w:qFormat/>
    <w:uiPriority w:val="99"/>
    <w:rPr>
      <w:rFonts w:ascii="Times New Roman" w:hAnsi="Times New Roman" w:eastAsia="宋体" w:cs="Times New Roman"/>
      <w:sz w:val="18"/>
      <w:szCs w:val="18"/>
    </w:rPr>
  </w:style>
  <w:style w:type="character" w:customStyle="1" w:styleId="14">
    <w:name w:val="脚注文本 Char"/>
    <w:basedOn w:val="10"/>
    <w:link w:val="8"/>
    <w:semiHidden/>
    <w:qFormat/>
    <w:uiPriority w:val="99"/>
    <w:rPr>
      <w:rFonts w:ascii="Calibri" w:hAnsi="Calibri" w:eastAsia="宋体" w:cs="Times New Roman"/>
      <w:sz w:val="18"/>
      <w:szCs w:val="18"/>
    </w:rPr>
  </w:style>
  <w:style w:type="character" w:customStyle="1" w:styleId="15">
    <w:name w:val="页眉 Char"/>
    <w:basedOn w:val="10"/>
    <w:link w:val="7"/>
    <w:qFormat/>
    <w:uiPriority w:val="99"/>
    <w:rPr>
      <w:rFonts w:ascii="Times New Roman" w:hAnsi="Times New Roman" w:eastAsia="宋体" w:cs="Times New Roman"/>
      <w:sz w:val="18"/>
      <w:szCs w:val="18"/>
    </w:rPr>
  </w:style>
  <w:style w:type="character" w:customStyle="1" w:styleId="16">
    <w:name w:val="批注框文本 Char"/>
    <w:basedOn w:val="10"/>
    <w:link w:val="5"/>
    <w:semiHidden/>
    <w:qFormat/>
    <w:uiPriority w:val="99"/>
    <w:rPr>
      <w:rFonts w:ascii="Times New Roman" w:hAnsi="Times New Roman" w:eastAsia="宋体" w:cs="Times New Roman"/>
      <w:sz w:val="18"/>
      <w:szCs w:val="18"/>
    </w:rPr>
  </w:style>
  <w:style w:type="character" w:customStyle="1" w:styleId="17">
    <w:name w:val="尾注文本 Char"/>
    <w:basedOn w:val="10"/>
    <w:link w:val="4"/>
    <w:semiHidden/>
    <w:qFormat/>
    <w:uiPriority w:val="99"/>
    <w:rPr>
      <w:rFonts w:ascii="Times New Roman" w:hAnsi="Times New Roman" w:eastAsia="宋体" w:cs="Times New Roman"/>
      <w:szCs w:val="24"/>
    </w:rPr>
  </w:style>
  <w:style w:type="character" w:customStyle="1" w:styleId="18">
    <w:name w:val="正文文本 Char"/>
    <w:basedOn w:val="10"/>
    <w:link w:val="3"/>
    <w:qFormat/>
    <w:uiPriority w:val="0"/>
    <w:rPr>
      <w:rFonts w:ascii="宋体" w:hAnsi="宋体" w:eastAsia="仿宋_GB2312" w:cs="Times New Roman"/>
      <w:spacing w:val="-2"/>
      <w:sz w:val="32"/>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wmf"/><Relationship Id="rId7" Type="http://schemas.openxmlformats.org/officeDocument/2006/relationships/oleObject" Target="embeddings/oleObject2.bin"/><Relationship Id="rId6" Type="http://schemas.openxmlformats.org/officeDocument/2006/relationships/image" Target="media/image1.w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6.wmf"/><Relationship Id="rId15" Type="http://schemas.openxmlformats.org/officeDocument/2006/relationships/oleObject" Target="embeddings/oleObject6.bin"/><Relationship Id="rId14" Type="http://schemas.openxmlformats.org/officeDocument/2006/relationships/image" Target="media/image5.wmf"/><Relationship Id="rId13" Type="http://schemas.openxmlformats.org/officeDocument/2006/relationships/oleObject" Target="embeddings/oleObject5.bin"/><Relationship Id="rId12" Type="http://schemas.openxmlformats.org/officeDocument/2006/relationships/image" Target="media/image4.wmf"/><Relationship Id="rId11" Type="http://schemas.openxmlformats.org/officeDocument/2006/relationships/oleObject" Target="embeddings/oleObject4.bin"/><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933</Words>
  <Characters>5323</Characters>
  <Lines>44</Lines>
  <Paragraphs>12</Paragraphs>
  <TotalTime>14</TotalTime>
  <ScaleCrop>false</ScaleCrop>
  <LinksUpToDate>false</LinksUpToDate>
  <CharactersWithSpaces>6244</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2020-10-25T14:07:00Z</dcterms:created>
  <dc:creator>叶辰宸</dc:creator>
  <cp:lastModifiedBy>sunjx</cp:lastModifiedBy>
  <cp:lastPrinted>2023-11-09T22:26:00Z</cp:lastPrinted>
  <dcterms:modified xsi:type="dcterms:W3CDTF">2023-11-10T11:22:18Z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