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仿宋_GB2312"/>
          <w:b/>
          <w:color w:val="000000"/>
          <w:szCs w:val="21"/>
        </w:rPr>
      </w:pPr>
      <w:r>
        <w:rPr>
          <w:rFonts w:ascii="Times New Roman" w:hAnsi="Times New Roman" w:eastAsia="仿宋_GB2312"/>
          <w:b/>
          <w:color w:val="000000"/>
          <w:szCs w:val="21"/>
        </w:rPr>
        <w:t>附件1</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sz w:val="28"/>
          <w:szCs w:val="28"/>
        </w:rPr>
      </w:pPr>
      <w:r>
        <w:rPr>
          <w:rFonts w:hint="eastAsia" w:ascii="Times New Roman" w:hAnsi="Times New Roman" w:eastAsia="仿宋_GB2312"/>
          <w:b/>
          <w:sz w:val="28"/>
          <w:szCs w:val="28"/>
        </w:rPr>
        <w:t>2022年新沂经济开发区建设发展有限公司公司债券</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sz w:val="28"/>
          <w:szCs w:val="28"/>
        </w:rPr>
      </w:pPr>
      <w:r>
        <w:rPr>
          <w:rFonts w:hint="eastAsia" w:ascii="Times New Roman" w:hAnsi="Times New Roman" w:eastAsia="仿宋_GB2312"/>
          <w:b/>
          <w:sz w:val="28"/>
          <w:szCs w:val="28"/>
        </w:rPr>
        <w:t>申购意向函</w:t>
      </w:r>
    </w:p>
    <w:tbl>
      <w:tblPr>
        <w:tblStyle w:val="9"/>
        <w:tblW w:w="5018"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93"/>
        <w:gridCol w:w="169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lang w:eastAsia="en-US"/>
              </w:rPr>
            </w:pPr>
            <w:r>
              <w:rPr>
                <w:rFonts w:hint="eastAsia" w:ascii="Times New Roman" w:hAnsi="Times New Roman" w:eastAsia="仿宋_GB2312"/>
                <w:sz w:val="18"/>
                <w:szCs w:val="18"/>
              </w:rPr>
              <w:t>机构名称</w:t>
            </w:r>
          </w:p>
        </w:tc>
        <w:tc>
          <w:tcPr>
            <w:tcW w:w="571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营业执照注册号</w:t>
            </w:r>
          </w:p>
        </w:tc>
        <w:tc>
          <w:tcPr>
            <w:tcW w:w="1993"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c>
          <w:tcPr>
            <w:tcW w:w="1697"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法定代表人</w:t>
            </w:r>
          </w:p>
        </w:tc>
        <w:tc>
          <w:tcPr>
            <w:tcW w:w="2028"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经办人姓名</w:t>
            </w:r>
          </w:p>
        </w:tc>
        <w:tc>
          <w:tcPr>
            <w:tcW w:w="1993"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c>
          <w:tcPr>
            <w:tcW w:w="1697"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传真号码</w:t>
            </w:r>
          </w:p>
        </w:tc>
        <w:tc>
          <w:tcPr>
            <w:tcW w:w="2028"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办公电话</w:t>
            </w:r>
          </w:p>
        </w:tc>
        <w:tc>
          <w:tcPr>
            <w:tcW w:w="1993"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c>
          <w:tcPr>
            <w:tcW w:w="1697"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移动电话</w:t>
            </w:r>
          </w:p>
        </w:tc>
        <w:tc>
          <w:tcPr>
            <w:tcW w:w="2028"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办公地址</w:t>
            </w:r>
          </w:p>
        </w:tc>
        <w:tc>
          <w:tcPr>
            <w:tcW w:w="571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hint="eastAsia"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vAlign w:val="top"/>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邮箱</w:t>
            </w:r>
          </w:p>
        </w:tc>
        <w:tc>
          <w:tcPr>
            <w:tcW w:w="1993" w:type="dxa"/>
            <w:tcBorders>
              <w:top w:val="single" w:color="auto" w:sz="4" w:space="0"/>
              <w:left w:val="single" w:color="auto" w:sz="4" w:space="0"/>
              <w:bottom w:val="single" w:color="auto" w:sz="4" w:space="0"/>
              <w:right w:val="single" w:color="auto" w:sz="4" w:space="0"/>
            </w:tcBorders>
            <w:vAlign w:val="top"/>
          </w:tcPr>
          <w:p>
            <w:pPr>
              <w:spacing w:line="0" w:lineRule="atLeast"/>
              <w:ind w:right="140"/>
              <w:rPr>
                <w:rFonts w:hint="eastAsia" w:ascii="Times New Roman" w:hAnsi="Times New Roman" w:eastAsia="仿宋_GB2312"/>
                <w:sz w:val="18"/>
                <w:szCs w:val="18"/>
              </w:rPr>
            </w:pPr>
          </w:p>
        </w:tc>
        <w:tc>
          <w:tcPr>
            <w:tcW w:w="1697" w:type="dxa"/>
            <w:tcBorders>
              <w:top w:val="single" w:color="auto" w:sz="4" w:space="0"/>
              <w:left w:val="single" w:color="auto" w:sz="4" w:space="0"/>
              <w:bottom w:val="single" w:color="auto" w:sz="4" w:space="0"/>
              <w:right w:val="single" w:color="auto" w:sz="4" w:space="0"/>
            </w:tcBorders>
            <w:vAlign w:val="top"/>
          </w:tcPr>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组织机构代码</w:t>
            </w:r>
          </w:p>
        </w:tc>
        <w:tc>
          <w:tcPr>
            <w:tcW w:w="2028" w:type="dxa"/>
            <w:tcBorders>
              <w:top w:val="single" w:color="auto" w:sz="4" w:space="0"/>
              <w:left w:val="single" w:color="auto" w:sz="4" w:space="0"/>
              <w:bottom w:val="single" w:color="auto" w:sz="4" w:space="0"/>
              <w:right w:val="single" w:color="auto" w:sz="4" w:space="0"/>
            </w:tcBorders>
            <w:vAlign w:val="top"/>
          </w:tcPr>
          <w:p>
            <w:pPr>
              <w:spacing w:line="0" w:lineRule="atLeast"/>
              <w:ind w:right="140"/>
              <w:rPr>
                <w:rFonts w:hint="eastAsia"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vMerge w:val="restar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r>
              <w:rPr>
                <w:rFonts w:hint="eastAsia" w:ascii="Times New Roman" w:hAnsi="Times New Roman" w:eastAsia="仿宋_GB2312"/>
                <w:sz w:val="18"/>
                <w:szCs w:val="18"/>
              </w:rPr>
              <w:t>中央国债登记公司的一级托管账户详情</w:t>
            </w:r>
          </w:p>
        </w:tc>
        <w:tc>
          <w:tcPr>
            <w:tcW w:w="57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Times New Roman" w:hAnsi="Times New Roman" w:eastAsia="仿宋_GB2312"/>
                <w:sz w:val="18"/>
                <w:szCs w:val="18"/>
              </w:rPr>
            </w:pPr>
            <w:r>
              <w:rPr>
                <w:rFonts w:hint="eastAsia" w:ascii="Times New Roman" w:hAnsi="Times New Roman" w:eastAsia="仿宋_GB2312"/>
                <w:sz w:val="18"/>
                <w:szCs w:val="18"/>
              </w:rPr>
              <w:t>户名：</w:t>
            </w:r>
            <w:r>
              <w:rPr>
                <w:rFonts w:ascii="Times New Roman" w:hAnsi="Times New Roman" w:eastAsia="仿宋_GB2312"/>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sz w:val="18"/>
                <w:szCs w:val="18"/>
              </w:rPr>
            </w:pPr>
          </w:p>
        </w:tc>
        <w:tc>
          <w:tcPr>
            <w:tcW w:w="57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Times New Roman" w:hAnsi="Times New Roman" w:eastAsia="仿宋_GB2312"/>
                <w:sz w:val="18"/>
                <w:szCs w:val="18"/>
              </w:rPr>
            </w:pPr>
            <w:r>
              <w:rPr>
                <w:rFonts w:hint="eastAsia" w:ascii="Times New Roman" w:hAnsi="Times New Roman" w:eastAsia="仿宋_GB2312"/>
                <w:sz w:val="18"/>
                <w:szCs w:val="1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vMerge w:val="restar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r>
              <w:rPr>
                <w:rFonts w:hint="eastAsia" w:ascii="Times New Roman" w:hAnsi="Times New Roman" w:eastAsia="仿宋_GB2312"/>
                <w:sz w:val="18"/>
                <w:szCs w:val="18"/>
              </w:rPr>
              <w:t>中国证券登记公司上海</w:t>
            </w:r>
          </w:p>
          <w:p>
            <w:pPr>
              <w:spacing w:line="0" w:lineRule="atLeast"/>
              <w:ind w:right="140"/>
              <w:rPr>
                <w:rFonts w:ascii="Times New Roman" w:hAnsi="Times New Roman" w:eastAsia="仿宋_GB2312"/>
                <w:sz w:val="18"/>
                <w:szCs w:val="18"/>
              </w:rPr>
            </w:pPr>
            <w:r>
              <w:rPr>
                <w:rFonts w:hint="eastAsia" w:ascii="Times New Roman" w:hAnsi="Times New Roman" w:eastAsia="仿宋_GB2312"/>
                <w:sz w:val="18"/>
                <w:szCs w:val="18"/>
              </w:rPr>
              <w:t>分公司的托管账户详情</w:t>
            </w:r>
          </w:p>
        </w:tc>
        <w:tc>
          <w:tcPr>
            <w:tcW w:w="57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Times New Roman" w:hAnsi="Times New Roman" w:eastAsia="仿宋_GB2312"/>
                <w:sz w:val="18"/>
                <w:szCs w:val="18"/>
              </w:rPr>
            </w:pPr>
            <w:r>
              <w:rPr>
                <w:rFonts w:hint="eastAsia" w:ascii="Times New Roman" w:hAnsi="Times New Roman" w:eastAsia="仿宋_GB2312"/>
                <w:sz w:val="18"/>
                <w:szCs w:val="18"/>
              </w:rPr>
              <w:t>户名：</w:t>
            </w:r>
            <w:r>
              <w:rPr>
                <w:rFonts w:ascii="Times New Roman" w:hAnsi="Times New Roman" w:eastAsia="仿宋_GB2312"/>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sz w:val="18"/>
                <w:szCs w:val="18"/>
              </w:rPr>
            </w:pPr>
          </w:p>
        </w:tc>
        <w:tc>
          <w:tcPr>
            <w:tcW w:w="571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Times New Roman" w:hAnsi="Times New Roman" w:eastAsia="仿宋_GB2312"/>
                <w:sz w:val="18"/>
                <w:szCs w:val="18"/>
              </w:rPr>
            </w:pPr>
            <w:r>
              <w:rPr>
                <w:rFonts w:hint="eastAsia" w:ascii="Times New Roman" w:hAnsi="Times New Roman" w:eastAsia="仿宋_GB2312"/>
                <w:sz w:val="18"/>
                <w:szCs w:val="18"/>
              </w:rPr>
              <w:t>账号：</w:t>
            </w:r>
          </w:p>
        </w:tc>
      </w:tr>
    </w:tbl>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本单位在此同意并确认：</w:t>
      </w:r>
    </w:p>
    <w:p>
      <w:pPr>
        <w:spacing w:line="0" w:lineRule="atLeast"/>
        <w:ind w:right="140"/>
        <w:rPr>
          <w:rFonts w:hint="eastAsia" w:ascii="Times New Roman" w:hAnsi="Times New Roman" w:eastAsia="仿宋_GB2312"/>
          <w:sz w:val="18"/>
          <w:szCs w:val="18"/>
        </w:rPr>
      </w:pPr>
      <w:r>
        <w:rPr>
          <w:rFonts w:hint="eastAsia" w:ascii="Times New Roman" w:hAnsi="Times New Roman" w:eastAsia="仿宋_GB2312"/>
          <w:sz w:val="18"/>
          <w:szCs w:val="18"/>
        </w:rPr>
        <w:t>对于2022年新沂经济开发区建设发展有限公司公司债券：</w:t>
      </w:r>
    </w:p>
    <w:tbl>
      <w:tblPr>
        <w:tblStyle w:val="9"/>
        <w:tblW w:w="515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582"/>
        <w:gridCol w:w="1659"/>
        <w:gridCol w:w="1977"/>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b/>
                <w:sz w:val="18"/>
                <w:szCs w:val="18"/>
              </w:rPr>
            </w:pPr>
            <w:r>
              <w:rPr>
                <w:rFonts w:hint="eastAsia" w:ascii="Times New Roman" w:hAnsi="Times New Roman" w:eastAsia="仿宋_GB2312"/>
                <w:b/>
                <w:sz w:val="18"/>
                <w:szCs w:val="18"/>
              </w:rPr>
              <w:t>品种一：申购利率及申购金额（申购利率不超过4</w:t>
            </w:r>
            <w:r>
              <w:rPr>
                <w:rFonts w:ascii="Times New Roman" w:hAnsi="Times New Roman" w:eastAsia="仿宋_GB2312"/>
                <w:b/>
                <w:sz w:val="18"/>
                <w:szCs w:val="18"/>
              </w:rPr>
              <w:t>.00%</w:t>
            </w:r>
            <w:r>
              <w:rPr>
                <w:rFonts w:hint="eastAsia" w:ascii="Times New Roman" w:hAnsi="Times New Roman" w:eastAsia="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vMerge w:val="restart"/>
            <w:tcBorders>
              <w:top w:val="single" w:color="auto" w:sz="4" w:space="0"/>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r>
              <w:rPr>
                <w:rFonts w:hint="eastAsia" w:ascii="Times New Roman" w:hAnsi="Times New Roman" w:eastAsia="仿宋_GB2312"/>
                <w:sz w:val="18"/>
                <w:szCs w:val="18"/>
              </w:rPr>
              <w:t>申购利率（</w:t>
            </w:r>
            <w:r>
              <w:rPr>
                <w:rFonts w:ascii="Times New Roman" w:hAnsi="Times New Roman" w:eastAsia="仿宋_GB2312"/>
                <w:sz w:val="18"/>
                <w:szCs w:val="18"/>
              </w:rPr>
              <w:t>%</w:t>
            </w:r>
            <w:r>
              <w:rPr>
                <w:rFonts w:hint="eastAsia" w:ascii="Times New Roman" w:hAnsi="Times New Roman" w:eastAsia="仿宋_GB2312"/>
                <w:sz w:val="18"/>
                <w:szCs w:val="18"/>
              </w:rPr>
              <w:t>）</w:t>
            </w:r>
          </w:p>
        </w:tc>
        <w:tc>
          <w:tcPr>
            <w:tcW w:w="901" w:type="pct"/>
            <w:vMerge w:val="restart"/>
            <w:tcBorders>
              <w:top w:val="single" w:color="auto" w:sz="4" w:space="0"/>
              <w:left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申购金额</w:t>
            </w:r>
          </w:p>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（单位：人民币万元）</w:t>
            </w:r>
          </w:p>
        </w:tc>
        <w:tc>
          <w:tcPr>
            <w:tcW w:w="944" w:type="pct"/>
            <w:vMerge w:val="restart"/>
            <w:tcBorders>
              <w:top w:val="single" w:color="auto" w:sz="4" w:space="0"/>
              <w:left w:val="single" w:color="auto" w:sz="4" w:space="0"/>
              <w:right w:val="single" w:color="auto" w:sz="4" w:space="0"/>
            </w:tcBorders>
            <w:vAlign w:val="center"/>
          </w:tcPr>
          <w:p>
            <w:pPr>
              <w:spacing w:line="0" w:lineRule="atLeast"/>
              <w:ind w:right="140"/>
              <w:jc w:val="center"/>
              <w:rPr>
                <w:rFonts w:hint="eastAsia" w:ascii="Times New Roman" w:hAnsi="Times New Roman" w:eastAsia="仿宋_GB2312"/>
                <w:sz w:val="18"/>
                <w:szCs w:val="18"/>
              </w:rPr>
            </w:pPr>
            <w:r>
              <w:rPr>
                <w:rFonts w:hint="eastAsia" w:ascii="Times New Roman" w:hAnsi="Times New Roman" w:eastAsia="仿宋_GB2312"/>
                <w:sz w:val="18"/>
                <w:szCs w:val="18"/>
              </w:rPr>
              <w:t>获配总量不超本期最终发行量的比例（如有）</w:t>
            </w:r>
          </w:p>
        </w:tc>
        <w:tc>
          <w:tcPr>
            <w:tcW w:w="2420"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托管场所选择（不填默认为中央国债登记公司）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sz w:val="18"/>
                <w:szCs w:val="18"/>
              </w:rPr>
            </w:pPr>
          </w:p>
        </w:tc>
        <w:tc>
          <w:tcPr>
            <w:tcW w:w="901" w:type="pct"/>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仿宋_GB2312"/>
                <w:sz w:val="18"/>
                <w:szCs w:val="18"/>
              </w:rPr>
            </w:pPr>
          </w:p>
        </w:tc>
        <w:tc>
          <w:tcPr>
            <w:tcW w:w="944" w:type="pct"/>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中央国债登记公司</w:t>
            </w:r>
          </w:p>
        </w:tc>
        <w:tc>
          <w:tcPr>
            <w:tcW w:w="1294" w:type="pct"/>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中国证券登记结算有限责任公司上海分公司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r>
              <w:rPr>
                <w:rFonts w:ascii="Times New Roman" w:hAnsi="Times New Roman" w:eastAsia="仿宋_GB2312"/>
                <w:sz w:val="18"/>
                <w:szCs w:val="18"/>
              </w:rPr>
              <w:t>合计</w:t>
            </w: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b/>
                <w:sz w:val="18"/>
                <w:szCs w:val="18"/>
              </w:rPr>
              <w:t>品种二：申购利率及申购金额（申购利率不超过4</w:t>
            </w:r>
            <w:r>
              <w:rPr>
                <w:rFonts w:ascii="Times New Roman" w:hAnsi="Times New Roman" w:eastAsia="仿宋_GB2312"/>
                <w:b/>
                <w:sz w:val="18"/>
                <w:szCs w:val="18"/>
              </w:rPr>
              <w:t>.00%</w:t>
            </w:r>
            <w:r>
              <w:rPr>
                <w:rFonts w:hint="eastAsia" w:ascii="Times New Roman" w:hAnsi="Times New Roman" w:eastAsia="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vMerge w:val="restart"/>
            <w:tcBorders>
              <w:top w:val="single" w:color="auto" w:sz="4" w:space="0"/>
              <w:left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r>
              <w:rPr>
                <w:rFonts w:hint="eastAsia" w:ascii="Times New Roman" w:hAnsi="Times New Roman" w:eastAsia="仿宋_GB2312"/>
                <w:sz w:val="18"/>
                <w:szCs w:val="18"/>
              </w:rPr>
              <w:t>申购利率（</w:t>
            </w:r>
            <w:r>
              <w:rPr>
                <w:rFonts w:ascii="Times New Roman" w:hAnsi="Times New Roman" w:eastAsia="仿宋_GB2312"/>
                <w:sz w:val="18"/>
                <w:szCs w:val="18"/>
              </w:rPr>
              <w:t>%</w:t>
            </w:r>
            <w:r>
              <w:rPr>
                <w:rFonts w:hint="eastAsia" w:ascii="Times New Roman" w:hAnsi="Times New Roman" w:eastAsia="仿宋_GB2312"/>
                <w:sz w:val="18"/>
                <w:szCs w:val="18"/>
              </w:rPr>
              <w:t>）</w:t>
            </w:r>
          </w:p>
        </w:tc>
        <w:tc>
          <w:tcPr>
            <w:tcW w:w="901" w:type="pct"/>
            <w:vMerge w:val="restart"/>
            <w:tcBorders>
              <w:top w:val="single" w:color="auto" w:sz="4" w:space="0"/>
              <w:left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申购金额</w:t>
            </w:r>
          </w:p>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（单位：人民币万元）</w:t>
            </w:r>
          </w:p>
        </w:tc>
        <w:tc>
          <w:tcPr>
            <w:tcW w:w="944" w:type="pct"/>
            <w:vMerge w:val="restart"/>
            <w:tcBorders>
              <w:top w:val="single" w:color="auto" w:sz="4" w:space="0"/>
              <w:left w:val="single" w:color="auto" w:sz="4" w:space="0"/>
              <w:right w:val="single" w:color="auto" w:sz="4" w:space="0"/>
            </w:tcBorders>
            <w:vAlign w:val="center"/>
          </w:tcPr>
          <w:p>
            <w:pPr>
              <w:spacing w:line="0" w:lineRule="atLeast"/>
              <w:ind w:right="140"/>
              <w:jc w:val="center"/>
              <w:rPr>
                <w:rFonts w:hint="eastAsia" w:ascii="Times New Roman" w:hAnsi="Times New Roman" w:eastAsia="仿宋_GB2312"/>
                <w:sz w:val="18"/>
                <w:szCs w:val="18"/>
              </w:rPr>
            </w:pPr>
            <w:r>
              <w:rPr>
                <w:rFonts w:hint="eastAsia" w:ascii="Times New Roman" w:hAnsi="Times New Roman" w:eastAsia="仿宋_GB2312"/>
                <w:sz w:val="18"/>
                <w:szCs w:val="18"/>
              </w:rPr>
              <w:t>获配总量不超本期最终发行量的比例（如有）</w:t>
            </w:r>
          </w:p>
        </w:tc>
        <w:tc>
          <w:tcPr>
            <w:tcW w:w="2420"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托管场所选择（不填默认为中央国债登记公司）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vMerge w:val="continue"/>
            <w:tcBorders>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p>
        </w:tc>
        <w:tc>
          <w:tcPr>
            <w:tcW w:w="901" w:type="pct"/>
            <w:vMerge w:val="continue"/>
            <w:tcBorders>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p>
        </w:tc>
        <w:tc>
          <w:tcPr>
            <w:tcW w:w="944" w:type="pct"/>
            <w:vMerge w:val="continue"/>
            <w:tcBorders>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中央国债登记公司</w:t>
            </w:r>
          </w:p>
        </w:tc>
        <w:tc>
          <w:tcPr>
            <w:tcW w:w="1294" w:type="pct"/>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中国证券登记结算有限责任公司上海分公司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r>
              <w:rPr>
                <w:rFonts w:ascii="Times New Roman" w:hAnsi="Times New Roman" w:eastAsia="仿宋_GB2312"/>
                <w:sz w:val="18"/>
                <w:szCs w:val="18"/>
              </w:rPr>
              <w:t>合计</w:t>
            </w: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b/>
                <w:sz w:val="18"/>
                <w:szCs w:val="18"/>
              </w:rPr>
              <w:t>品种三：申购利率及申购金额（申购利率不超过4</w:t>
            </w:r>
            <w:r>
              <w:rPr>
                <w:rFonts w:ascii="Times New Roman" w:hAnsi="Times New Roman" w:eastAsia="仿宋_GB2312"/>
                <w:b/>
                <w:sz w:val="18"/>
                <w:szCs w:val="18"/>
              </w:rPr>
              <w:t>.00%</w:t>
            </w:r>
            <w:r>
              <w:rPr>
                <w:rFonts w:hint="eastAsia" w:ascii="Times New Roman" w:hAnsi="Times New Roman" w:eastAsia="仿宋_GB2312"/>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vMerge w:val="restart"/>
            <w:tcBorders>
              <w:top w:val="single" w:color="auto" w:sz="4" w:space="0"/>
              <w:left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r>
              <w:rPr>
                <w:rFonts w:hint="eastAsia" w:ascii="Times New Roman" w:hAnsi="Times New Roman" w:eastAsia="仿宋_GB2312"/>
                <w:sz w:val="18"/>
                <w:szCs w:val="18"/>
              </w:rPr>
              <w:t>申购利率（</w:t>
            </w:r>
            <w:r>
              <w:rPr>
                <w:rFonts w:ascii="Times New Roman" w:hAnsi="Times New Roman" w:eastAsia="仿宋_GB2312"/>
                <w:sz w:val="18"/>
                <w:szCs w:val="18"/>
              </w:rPr>
              <w:t>%</w:t>
            </w:r>
            <w:r>
              <w:rPr>
                <w:rFonts w:hint="eastAsia" w:ascii="Times New Roman" w:hAnsi="Times New Roman" w:eastAsia="仿宋_GB2312"/>
                <w:sz w:val="18"/>
                <w:szCs w:val="18"/>
              </w:rPr>
              <w:t>）</w:t>
            </w:r>
          </w:p>
        </w:tc>
        <w:tc>
          <w:tcPr>
            <w:tcW w:w="901" w:type="pct"/>
            <w:vMerge w:val="restart"/>
            <w:tcBorders>
              <w:top w:val="single" w:color="auto" w:sz="4" w:space="0"/>
              <w:left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申购金额</w:t>
            </w:r>
          </w:p>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（单位：人民币万元）</w:t>
            </w:r>
          </w:p>
        </w:tc>
        <w:tc>
          <w:tcPr>
            <w:tcW w:w="944" w:type="pct"/>
            <w:vMerge w:val="restart"/>
            <w:tcBorders>
              <w:top w:val="single" w:color="auto" w:sz="4" w:space="0"/>
              <w:left w:val="single" w:color="auto" w:sz="4" w:space="0"/>
              <w:right w:val="single" w:color="auto" w:sz="4" w:space="0"/>
            </w:tcBorders>
            <w:vAlign w:val="center"/>
          </w:tcPr>
          <w:p>
            <w:pPr>
              <w:spacing w:line="0" w:lineRule="atLeast"/>
              <w:ind w:right="140"/>
              <w:jc w:val="center"/>
              <w:rPr>
                <w:rFonts w:hint="eastAsia" w:ascii="Times New Roman" w:hAnsi="Times New Roman" w:eastAsia="仿宋_GB2312"/>
                <w:sz w:val="18"/>
                <w:szCs w:val="18"/>
              </w:rPr>
            </w:pPr>
            <w:r>
              <w:rPr>
                <w:rFonts w:hint="eastAsia" w:ascii="Times New Roman" w:hAnsi="Times New Roman" w:eastAsia="仿宋_GB2312"/>
                <w:sz w:val="18"/>
                <w:szCs w:val="18"/>
              </w:rPr>
              <w:t>获配总量不超本期最终发行量的比例（如有）</w:t>
            </w:r>
          </w:p>
        </w:tc>
        <w:tc>
          <w:tcPr>
            <w:tcW w:w="2420"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托管场所选择（不填默认为中央国债登记公司）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vMerge w:val="continue"/>
            <w:tcBorders>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p>
        </w:tc>
        <w:tc>
          <w:tcPr>
            <w:tcW w:w="901" w:type="pct"/>
            <w:vMerge w:val="continue"/>
            <w:tcBorders>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p>
        </w:tc>
        <w:tc>
          <w:tcPr>
            <w:tcW w:w="944" w:type="pct"/>
            <w:vMerge w:val="continue"/>
            <w:tcBorders>
              <w:left w:val="single" w:color="auto" w:sz="4" w:space="0"/>
              <w:bottom w:val="single" w:color="auto" w:sz="4" w:space="0"/>
              <w:right w:val="single" w:color="auto" w:sz="4" w:space="0"/>
            </w:tcBorders>
            <w:vAlign w:val="center"/>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中央国债登记公司</w:t>
            </w:r>
          </w:p>
        </w:tc>
        <w:tc>
          <w:tcPr>
            <w:tcW w:w="1294" w:type="pct"/>
            <w:tcBorders>
              <w:top w:val="single" w:color="auto" w:sz="4" w:space="0"/>
              <w:left w:val="single" w:color="auto" w:sz="4" w:space="0"/>
              <w:bottom w:val="single" w:color="auto" w:sz="4" w:space="0"/>
              <w:right w:val="single" w:color="auto" w:sz="4" w:space="0"/>
            </w:tcBorders>
            <w:vAlign w:val="center"/>
          </w:tcPr>
          <w:p>
            <w:pPr>
              <w:spacing w:line="0" w:lineRule="atLeast"/>
              <w:ind w:right="140"/>
              <w:jc w:val="center"/>
              <w:rPr>
                <w:rFonts w:ascii="Times New Roman" w:hAnsi="Times New Roman" w:eastAsia="仿宋_GB2312"/>
                <w:sz w:val="18"/>
                <w:szCs w:val="18"/>
              </w:rPr>
            </w:pPr>
            <w:r>
              <w:rPr>
                <w:rFonts w:hint="eastAsia" w:ascii="Times New Roman" w:hAnsi="Times New Roman" w:eastAsia="仿宋_GB2312"/>
                <w:sz w:val="18"/>
                <w:szCs w:val="18"/>
              </w:rPr>
              <w:t>中国证券登记结算有限责任公司上海分公司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3"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r>
              <w:rPr>
                <w:rFonts w:ascii="Times New Roman" w:hAnsi="Times New Roman" w:eastAsia="仿宋_GB2312"/>
                <w:sz w:val="18"/>
                <w:szCs w:val="18"/>
              </w:rPr>
              <w:t>合计</w:t>
            </w:r>
          </w:p>
        </w:tc>
        <w:tc>
          <w:tcPr>
            <w:tcW w:w="901"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94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126"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c>
          <w:tcPr>
            <w:tcW w:w="1294" w:type="pct"/>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tcPr>
          <w:p>
            <w:pPr>
              <w:snapToGrid w:val="0"/>
              <w:spacing w:line="0" w:lineRule="atLeast"/>
              <w:ind w:right="142"/>
              <w:rPr>
                <w:rFonts w:ascii="Times New Roman" w:hAnsi="Times New Roman" w:eastAsia="仿宋_GB2312"/>
                <w:sz w:val="18"/>
                <w:szCs w:val="18"/>
              </w:rPr>
            </w:pPr>
            <w:r>
              <w:rPr>
                <w:rFonts w:hint="eastAsia" w:ascii="Times New Roman" w:hAnsi="Times New Roman"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tcPr>
          <w:p>
            <w:pPr>
              <w:snapToGrid w:val="0"/>
              <w:spacing w:line="0" w:lineRule="atLeast"/>
              <w:ind w:right="142"/>
              <w:rPr>
                <w:rFonts w:ascii="Times New Roman" w:hAnsi="Times New Roman" w:eastAsia="仿宋_GB2312"/>
                <w:sz w:val="18"/>
                <w:szCs w:val="18"/>
              </w:rPr>
            </w:pPr>
            <w:r>
              <w:rPr>
                <w:rFonts w:hint="eastAsia" w:ascii="Times New Roman" w:hAnsi="Times New Roman" w:eastAsia="仿宋_GB2312"/>
                <w:sz w:val="18"/>
                <w:szCs w:val="18"/>
              </w:rPr>
              <w:t>重要提示：</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1、本期债券簿记建档利率区间上限为</w:t>
            </w:r>
            <w:r>
              <w:rPr>
                <w:rFonts w:hint="eastAsia" w:ascii="Times New Roman" w:hAnsi="Times New Roman" w:eastAsia="仿宋_GB2312"/>
                <w:sz w:val="18"/>
                <w:szCs w:val="18"/>
              </w:rPr>
              <w:t>：品种一4</w:t>
            </w:r>
            <w:r>
              <w:rPr>
                <w:rFonts w:ascii="Times New Roman" w:hAnsi="Times New Roman" w:eastAsia="仿宋_GB2312"/>
                <w:sz w:val="18"/>
                <w:szCs w:val="18"/>
              </w:rPr>
              <w:t>.00</w:t>
            </w:r>
            <w:r>
              <w:rPr>
                <w:rFonts w:hint="eastAsia" w:ascii="Times New Roman" w:hAnsi="Times New Roman" w:eastAsia="仿宋_GB2312"/>
                <w:sz w:val="18"/>
                <w:szCs w:val="18"/>
              </w:rPr>
              <w:t>%，品种二4</w:t>
            </w:r>
            <w:r>
              <w:rPr>
                <w:rFonts w:ascii="Times New Roman" w:hAnsi="Times New Roman" w:eastAsia="仿宋_GB2312"/>
                <w:sz w:val="18"/>
                <w:szCs w:val="18"/>
              </w:rPr>
              <w:t>.00</w:t>
            </w:r>
            <w:r>
              <w:rPr>
                <w:rFonts w:hint="eastAsia" w:ascii="Times New Roman" w:hAnsi="Times New Roman" w:eastAsia="仿宋_GB2312"/>
                <w:sz w:val="18"/>
                <w:szCs w:val="18"/>
              </w:rPr>
              <w:t>%，品种三4</w:t>
            </w:r>
            <w:r>
              <w:rPr>
                <w:rFonts w:ascii="Times New Roman" w:hAnsi="Times New Roman" w:eastAsia="仿宋_GB2312"/>
                <w:sz w:val="18"/>
                <w:szCs w:val="18"/>
              </w:rPr>
              <w:t>.00</w:t>
            </w:r>
            <w:r>
              <w:rPr>
                <w:rFonts w:hint="eastAsia" w:ascii="Times New Roman" w:hAnsi="Times New Roman" w:eastAsia="仿宋_GB2312"/>
                <w:sz w:val="18"/>
                <w:szCs w:val="18"/>
              </w:rPr>
              <w:t>%</w:t>
            </w:r>
            <w:r>
              <w:rPr>
                <w:rFonts w:ascii="Times New Roman" w:hAnsi="Times New Roman" w:eastAsia="仿宋_GB2312"/>
                <w:sz w:val="18"/>
                <w:szCs w:val="18"/>
              </w:rPr>
              <w:t>；</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2、申购利率应在簿记建档申购利率区间内由低到高填写，最小变动单位为0.01%；</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3、每一申购利率对应的申购金额是指当最终确定的发行利率不低于该申购利率时申购人</w:t>
            </w:r>
            <w:r>
              <w:rPr>
                <w:rFonts w:ascii="Times New Roman" w:hAnsi="Times New Roman" w:eastAsia="仿宋_GB2312"/>
                <w:b/>
                <w:sz w:val="18"/>
                <w:szCs w:val="18"/>
                <w:u w:val="single"/>
              </w:rPr>
              <w:t>新增的投资需求，非累计</w:t>
            </w:r>
            <w:r>
              <w:rPr>
                <w:rFonts w:ascii="Times New Roman" w:hAnsi="Times New Roman" w:eastAsia="仿宋_GB2312"/>
                <w:sz w:val="18"/>
                <w:szCs w:val="18"/>
              </w:rPr>
              <w:t>；</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4、每个申购利率对应的申购金额不得少于1,000万元（含1,000万元），且必须是100万元的整数倍，并且不超过本期债券的发行总额（即</w:t>
            </w:r>
            <w:r>
              <w:rPr>
                <w:rFonts w:hint="eastAsia" w:ascii="Times New Roman" w:hAnsi="Times New Roman" w:eastAsia="仿宋_GB2312"/>
                <w:sz w:val="18"/>
                <w:szCs w:val="18"/>
              </w:rPr>
              <w:t>品种一8</w:t>
            </w:r>
            <w:r>
              <w:rPr>
                <w:rFonts w:ascii="Times New Roman" w:hAnsi="Times New Roman" w:eastAsia="仿宋_GB2312"/>
                <w:sz w:val="18"/>
                <w:szCs w:val="18"/>
              </w:rPr>
              <w:t>.00亿元</w:t>
            </w:r>
            <w:r>
              <w:rPr>
                <w:rFonts w:hint="eastAsia" w:ascii="Times New Roman" w:hAnsi="Times New Roman" w:eastAsia="仿宋_GB2312"/>
                <w:sz w:val="18"/>
                <w:szCs w:val="18"/>
              </w:rPr>
              <w:t>，品种二7</w:t>
            </w:r>
            <w:r>
              <w:rPr>
                <w:rFonts w:ascii="Times New Roman" w:hAnsi="Times New Roman" w:eastAsia="仿宋_GB2312"/>
                <w:sz w:val="18"/>
                <w:szCs w:val="18"/>
              </w:rPr>
              <w:t>.00</w:t>
            </w:r>
            <w:r>
              <w:rPr>
                <w:rFonts w:hint="eastAsia" w:ascii="Times New Roman" w:hAnsi="Times New Roman" w:eastAsia="仿宋_GB2312"/>
                <w:sz w:val="18"/>
                <w:szCs w:val="18"/>
              </w:rPr>
              <w:t>亿元，品种三5</w:t>
            </w:r>
            <w:r>
              <w:rPr>
                <w:rFonts w:ascii="Times New Roman" w:hAnsi="Times New Roman" w:eastAsia="仿宋_GB2312"/>
                <w:sz w:val="18"/>
                <w:szCs w:val="18"/>
              </w:rPr>
              <w:t>.00</w:t>
            </w:r>
            <w:r>
              <w:rPr>
                <w:rFonts w:hint="eastAsia" w:ascii="Times New Roman" w:hAnsi="Times New Roman" w:eastAsia="仿宋_GB2312"/>
                <w:sz w:val="18"/>
                <w:szCs w:val="18"/>
              </w:rPr>
              <w:t>亿元，合计2</w:t>
            </w:r>
            <w:r>
              <w:rPr>
                <w:rFonts w:ascii="Times New Roman" w:hAnsi="Times New Roman" w:eastAsia="仿宋_GB2312"/>
                <w:sz w:val="18"/>
                <w:szCs w:val="18"/>
              </w:rPr>
              <w:t>0.00</w:t>
            </w:r>
            <w:r>
              <w:rPr>
                <w:rFonts w:hint="eastAsia" w:ascii="Times New Roman" w:hAnsi="Times New Roman" w:eastAsia="仿宋_GB2312"/>
                <w:sz w:val="18"/>
                <w:szCs w:val="18"/>
              </w:rPr>
              <w:t>亿元</w:t>
            </w:r>
            <w:r>
              <w:rPr>
                <w:rFonts w:ascii="Times New Roman" w:hAnsi="Times New Roman" w:eastAsia="仿宋_GB2312"/>
                <w:sz w:val="18"/>
                <w:szCs w:val="18"/>
              </w:rPr>
              <w:t>）；</w:t>
            </w:r>
          </w:p>
          <w:p>
            <w:pPr>
              <w:snapToGrid w:val="0"/>
              <w:spacing w:line="0" w:lineRule="atLeast"/>
              <w:ind w:right="142"/>
              <w:rPr>
                <w:rFonts w:ascii="Times New Roman" w:hAnsi="Times New Roman" w:eastAsia="仿宋_GB2312"/>
                <w:b/>
                <w:sz w:val="18"/>
                <w:szCs w:val="18"/>
              </w:rPr>
            </w:pPr>
            <w:r>
              <w:rPr>
                <w:rFonts w:ascii="Times New Roman" w:hAnsi="Times New Roman" w:eastAsia="仿宋_GB2312"/>
                <w:sz w:val="18"/>
                <w:szCs w:val="18"/>
              </w:rPr>
              <w:t>5、</w:t>
            </w:r>
            <w:r>
              <w:rPr>
                <w:rFonts w:ascii="Times New Roman" w:hAnsi="Times New Roman" w:eastAsia="仿宋_GB2312"/>
                <w:b/>
                <w:sz w:val="18"/>
                <w:szCs w:val="18"/>
                <w:u w:val="none"/>
              </w:rPr>
              <w:t>申购传真专线：</w:t>
            </w:r>
            <w:r>
              <w:rPr>
                <w:rFonts w:hint="eastAsia" w:ascii="Times New Roman" w:hAnsi="Times New Roman" w:eastAsia="仿宋_GB2312"/>
                <w:b/>
                <w:sz w:val="18"/>
                <w:szCs w:val="18"/>
              </w:rPr>
              <w:t>010-88170960；场内咨询专线：010-88170043</w:t>
            </w:r>
            <w:r>
              <w:rPr>
                <w:rFonts w:ascii="Times New Roman" w:hAnsi="Times New Roman" w:eastAsia="仿宋_GB2312"/>
                <w:b/>
                <w:sz w:val="18"/>
                <w:szCs w:val="18"/>
              </w:rPr>
              <w:t>。</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6、簿记建档时间：</w:t>
            </w:r>
            <w:r>
              <w:rPr>
                <w:rFonts w:hint="eastAsia" w:ascii="Times New Roman" w:hAnsi="Times New Roman" w:eastAsia="仿宋_GB2312"/>
                <w:sz w:val="18"/>
                <w:szCs w:val="18"/>
              </w:rPr>
              <w:t>2022年8月26日</w:t>
            </w:r>
            <w:r>
              <w:rPr>
                <w:rFonts w:ascii="Times New Roman" w:hAnsi="Times New Roman" w:eastAsia="仿宋_GB2312"/>
                <w:sz w:val="18"/>
                <w:szCs w:val="18"/>
              </w:rPr>
              <w:t>北京时间</w:t>
            </w:r>
            <w:r>
              <w:rPr>
                <w:rFonts w:hint="eastAsia" w:ascii="Times New Roman" w:hAnsi="Times New Roman" w:eastAsia="仿宋_GB2312"/>
                <w:sz w:val="18"/>
                <w:szCs w:val="18"/>
              </w:rPr>
              <w:t>1</w:t>
            </w:r>
            <w:r>
              <w:rPr>
                <w:rFonts w:ascii="Times New Roman" w:hAnsi="Times New Roman" w:eastAsia="仿宋_GB2312"/>
                <w:sz w:val="18"/>
                <w:szCs w:val="18"/>
              </w:rPr>
              <w:t>4</w:t>
            </w:r>
            <w:r>
              <w:rPr>
                <w:rFonts w:hint="eastAsia" w:ascii="Times New Roman" w:hAnsi="Times New Roman" w:eastAsia="仿宋_GB2312"/>
                <w:sz w:val="18"/>
                <w:szCs w:val="18"/>
              </w:rPr>
              <w:t>:</w:t>
            </w:r>
            <w:r>
              <w:rPr>
                <w:rFonts w:ascii="Times New Roman" w:hAnsi="Times New Roman" w:eastAsia="仿宋_GB2312"/>
                <w:sz w:val="18"/>
                <w:szCs w:val="18"/>
              </w:rPr>
              <w:t>00至</w:t>
            </w:r>
            <w:r>
              <w:rPr>
                <w:rFonts w:hint="eastAsia" w:ascii="Times New Roman" w:hAnsi="Times New Roman" w:eastAsia="仿宋_GB2312"/>
                <w:sz w:val="18"/>
                <w:szCs w:val="18"/>
              </w:rPr>
              <w:t>1</w:t>
            </w:r>
            <w:r>
              <w:rPr>
                <w:rFonts w:ascii="Times New Roman" w:hAnsi="Times New Roman" w:eastAsia="仿宋_GB2312"/>
                <w:sz w:val="18"/>
                <w:szCs w:val="18"/>
              </w:rPr>
              <w:t>6:00；</w:t>
            </w:r>
          </w:p>
          <w:p>
            <w:pPr>
              <w:widowControl/>
              <w:adjustRightInd w:val="0"/>
              <w:snapToGrid w:val="0"/>
              <w:spacing w:line="276" w:lineRule="auto"/>
              <w:rPr>
                <w:b/>
                <w:kern w:val="0"/>
                <w:sz w:val="18"/>
                <w:szCs w:val="18"/>
              </w:rPr>
            </w:pPr>
            <w:r>
              <w:rPr>
                <w:b/>
                <w:kern w:val="0"/>
                <w:sz w:val="18"/>
                <w:szCs w:val="18"/>
              </w:rPr>
              <w:t>申购人在此承诺：</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1、申购人以上填写的内容真实、完整、准确、有效；投资者应遵循独立、客观、诚信的原则进行合理报价，不得协商报价或者故意压低或抬高价格或利率，获得配售后应严格履行缴款义务；</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2、申购人申购资格、本次申购行为以及申购款来源均符合有关法律、法规以及中国证监会的有关规定及其他适用于自身的相关法定或合同约定要求，已就此取得所有必要的内外部批准，并在申购本期债券后依法办理必要的手续；</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3</w:t>
            </w:r>
            <w:r>
              <w:rPr>
                <w:rFonts w:hint="eastAsia" w:ascii="Times New Roman" w:hAnsi="Times New Roman" w:eastAsia="仿宋_GB2312"/>
                <w:sz w:val="18"/>
                <w:szCs w:val="18"/>
              </w:rPr>
              <w:t>、簿记管理人有权要求本申购人配合其进行投资者适当性核查工作，本申购人将积极配合该核查工作并将如实提供有效证明资料，不得采用提供虚假材料等手段规避投资者适当性管理要求。如本申购人未通过簿记管理人对其进行的投资者适当性核查，则本申购人同意簿记管理人有权拒绝向其配售本期债券，在此情况下，本申购人承诺赔偿簿记管理人因此遭受的一切损失和产生的一切费用。</w:t>
            </w:r>
          </w:p>
          <w:p>
            <w:pPr>
              <w:snapToGrid w:val="0"/>
              <w:spacing w:line="0" w:lineRule="atLeast"/>
              <w:ind w:right="142"/>
              <w:rPr>
                <w:rFonts w:ascii="Times New Roman" w:hAnsi="Times New Roman" w:eastAsia="仿宋_GB2312"/>
                <w:b/>
                <w:bCs/>
                <w:sz w:val="18"/>
                <w:szCs w:val="18"/>
              </w:rPr>
            </w:pPr>
            <w:r>
              <w:rPr>
                <w:rFonts w:ascii="Times New Roman" w:hAnsi="Times New Roman" w:eastAsia="仿宋_GB2312"/>
                <w:b/>
                <w:bCs/>
                <w:sz w:val="18"/>
                <w:szCs w:val="18"/>
              </w:rPr>
              <w:t>4</w:t>
            </w:r>
            <w:r>
              <w:rPr>
                <w:rFonts w:hint="eastAsia" w:ascii="Times New Roman" w:hAnsi="Times New Roman" w:eastAsia="仿宋_GB2312"/>
                <w:b/>
                <w:bCs/>
                <w:sz w:val="18"/>
                <w:szCs w:val="18"/>
              </w:rPr>
              <w:t>、申购人的申购资格、本次申购行为及本次申购资金来源符合有关法律、法规以及中国证监会的有关规定及其它适用于自身的相关法定或合同约定要求，已就此取得所有必要的内外部批准；申购人确认，本次申购资金（</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）是（</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）否</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直接或间接来自于发行人及其利益相关方，或配合发行人以代持、信托等方式谋取不正当利益或向其他相关利益主体输送利益</w:t>
            </w:r>
            <w:r>
              <w:rPr>
                <w:rFonts w:ascii="Times New Roman" w:hAnsi="Times New Roman" w:eastAsia="仿宋_GB2312"/>
                <w:b/>
                <w:bCs/>
                <w:sz w:val="18"/>
                <w:szCs w:val="18"/>
              </w:rPr>
              <w:t>,</w:t>
            </w:r>
            <w:r>
              <w:rPr>
                <w:rFonts w:hint="eastAsia" w:ascii="Times New Roman" w:hAnsi="Times New Roman" w:eastAsia="仿宋_GB2312"/>
                <w:b/>
                <w:bCs/>
                <w:sz w:val="18"/>
                <w:szCs w:val="18"/>
              </w:rPr>
              <w:t>或接受发行人及其利益相关方的财务资助。</w:t>
            </w:r>
          </w:p>
          <w:p>
            <w:pPr>
              <w:snapToGrid w:val="0"/>
              <w:spacing w:line="0" w:lineRule="atLeast"/>
              <w:ind w:right="142"/>
              <w:rPr>
                <w:rFonts w:ascii="Times New Roman" w:hAnsi="Times New Roman" w:eastAsia="仿宋_GB2312"/>
                <w:b/>
                <w:bCs/>
                <w:sz w:val="18"/>
                <w:szCs w:val="18"/>
              </w:rPr>
            </w:pPr>
            <w:r>
              <w:rPr>
                <w:rFonts w:ascii="Times New Roman" w:hAnsi="Times New Roman" w:eastAsia="仿宋_GB2312"/>
                <w:b/>
                <w:bCs/>
                <w:sz w:val="18"/>
                <w:szCs w:val="18"/>
              </w:rPr>
              <w:t>5</w:t>
            </w:r>
            <w:r>
              <w:rPr>
                <w:rFonts w:hint="eastAsia" w:ascii="Times New Roman" w:hAnsi="Times New Roman" w:eastAsia="仿宋_GB2312"/>
                <w:b/>
                <w:bCs/>
                <w:sz w:val="18"/>
                <w:szCs w:val="18"/>
              </w:rPr>
              <w:t>、申购人已阅知《专业投资者确认函》（附件二），并确认自身属于（</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）类投资者（请填写附件二中投资者类型对应的字母）。</w:t>
            </w:r>
          </w:p>
          <w:p>
            <w:pPr>
              <w:snapToGrid w:val="0"/>
              <w:spacing w:line="0" w:lineRule="atLeast"/>
              <w:ind w:right="142"/>
              <w:rPr>
                <w:rFonts w:ascii="Times New Roman" w:hAnsi="Times New Roman" w:eastAsia="仿宋_GB2312"/>
                <w:b/>
                <w:bCs/>
                <w:sz w:val="18"/>
                <w:szCs w:val="18"/>
              </w:rPr>
            </w:pPr>
            <w:r>
              <w:rPr>
                <w:rFonts w:hint="eastAsia" w:ascii="Times New Roman" w:hAnsi="Times New Roman" w:eastAsia="仿宋_GB2312"/>
                <w:b/>
                <w:bCs/>
                <w:sz w:val="18"/>
                <w:szCs w:val="18"/>
              </w:rPr>
              <w:t>若投资者类型属于</w:t>
            </w:r>
            <w:r>
              <w:rPr>
                <w:rFonts w:ascii="Times New Roman" w:hAnsi="Times New Roman" w:eastAsia="仿宋_GB2312"/>
                <w:b/>
                <w:bCs/>
                <w:sz w:val="18"/>
                <w:szCs w:val="18"/>
              </w:rPr>
              <w:t>B</w:t>
            </w:r>
            <w:r>
              <w:rPr>
                <w:rFonts w:hint="eastAsia" w:ascii="Times New Roman" w:hAnsi="Times New Roman" w:eastAsia="仿宋_GB2312"/>
                <w:b/>
                <w:bCs/>
                <w:sz w:val="18"/>
                <w:szCs w:val="18"/>
              </w:rPr>
              <w:t>或</w:t>
            </w:r>
            <w:r>
              <w:rPr>
                <w:rFonts w:ascii="Times New Roman" w:hAnsi="Times New Roman" w:eastAsia="仿宋_GB2312"/>
                <w:b/>
                <w:bCs/>
                <w:sz w:val="18"/>
                <w:szCs w:val="18"/>
              </w:rPr>
              <w:t>D</w:t>
            </w:r>
            <w:r>
              <w:rPr>
                <w:rFonts w:hint="eastAsia" w:ascii="Times New Roman" w:hAnsi="Times New Roman" w:eastAsia="仿宋_GB2312"/>
                <w:b/>
                <w:bCs/>
                <w:sz w:val="18"/>
                <w:szCs w:val="18"/>
              </w:rPr>
              <w:t>，且拟将主要资产投向单一债券的，请打钩确认最终投资者是否为符合基金业协会标准规定的专业投资者。（</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）是</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）否</w:t>
            </w:r>
          </w:p>
          <w:p>
            <w:pPr>
              <w:snapToGrid w:val="0"/>
              <w:spacing w:line="0" w:lineRule="atLeast"/>
              <w:ind w:right="142"/>
              <w:rPr>
                <w:rFonts w:ascii="Times New Roman" w:hAnsi="Times New Roman" w:eastAsia="仿宋_GB2312"/>
                <w:b/>
                <w:bCs/>
                <w:sz w:val="18"/>
                <w:szCs w:val="18"/>
              </w:rPr>
            </w:pPr>
            <w:r>
              <w:rPr>
                <w:rFonts w:ascii="Times New Roman" w:hAnsi="Times New Roman" w:eastAsia="仿宋_GB2312"/>
                <w:b/>
                <w:bCs/>
                <w:sz w:val="18"/>
                <w:szCs w:val="18"/>
              </w:rPr>
              <w:t>6</w:t>
            </w:r>
            <w:r>
              <w:rPr>
                <w:rFonts w:hint="eastAsia" w:ascii="Times New Roman" w:hAnsi="Times New Roman" w:eastAsia="仿宋_GB2312"/>
                <w:b/>
                <w:bCs/>
                <w:sz w:val="18"/>
                <w:szCs w:val="18"/>
              </w:rPr>
              <w:t>、申购人确认：（</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）是</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）否</w:t>
            </w:r>
            <w:r>
              <w:rPr>
                <w:rFonts w:ascii="Times New Roman" w:hAnsi="Times New Roman" w:eastAsia="仿宋_GB2312"/>
                <w:b/>
                <w:bCs/>
                <w:sz w:val="18"/>
                <w:szCs w:val="18"/>
              </w:rPr>
              <w:t xml:space="preserve">  </w:t>
            </w:r>
            <w:r>
              <w:rPr>
                <w:rFonts w:hint="eastAsia" w:ascii="Times New Roman" w:hAnsi="Times New Roman" w:eastAsia="仿宋_GB2312"/>
                <w:b/>
                <w:bCs/>
                <w:sz w:val="18"/>
                <w:szCs w:val="18"/>
              </w:rPr>
              <w:t>属于发行人的董事、监事、高级管理人员、持股比例超过</w:t>
            </w:r>
            <w:r>
              <w:rPr>
                <w:rFonts w:ascii="Times New Roman" w:hAnsi="Times New Roman" w:eastAsia="仿宋_GB2312"/>
                <w:b/>
                <w:bCs/>
                <w:sz w:val="18"/>
                <w:szCs w:val="18"/>
              </w:rPr>
              <w:t>5%</w:t>
            </w:r>
            <w:r>
              <w:rPr>
                <w:rFonts w:hint="eastAsia" w:ascii="Times New Roman" w:hAnsi="Times New Roman" w:eastAsia="仿宋_GB2312"/>
                <w:b/>
                <w:bCs/>
                <w:sz w:val="18"/>
                <w:szCs w:val="18"/>
              </w:rPr>
              <w:t>的股东及其他关联方。</w:t>
            </w:r>
            <w:r>
              <w:rPr>
                <w:rFonts w:ascii="Times New Roman" w:hAnsi="Times New Roman" w:eastAsia="仿宋_GB2312"/>
                <w:b/>
                <w:bCs/>
                <w:sz w:val="18"/>
                <w:szCs w:val="18"/>
              </w:rPr>
              <w:t xml:space="preserve"> </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7</w:t>
            </w:r>
            <w:r>
              <w:rPr>
                <w:rFonts w:hint="eastAsia" w:ascii="Times New Roman" w:hAnsi="Times New Roman" w:eastAsia="仿宋_GB2312"/>
                <w:sz w:val="18"/>
                <w:szCs w:val="18"/>
              </w:rPr>
              <w:t>、申购人承诺遵循独立、客观、诚信的原则进行合理报价，不存在协商报价、故意压低或抬高利率、违反公平竞争、破坏市场秩序等行为。</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8、</w:t>
            </w:r>
            <w:r>
              <w:rPr>
                <w:rFonts w:hint="eastAsia" w:ascii="Times New Roman" w:hAnsi="Times New Roman" w:eastAsia="仿宋_GB2312"/>
                <w:sz w:val="18"/>
                <w:szCs w:val="18"/>
              </w:rPr>
              <w:t>申购人已阅知《债券市场专业投资者风险揭示书》（</w:t>
            </w:r>
            <w:r>
              <w:rPr>
                <w:rFonts w:ascii="Times New Roman" w:hAnsi="Times New Roman" w:eastAsia="仿宋_GB2312"/>
                <w:sz w:val="18"/>
                <w:szCs w:val="18"/>
              </w:rPr>
              <w:t>附件三</w:t>
            </w:r>
            <w:r>
              <w:rPr>
                <w:rFonts w:hint="eastAsia" w:ascii="Times New Roman" w:hAnsi="Times New Roman" w:eastAsia="仿宋_GB2312"/>
                <w:sz w:val="18"/>
                <w:szCs w:val="18"/>
              </w:rPr>
              <w:t>）并确认已知晓并理解风险揭示书的全部内容；</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9、申购人在此承诺接受发行人与主承销商制定的申购规则；申购人同意主承销商按照申购</w:t>
            </w:r>
            <w:r>
              <w:rPr>
                <w:rFonts w:hint="eastAsia" w:ascii="Times New Roman" w:hAnsi="Times New Roman" w:eastAsia="仿宋_GB2312"/>
                <w:sz w:val="18"/>
                <w:szCs w:val="18"/>
              </w:rPr>
              <w:t>意向函</w:t>
            </w:r>
            <w:r>
              <w:rPr>
                <w:rFonts w:ascii="Times New Roman" w:hAnsi="Times New Roman" w:eastAsia="仿宋_GB2312"/>
                <w:sz w:val="18"/>
                <w:szCs w:val="18"/>
              </w:rPr>
              <w:t>的申购金额最终确定其具体配售金额，并接受主承销商所确定的最终配售结果和相关安排；</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10、申购人理解并接受，如果其获得配售，则有义务按照《配售缴款通知书》规定的时间、金额和方式，将认购款项足额划至簿记管理人指定的划款账户。如果申购人违反此义务，簿记管理人有权处置该违约申购人获配的全部债券，同时，本申购人同意就逾时未划部分按每日万分之五的比例向簿记管理人支付违约金，并赔偿簿记管理人由此遭受的损失；</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11、申购人声明符合相关中国法律法规规定的</w:t>
            </w:r>
            <w:r>
              <w:rPr>
                <w:rFonts w:hint="eastAsia" w:ascii="Times New Roman" w:hAnsi="Times New Roman" w:eastAsia="仿宋_GB2312"/>
                <w:sz w:val="18"/>
                <w:szCs w:val="18"/>
              </w:rPr>
              <w:t>专业</w:t>
            </w:r>
            <w:r>
              <w:rPr>
                <w:rFonts w:ascii="Times New Roman" w:hAnsi="Times New Roman" w:eastAsia="仿宋_GB2312"/>
                <w:sz w:val="18"/>
                <w:szCs w:val="18"/>
              </w:rPr>
              <w:t>机构投资者的资格条件，申购人所做出的投资决策系在审阅发行人的募集说明书及其他各项公开披露文件及进行其他尽职调查的基础上独立做出的判断，并不依赖监管机关做出的批准或任何其他方的尽职调查结论或意见；</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12、申购人理解并接受，如果遇不可抗力、监管者要求或其他可能对本次发行造成重大不利影响的情况，在经与主管机关协商后，发行人及主承销商有权暂停或终止本次发行。</w:t>
            </w:r>
          </w:p>
          <w:p>
            <w:pPr>
              <w:snapToGrid w:val="0"/>
              <w:spacing w:line="0" w:lineRule="atLeast"/>
              <w:ind w:right="142"/>
              <w:rPr>
                <w:rFonts w:ascii="Times New Roman" w:hAnsi="Times New Roman" w:eastAsia="仿宋_GB2312"/>
                <w:sz w:val="18"/>
                <w:szCs w:val="18"/>
              </w:rPr>
            </w:pPr>
            <w:r>
              <w:rPr>
                <w:rFonts w:ascii="Times New Roman" w:hAnsi="Times New Roman" w:eastAsia="仿宋_GB2312"/>
                <w:sz w:val="18"/>
                <w:szCs w:val="18"/>
              </w:rPr>
              <w:t>13</w:t>
            </w:r>
            <w:r>
              <w:rPr>
                <w:rFonts w:hint="eastAsia" w:ascii="Times New Roman" w:hAnsi="Times New Roman" w:eastAsia="仿宋_GB2312"/>
                <w:sz w:val="18"/>
                <w:szCs w:val="18"/>
              </w:rPr>
              <w:t>、申购人承诺遵守行业监管要求，本次各配售对象申购金额不超过其所对应的资产规模和资金规模；申购人承诺本次申购的资金来源符合《中华人民共和国反洗钱法》等相关法律法规的规定。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tcBorders>
              <w:top w:val="single" w:color="auto" w:sz="4" w:space="0"/>
              <w:left w:val="single" w:color="auto" w:sz="4" w:space="0"/>
              <w:bottom w:val="single" w:color="auto" w:sz="4" w:space="0"/>
              <w:right w:val="single" w:color="auto" w:sz="4" w:space="0"/>
            </w:tcBorders>
          </w:tcPr>
          <w:p>
            <w:pPr>
              <w:spacing w:line="0" w:lineRule="atLeast"/>
              <w:ind w:right="140"/>
              <w:rPr>
                <w:rFonts w:ascii="Times New Roman" w:hAnsi="Times New Roman" w:eastAsia="仿宋_GB2312"/>
                <w:b/>
                <w:sz w:val="18"/>
                <w:szCs w:val="18"/>
              </w:rPr>
            </w:pPr>
            <w:r>
              <w:rPr>
                <w:rFonts w:hint="eastAsia" w:ascii="Times New Roman" w:hAnsi="Times New Roman" w:eastAsia="仿宋_GB2312"/>
                <w:b/>
                <w:sz w:val="18"/>
                <w:szCs w:val="18"/>
              </w:rPr>
              <w:t>经办人签字（</w:t>
            </w:r>
            <w:r>
              <w:rPr>
                <w:rFonts w:ascii="Times New Roman" w:hAnsi="Times New Roman" w:eastAsia="仿宋_GB2312"/>
                <w:b/>
                <w:sz w:val="18"/>
                <w:szCs w:val="18"/>
              </w:rPr>
              <w:t>签章）</w:t>
            </w:r>
            <w:r>
              <w:rPr>
                <w:rFonts w:hint="eastAsia" w:ascii="Times New Roman" w:hAnsi="Times New Roman" w:eastAsia="仿宋_GB2312"/>
                <w:b/>
                <w:sz w:val="18"/>
                <w:szCs w:val="18"/>
              </w:rPr>
              <w:t>：</w:t>
            </w:r>
          </w:p>
          <w:p>
            <w:pPr>
              <w:wordWrap w:val="0"/>
              <w:spacing w:line="0" w:lineRule="atLeast"/>
              <w:ind w:right="140"/>
              <w:jc w:val="right"/>
              <w:rPr>
                <w:rFonts w:ascii="Times New Roman" w:hAnsi="Times New Roman" w:eastAsia="仿宋_GB2312"/>
                <w:b/>
                <w:sz w:val="18"/>
                <w:szCs w:val="18"/>
              </w:rPr>
            </w:pPr>
            <w:r>
              <w:rPr>
                <w:rFonts w:hint="eastAsia" w:ascii="Times New Roman" w:hAnsi="Times New Roman" w:eastAsia="仿宋_GB2312"/>
                <w:b/>
                <w:sz w:val="18"/>
                <w:szCs w:val="18"/>
              </w:rPr>
              <w:t>申购机构盖</w:t>
            </w:r>
            <w:r>
              <w:rPr>
                <w:rFonts w:ascii="Times New Roman" w:hAnsi="Times New Roman" w:eastAsia="仿宋_GB2312"/>
                <w:b/>
                <w:sz w:val="18"/>
                <w:szCs w:val="18"/>
              </w:rPr>
              <w:t>章</w:t>
            </w:r>
            <w:r>
              <w:rPr>
                <w:rFonts w:hint="eastAsia" w:ascii="Times New Roman" w:hAnsi="Times New Roman" w:eastAsia="仿宋_GB2312"/>
                <w:b/>
                <w:sz w:val="18"/>
                <w:szCs w:val="18"/>
              </w:rPr>
              <w:t>（</w:t>
            </w:r>
            <w:r>
              <w:rPr>
                <w:rFonts w:ascii="Times New Roman" w:hAnsi="Times New Roman" w:eastAsia="仿宋_GB2312"/>
                <w:b/>
                <w:sz w:val="18"/>
                <w:szCs w:val="18"/>
              </w:rPr>
              <w:t>或经授权的部门</w:t>
            </w:r>
            <w:r>
              <w:rPr>
                <w:rFonts w:hint="eastAsia" w:ascii="Times New Roman" w:hAnsi="Times New Roman" w:eastAsia="仿宋_GB2312"/>
                <w:b/>
                <w:sz w:val="18"/>
                <w:szCs w:val="18"/>
              </w:rPr>
              <w:t>章）</w:t>
            </w:r>
          </w:p>
          <w:p>
            <w:pPr>
              <w:spacing w:line="0" w:lineRule="atLeast"/>
              <w:ind w:right="140"/>
              <w:jc w:val="right"/>
              <w:rPr>
                <w:rFonts w:ascii="Times New Roman" w:hAnsi="Times New Roman" w:eastAsia="仿宋_GB2312"/>
                <w:b/>
                <w:sz w:val="18"/>
                <w:szCs w:val="18"/>
              </w:rPr>
            </w:pPr>
          </w:p>
          <w:p>
            <w:pPr>
              <w:spacing w:line="0" w:lineRule="atLeast"/>
              <w:ind w:right="140"/>
              <w:jc w:val="right"/>
              <w:rPr>
                <w:rFonts w:ascii="Times New Roman" w:hAnsi="Times New Roman" w:eastAsia="仿宋_GB2312"/>
                <w:b/>
                <w:sz w:val="18"/>
                <w:szCs w:val="18"/>
              </w:rPr>
            </w:pPr>
            <w:r>
              <w:rPr>
                <w:rFonts w:hint="eastAsia" w:ascii="Times New Roman" w:hAnsi="Times New Roman" w:eastAsia="仿宋_GB2312"/>
                <w:b/>
                <w:sz w:val="18"/>
                <w:szCs w:val="18"/>
              </w:rPr>
              <w:t>年</w:t>
            </w:r>
            <w:r>
              <w:rPr>
                <w:rFonts w:ascii="Times New Roman" w:hAnsi="Times New Roman" w:eastAsia="仿宋_GB2312"/>
                <w:b/>
                <w:sz w:val="18"/>
                <w:szCs w:val="18"/>
              </w:rPr>
              <w:t xml:space="preserve">   </w:t>
            </w:r>
            <w:r>
              <w:rPr>
                <w:rFonts w:hint="eastAsia" w:ascii="Times New Roman" w:hAnsi="Times New Roman" w:eastAsia="仿宋_GB2312"/>
                <w:b/>
                <w:sz w:val="18"/>
                <w:szCs w:val="18"/>
              </w:rPr>
              <w:t>月</w:t>
            </w:r>
            <w:r>
              <w:rPr>
                <w:rFonts w:ascii="Times New Roman" w:hAnsi="Times New Roman" w:eastAsia="仿宋_GB2312"/>
                <w:b/>
                <w:sz w:val="18"/>
                <w:szCs w:val="18"/>
              </w:rPr>
              <w:t xml:space="preserve">   </w:t>
            </w:r>
            <w:r>
              <w:rPr>
                <w:rFonts w:hint="eastAsia" w:ascii="Times New Roman" w:hAnsi="Times New Roman" w:eastAsia="仿宋_GB2312"/>
                <w:b/>
                <w:sz w:val="18"/>
                <w:szCs w:val="18"/>
              </w:rPr>
              <w:t>日</w:t>
            </w:r>
          </w:p>
        </w:tc>
      </w:tr>
    </w:tbl>
    <w:p>
      <w:pPr>
        <w:spacing w:line="500" w:lineRule="exact"/>
        <w:rPr>
          <w:b/>
          <w:bCs/>
          <w:sz w:val="18"/>
          <w:szCs w:val="18"/>
        </w:rPr>
      </w:pPr>
    </w:p>
    <w:p>
      <w:r>
        <w:br w:type="page"/>
      </w:r>
    </w:p>
    <w:p>
      <w:pPr>
        <w:widowControl/>
        <w:jc w:val="left"/>
        <w:rPr>
          <w:b/>
          <w:bCs/>
          <w:sz w:val="24"/>
          <w:szCs w:val="24"/>
        </w:rPr>
      </w:pPr>
      <w:r>
        <w:rPr>
          <w:rFonts w:hint="eastAsia"/>
          <w:b/>
          <w:bCs/>
          <w:sz w:val="24"/>
          <w:szCs w:val="24"/>
        </w:rPr>
        <w:t>附件二：</w:t>
      </w:r>
    </w:p>
    <w:p>
      <w:pPr>
        <w:spacing w:line="400" w:lineRule="exact"/>
        <w:jc w:val="center"/>
        <w:rPr>
          <w:b/>
          <w:bCs/>
          <w:sz w:val="28"/>
          <w:szCs w:val="28"/>
        </w:rPr>
      </w:pPr>
      <w:r>
        <w:rPr>
          <w:rFonts w:hint="eastAsia"/>
          <w:b/>
          <w:bCs/>
          <w:sz w:val="28"/>
          <w:szCs w:val="28"/>
        </w:rPr>
        <w:t>专业投资者确认函</w:t>
      </w:r>
    </w:p>
    <w:p>
      <w:pPr>
        <w:spacing w:line="400" w:lineRule="exact"/>
        <w:jc w:val="left"/>
        <w:rPr>
          <w:rFonts w:ascii="Times New Roman" w:hAnsi="Times New Roman" w:eastAsia="仿宋_GB2312"/>
          <w:sz w:val="24"/>
          <w:szCs w:val="24"/>
        </w:rPr>
      </w:pPr>
      <w:r>
        <w:rPr>
          <w:rFonts w:hint="eastAsia"/>
          <w:b/>
          <w:bCs/>
          <w:sz w:val="24"/>
          <w:szCs w:val="24"/>
        </w:rPr>
        <w:t>（以下内容不用发送至簿记管理人处，但应被视为本发行方案不可分割的部分，填表前请仔细阅读，并将下方投资者类型前的对应字母填入《</w:t>
      </w:r>
      <w:r>
        <w:rPr>
          <w:rFonts w:hint="eastAsia" w:ascii="Times New Roman" w:hAnsi="Times New Roman" w:eastAsia="仿宋_GB2312"/>
          <w:b/>
          <w:sz w:val="28"/>
          <w:szCs w:val="28"/>
        </w:rPr>
        <w:t>申购意向函</w:t>
      </w:r>
      <w:r>
        <w:rPr>
          <w:rFonts w:hint="eastAsia"/>
          <w:b/>
          <w:bCs/>
          <w:sz w:val="24"/>
          <w:szCs w:val="24"/>
        </w:rPr>
        <w:t>》中）</w:t>
      </w:r>
    </w:p>
    <w:p>
      <w:pPr>
        <w:tabs>
          <w:tab w:val="left" w:pos="360"/>
        </w:tabs>
        <w:autoSpaceDE w:val="0"/>
        <w:autoSpaceDN w:val="0"/>
        <w:adjustRightInd w:val="0"/>
        <w:spacing w:before="60" w:after="60" w:line="288" w:lineRule="auto"/>
        <w:ind w:firstLine="410" w:firstLineChars="171"/>
        <w:jc w:val="left"/>
        <w:rPr>
          <w:kern w:val="0"/>
          <w:sz w:val="24"/>
          <w:szCs w:val="24"/>
        </w:rPr>
      </w:pPr>
      <w:r>
        <w:rPr>
          <w:rFonts w:hint="eastAsia"/>
          <w:kern w:val="0"/>
          <w:sz w:val="24"/>
          <w:szCs w:val="24"/>
        </w:rPr>
        <w:t>根据《公司债券发行与交易管理办法》及《上海证券交易所债券市场投资者适当性管理办法》之规定，请确认本机构的投资者类型，并将下方投资者类型前的对应字母填入《申购意向函》中：</w:t>
      </w:r>
    </w:p>
    <w:p>
      <w:pPr>
        <w:tabs>
          <w:tab w:val="left" w:pos="360"/>
        </w:tabs>
        <w:autoSpaceDE w:val="0"/>
        <w:autoSpaceDN w:val="0"/>
        <w:adjustRightInd w:val="0"/>
        <w:spacing w:before="78" w:after="78" w:line="288" w:lineRule="auto"/>
        <w:ind w:firstLine="412" w:firstLineChars="171"/>
        <w:jc w:val="left"/>
        <w:rPr>
          <w:kern w:val="0"/>
          <w:sz w:val="24"/>
          <w:szCs w:val="24"/>
        </w:rPr>
      </w:pPr>
      <w:r>
        <w:rPr>
          <w:rFonts w:hint="eastAsia"/>
          <w:b/>
          <w:kern w:val="0"/>
          <w:sz w:val="24"/>
          <w:szCs w:val="24"/>
        </w:rPr>
        <w:t>（</w:t>
      </w:r>
      <w:r>
        <w:rPr>
          <w:b/>
          <w:kern w:val="0"/>
          <w:sz w:val="24"/>
          <w:szCs w:val="24"/>
        </w:rPr>
        <w:t>A</w:t>
      </w:r>
      <w:r>
        <w:rPr>
          <w:rFonts w:hint="eastAsia"/>
          <w:b/>
          <w:kern w:val="0"/>
          <w:sz w:val="24"/>
          <w:szCs w:val="24"/>
        </w:rPr>
        <w:t>）经有关金融监管部门批准设立的金融机构，</w:t>
      </w:r>
      <w:r>
        <w:rPr>
          <w:rFonts w:hint="eastAsia"/>
          <w:kern w:val="0"/>
          <w:sz w:val="24"/>
          <w:szCs w:val="24"/>
        </w:rPr>
        <w:t>包括证券公司、期货公司、基金管理公司及其子公司、商业银行、保险公司、信托公司、财务公司等；经行业协会备案或者登记的证券公司子公司、期货公司子公司、私募基金管理人；</w:t>
      </w:r>
    </w:p>
    <w:p>
      <w:pPr>
        <w:tabs>
          <w:tab w:val="left" w:pos="360"/>
        </w:tabs>
        <w:autoSpaceDE w:val="0"/>
        <w:autoSpaceDN w:val="0"/>
        <w:adjustRightInd w:val="0"/>
        <w:spacing w:before="78" w:after="78" w:line="288" w:lineRule="auto"/>
        <w:ind w:firstLine="412" w:firstLineChars="171"/>
        <w:jc w:val="left"/>
        <w:rPr>
          <w:kern w:val="0"/>
          <w:sz w:val="24"/>
          <w:szCs w:val="24"/>
        </w:rPr>
      </w:pPr>
      <w:r>
        <w:rPr>
          <w:rFonts w:hint="eastAsia"/>
          <w:b/>
          <w:kern w:val="0"/>
          <w:sz w:val="24"/>
          <w:szCs w:val="24"/>
        </w:rPr>
        <w:t>（</w:t>
      </w:r>
      <w:r>
        <w:rPr>
          <w:b/>
          <w:kern w:val="0"/>
          <w:sz w:val="24"/>
          <w:szCs w:val="24"/>
        </w:rPr>
        <w:t>B</w:t>
      </w:r>
      <w:r>
        <w:rPr>
          <w:rFonts w:hint="eastAsia"/>
          <w:b/>
          <w:kern w:val="0"/>
          <w:sz w:val="24"/>
          <w:szCs w:val="24"/>
        </w:rPr>
        <w:t>）上述机构面向投资者发行的理财产品，</w:t>
      </w:r>
      <w:r>
        <w:rPr>
          <w:rFonts w:hint="eastAsia"/>
          <w:kern w:val="0"/>
          <w:sz w:val="24"/>
          <w:szCs w:val="24"/>
        </w:rPr>
        <w:t>包括但不限于证券公司资产管理产品、基金管理公司及其子公司产品、期货公司资产管理产品、银行理财产品、保险产品、信托产品、经行业协会备案的私募基金；</w:t>
      </w:r>
      <w:r>
        <w:rPr>
          <w:rFonts w:hint="eastAsia"/>
          <w:b/>
          <w:kern w:val="0"/>
          <w:sz w:val="24"/>
          <w:szCs w:val="24"/>
        </w:rPr>
        <w:t>（如拟将主要资产投向单一债券，请同时阅读下方备注项）</w:t>
      </w:r>
    </w:p>
    <w:p>
      <w:pPr>
        <w:tabs>
          <w:tab w:val="left" w:pos="360"/>
        </w:tabs>
        <w:autoSpaceDE w:val="0"/>
        <w:autoSpaceDN w:val="0"/>
        <w:adjustRightInd w:val="0"/>
        <w:spacing w:before="78" w:after="78" w:line="288" w:lineRule="auto"/>
        <w:ind w:firstLine="412" w:firstLineChars="171"/>
        <w:jc w:val="left"/>
        <w:rPr>
          <w:kern w:val="0"/>
          <w:sz w:val="24"/>
          <w:szCs w:val="24"/>
        </w:rPr>
      </w:pPr>
      <w:r>
        <w:rPr>
          <w:rFonts w:hint="eastAsia"/>
          <w:b/>
          <w:kern w:val="0"/>
          <w:sz w:val="24"/>
          <w:szCs w:val="24"/>
        </w:rPr>
        <w:t>（</w:t>
      </w:r>
      <w:r>
        <w:rPr>
          <w:b/>
          <w:kern w:val="0"/>
          <w:sz w:val="24"/>
          <w:szCs w:val="24"/>
        </w:rPr>
        <w:t>C</w:t>
      </w:r>
      <w:r>
        <w:rPr>
          <w:rFonts w:hint="eastAsia"/>
          <w:b/>
          <w:kern w:val="0"/>
          <w:sz w:val="24"/>
          <w:szCs w:val="24"/>
        </w:rPr>
        <w:t>）社会保障基金、企业年金等养老基金，慈善基金等社会公益基金，合格境外机构投资者（</w:t>
      </w:r>
      <w:r>
        <w:rPr>
          <w:b/>
          <w:kern w:val="0"/>
          <w:sz w:val="24"/>
          <w:szCs w:val="24"/>
        </w:rPr>
        <w:t>QFII</w:t>
      </w:r>
      <w:r>
        <w:rPr>
          <w:rFonts w:hint="eastAsia"/>
          <w:b/>
          <w:kern w:val="0"/>
          <w:sz w:val="24"/>
          <w:szCs w:val="24"/>
        </w:rPr>
        <w:t>）、人民币合格境外机构投资者（</w:t>
      </w:r>
      <w:r>
        <w:rPr>
          <w:b/>
          <w:kern w:val="0"/>
          <w:sz w:val="24"/>
          <w:szCs w:val="24"/>
        </w:rPr>
        <w:t>RQFII</w:t>
      </w:r>
      <w:r>
        <w:rPr>
          <w:rFonts w:hint="eastAsia"/>
          <w:b/>
          <w:kern w:val="0"/>
          <w:sz w:val="24"/>
          <w:szCs w:val="24"/>
        </w:rPr>
        <w:t>）；</w:t>
      </w:r>
    </w:p>
    <w:p>
      <w:pPr>
        <w:tabs>
          <w:tab w:val="left" w:pos="360"/>
        </w:tabs>
        <w:autoSpaceDE w:val="0"/>
        <w:autoSpaceDN w:val="0"/>
        <w:adjustRightInd w:val="0"/>
        <w:spacing w:before="78" w:after="78" w:line="288" w:lineRule="auto"/>
        <w:ind w:firstLine="412" w:firstLineChars="171"/>
        <w:jc w:val="left"/>
        <w:rPr>
          <w:b/>
          <w:kern w:val="0"/>
          <w:sz w:val="24"/>
          <w:szCs w:val="24"/>
        </w:rPr>
      </w:pPr>
      <w:r>
        <w:rPr>
          <w:rFonts w:hint="eastAsia"/>
          <w:b/>
          <w:kern w:val="0"/>
          <w:sz w:val="24"/>
          <w:szCs w:val="24"/>
        </w:rPr>
        <w:t>（</w:t>
      </w:r>
      <w:r>
        <w:rPr>
          <w:b/>
          <w:kern w:val="0"/>
          <w:sz w:val="24"/>
          <w:szCs w:val="24"/>
        </w:rPr>
        <w:t>D</w:t>
      </w:r>
      <w:r>
        <w:rPr>
          <w:rFonts w:hint="eastAsia"/>
          <w:b/>
          <w:kern w:val="0"/>
          <w:sz w:val="24"/>
          <w:szCs w:val="24"/>
        </w:rPr>
        <w:t>）同时符合下列条件的法人或者其他组织：</w:t>
      </w:r>
    </w:p>
    <w:p>
      <w:pPr>
        <w:tabs>
          <w:tab w:val="left" w:pos="360"/>
        </w:tabs>
        <w:autoSpaceDE w:val="0"/>
        <w:autoSpaceDN w:val="0"/>
        <w:adjustRightInd w:val="0"/>
        <w:spacing w:before="78" w:after="78" w:line="288" w:lineRule="auto"/>
        <w:ind w:firstLine="410" w:firstLineChars="171"/>
        <w:jc w:val="left"/>
        <w:rPr>
          <w:kern w:val="0"/>
          <w:sz w:val="24"/>
          <w:szCs w:val="24"/>
        </w:rPr>
      </w:pPr>
      <w:r>
        <w:rPr>
          <w:kern w:val="0"/>
          <w:sz w:val="24"/>
          <w:szCs w:val="24"/>
        </w:rPr>
        <w:t>1</w:t>
      </w:r>
      <w:r>
        <w:rPr>
          <w:rFonts w:hint="eastAsia"/>
          <w:kern w:val="0"/>
          <w:sz w:val="24"/>
          <w:szCs w:val="24"/>
        </w:rPr>
        <w:t>、最近</w:t>
      </w:r>
      <w:r>
        <w:rPr>
          <w:kern w:val="0"/>
          <w:sz w:val="24"/>
          <w:szCs w:val="24"/>
        </w:rPr>
        <w:t>1</w:t>
      </w:r>
      <w:r>
        <w:rPr>
          <w:rFonts w:hint="eastAsia"/>
          <w:kern w:val="0"/>
          <w:sz w:val="24"/>
          <w:szCs w:val="24"/>
        </w:rPr>
        <w:t>年末净资产不低于</w:t>
      </w:r>
      <w:r>
        <w:rPr>
          <w:kern w:val="0"/>
          <w:sz w:val="24"/>
          <w:szCs w:val="24"/>
        </w:rPr>
        <w:t>2,000</w:t>
      </w:r>
      <w:r>
        <w:rPr>
          <w:rFonts w:hint="eastAsia"/>
          <w:kern w:val="0"/>
          <w:sz w:val="24"/>
          <w:szCs w:val="24"/>
        </w:rPr>
        <w:t>万元；</w:t>
      </w:r>
    </w:p>
    <w:p>
      <w:pPr>
        <w:tabs>
          <w:tab w:val="left" w:pos="360"/>
        </w:tabs>
        <w:autoSpaceDE w:val="0"/>
        <w:autoSpaceDN w:val="0"/>
        <w:adjustRightInd w:val="0"/>
        <w:spacing w:before="78" w:after="78" w:line="288" w:lineRule="auto"/>
        <w:ind w:firstLine="410" w:firstLineChars="171"/>
        <w:jc w:val="left"/>
        <w:rPr>
          <w:kern w:val="0"/>
          <w:sz w:val="24"/>
          <w:szCs w:val="24"/>
        </w:rPr>
      </w:pPr>
      <w:r>
        <w:rPr>
          <w:kern w:val="0"/>
          <w:sz w:val="24"/>
          <w:szCs w:val="24"/>
        </w:rPr>
        <w:t>2</w:t>
      </w:r>
      <w:r>
        <w:rPr>
          <w:rFonts w:hint="eastAsia"/>
          <w:kern w:val="0"/>
          <w:sz w:val="24"/>
          <w:szCs w:val="24"/>
        </w:rPr>
        <w:t>、最近</w:t>
      </w:r>
      <w:r>
        <w:rPr>
          <w:kern w:val="0"/>
          <w:sz w:val="24"/>
          <w:szCs w:val="24"/>
        </w:rPr>
        <w:t>1</w:t>
      </w:r>
      <w:r>
        <w:rPr>
          <w:rFonts w:hint="eastAsia"/>
          <w:kern w:val="0"/>
          <w:sz w:val="24"/>
          <w:szCs w:val="24"/>
        </w:rPr>
        <w:t>年末金融资产不低于</w:t>
      </w:r>
      <w:r>
        <w:rPr>
          <w:kern w:val="0"/>
          <w:sz w:val="24"/>
          <w:szCs w:val="24"/>
        </w:rPr>
        <w:t>1,000</w:t>
      </w:r>
      <w:r>
        <w:rPr>
          <w:rFonts w:hint="eastAsia"/>
          <w:kern w:val="0"/>
          <w:sz w:val="24"/>
          <w:szCs w:val="24"/>
        </w:rPr>
        <w:t>万元；</w:t>
      </w:r>
    </w:p>
    <w:p>
      <w:pPr>
        <w:tabs>
          <w:tab w:val="left" w:pos="360"/>
        </w:tabs>
        <w:autoSpaceDE w:val="0"/>
        <w:autoSpaceDN w:val="0"/>
        <w:adjustRightInd w:val="0"/>
        <w:spacing w:before="78" w:after="78" w:line="288" w:lineRule="auto"/>
        <w:ind w:firstLine="410" w:firstLineChars="171"/>
        <w:jc w:val="left"/>
        <w:rPr>
          <w:kern w:val="0"/>
          <w:sz w:val="24"/>
          <w:szCs w:val="24"/>
        </w:rPr>
      </w:pPr>
      <w:r>
        <w:rPr>
          <w:kern w:val="0"/>
          <w:sz w:val="24"/>
          <w:szCs w:val="24"/>
        </w:rPr>
        <w:t>3</w:t>
      </w:r>
      <w:r>
        <w:rPr>
          <w:rFonts w:hint="eastAsia"/>
          <w:kern w:val="0"/>
          <w:sz w:val="24"/>
          <w:szCs w:val="24"/>
        </w:rPr>
        <w:t>、具有</w:t>
      </w:r>
      <w:r>
        <w:rPr>
          <w:kern w:val="0"/>
          <w:sz w:val="24"/>
          <w:szCs w:val="24"/>
        </w:rPr>
        <w:t>2</w:t>
      </w:r>
      <w:r>
        <w:rPr>
          <w:rFonts w:hint="eastAsia"/>
          <w:kern w:val="0"/>
          <w:sz w:val="24"/>
          <w:szCs w:val="24"/>
        </w:rPr>
        <w:t>年以上证券、基金、期货、黄金、外汇等投资经历；</w:t>
      </w:r>
      <w:r>
        <w:rPr>
          <w:rFonts w:hint="eastAsia"/>
          <w:b/>
          <w:kern w:val="0"/>
          <w:sz w:val="24"/>
          <w:szCs w:val="24"/>
        </w:rPr>
        <w:t>（如为合伙企业拟将主要资产投向单一债券，请同时阅读下方备注项）</w:t>
      </w:r>
    </w:p>
    <w:p>
      <w:pPr>
        <w:tabs>
          <w:tab w:val="left" w:pos="360"/>
        </w:tabs>
        <w:autoSpaceDE w:val="0"/>
        <w:autoSpaceDN w:val="0"/>
        <w:adjustRightInd w:val="0"/>
        <w:spacing w:before="78" w:after="78" w:line="288" w:lineRule="auto"/>
        <w:ind w:firstLine="412" w:firstLineChars="171"/>
        <w:jc w:val="left"/>
        <w:rPr>
          <w:kern w:val="0"/>
          <w:sz w:val="24"/>
          <w:szCs w:val="24"/>
        </w:rPr>
      </w:pPr>
      <w:r>
        <w:rPr>
          <w:rFonts w:hint="eastAsia"/>
          <w:b/>
          <w:kern w:val="0"/>
          <w:sz w:val="24"/>
          <w:szCs w:val="24"/>
        </w:rPr>
        <w:t>（</w:t>
      </w:r>
      <w:r>
        <w:rPr>
          <w:b/>
          <w:kern w:val="0"/>
          <w:sz w:val="24"/>
          <w:szCs w:val="24"/>
        </w:rPr>
        <w:t>E</w:t>
      </w:r>
      <w:r>
        <w:rPr>
          <w:rFonts w:hint="eastAsia"/>
          <w:b/>
          <w:kern w:val="0"/>
          <w:sz w:val="24"/>
          <w:szCs w:val="24"/>
        </w:rPr>
        <w:t>）中国证监会认可的其他专业投资者。</w:t>
      </w:r>
      <w:r>
        <w:rPr>
          <w:rFonts w:hint="eastAsia"/>
          <w:kern w:val="0"/>
          <w:sz w:val="24"/>
          <w:szCs w:val="24"/>
        </w:rPr>
        <w:t>请说明具体类型并附上相关证明文件（如有）。</w:t>
      </w:r>
    </w:p>
    <w:p>
      <w:pPr>
        <w:tabs>
          <w:tab w:val="left" w:pos="360"/>
        </w:tabs>
        <w:autoSpaceDE w:val="0"/>
        <w:autoSpaceDN w:val="0"/>
        <w:adjustRightInd w:val="0"/>
        <w:spacing w:before="78" w:after="78" w:line="288" w:lineRule="auto"/>
        <w:ind w:firstLine="410" w:firstLineChars="171"/>
        <w:jc w:val="left"/>
        <w:rPr>
          <w:kern w:val="0"/>
          <w:sz w:val="24"/>
          <w:szCs w:val="24"/>
        </w:rPr>
      </w:pPr>
    </w:p>
    <w:p>
      <w:pPr>
        <w:widowControl/>
        <w:spacing w:before="60" w:after="60"/>
        <w:jc w:val="left"/>
        <w:rPr>
          <w:b/>
          <w:kern w:val="0"/>
          <w:sz w:val="24"/>
          <w:szCs w:val="24"/>
        </w:rPr>
      </w:pPr>
      <w:r>
        <w:rPr>
          <w:rFonts w:hint="eastAsia"/>
          <w:b/>
          <w:kern w:val="0"/>
          <w:sz w:val="24"/>
          <w:szCs w:val="24"/>
        </w:rPr>
        <w:t>备注：如为以上</w:t>
      </w:r>
      <w:r>
        <w:rPr>
          <w:b/>
          <w:kern w:val="0"/>
          <w:sz w:val="24"/>
          <w:szCs w:val="24"/>
        </w:rPr>
        <w:t>B</w:t>
      </w:r>
      <w:r>
        <w:rPr>
          <w:rFonts w:hint="eastAsia"/>
          <w:b/>
          <w:kern w:val="0"/>
          <w:sz w:val="24"/>
          <w:szCs w:val="24"/>
        </w:rPr>
        <w:t>或</w:t>
      </w:r>
      <w:r>
        <w:rPr>
          <w:b/>
          <w:kern w:val="0"/>
          <w:sz w:val="24"/>
          <w:szCs w:val="24"/>
        </w:rPr>
        <w:t>D</w:t>
      </w:r>
      <w:r>
        <w:rPr>
          <w:rFonts w:hint="eastAsia"/>
          <w:b/>
          <w:kern w:val="0"/>
          <w:sz w:val="24"/>
          <w:szCs w:val="24"/>
        </w:rPr>
        <w:t>类投资者，且拟将主要资产投向单一债券，根据穿透原则（《公司债券发行与交易管理办法》规定）核查最终投资者是否为符合基金业协会标准规定的专业投资者，并在《申购意向函》中勾选相应栏位。</w:t>
      </w:r>
    </w:p>
    <w:p>
      <w:pPr>
        <w:widowControl/>
        <w:jc w:val="left"/>
        <w:rPr>
          <w:b/>
          <w:kern w:val="0"/>
          <w:sz w:val="18"/>
          <w:szCs w:val="18"/>
        </w:rPr>
      </w:pPr>
    </w:p>
    <w:p>
      <w:pPr>
        <w:widowControl/>
        <w:jc w:val="left"/>
        <w:rPr>
          <w:b/>
          <w:bCs/>
          <w:sz w:val="24"/>
          <w:szCs w:val="24"/>
        </w:rPr>
      </w:pPr>
      <w:r>
        <w:rPr>
          <w:b/>
          <w:bCs/>
          <w:sz w:val="24"/>
          <w:szCs w:val="24"/>
        </w:rPr>
        <w:br w:type="page"/>
      </w:r>
    </w:p>
    <w:p>
      <w:pPr>
        <w:widowControl/>
        <w:spacing w:before="60" w:after="60"/>
        <w:jc w:val="left"/>
        <w:rPr>
          <w:b/>
          <w:bCs/>
          <w:sz w:val="24"/>
          <w:szCs w:val="24"/>
        </w:rPr>
      </w:pPr>
      <w:r>
        <w:rPr>
          <w:rFonts w:hint="eastAsia"/>
          <w:b/>
          <w:bCs/>
          <w:sz w:val="24"/>
          <w:szCs w:val="24"/>
        </w:rPr>
        <w:t>附件三：</w:t>
      </w:r>
    </w:p>
    <w:p>
      <w:pPr>
        <w:widowControl/>
        <w:spacing w:before="60" w:after="60"/>
        <w:jc w:val="center"/>
        <w:rPr>
          <w:b/>
          <w:bCs/>
          <w:sz w:val="28"/>
          <w:szCs w:val="28"/>
        </w:rPr>
      </w:pPr>
      <w:r>
        <w:rPr>
          <w:rFonts w:hint="eastAsia"/>
          <w:b/>
          <w:bCs/>
          <w:sz w:val="28"/>
          <w:szCs w:val="28"/>
        </w:rPr>
        <w:t>债券市场专业投资者风险揭示书</w:t>
      </w:r>
    </w:p>
    <w:p>
      <w:pPr>
        <w:widowControl/>
        <w:spacing w:before="60" w:after="60"/>
        <w:jc w:val="left"/>
        <w:rPr>
          <w:b/>
          <w:bCs/>
          <w:sz w:val="24"/>
          <w:szCs w:val="24"/>
        </w:rPr>
      </w:pPr>
      <w:r>
        <w:rPr>
          <w:rFonts w:hint="eastAsia"/>
          <w:b/>
          <w:bCs/>
          <w:sz w:val="24"/>
          <w:szCs w:val="24"/>
        </w:rPr>
        <w:t>（以下内容不用发送至簿记管理人处，但应被视为本次</w:t>
      </w:r>
      <w:r>
        <w:rPr>
          <w:b/>
          <w:bCs/>
          <w:sz w:val="24"/>
          <w:szCs w:val="24"/>
        </w:rPr>
        <w:t>发行方案</w:t>
      </w:r>
      <w:r>
        <w:rPr>
          <w:rFonts w:hint="eastAsia"/>
          <w:b/>
          <w:bCs/>
          <w:sz w:val="24"/>
          <w:szCs w:val="24"/>
        </w:rPr>
        <w:t>不可分割的部分，填表前请仔细阅读）</w:t>
      </w:r>
    </w:p>
    <w:p>
      <w:pPr>
        <w:widowControl/>
        <w:spacing w:before="60" w:after="60"/>
        <w:ind w:firstLine="361"/>
        <w:jc w:val="left"/>
        <w:rPr>
          <w:b/>
          <w:bCs/>
          <w:sz w:val="18"/>
          <w:szCs w:val="18"/>
        </w:rPr>
      </w:pPr>
    </w:p>
    <w:p>
      <w:pPr>
        <w:tabs>
          <w:tab w:val="left" w:pos="360"/>
        </w:tabs>
        <w:autoSpaceDE w:val="0"/>
        <w:autoSpaceDN w:val="0"/>
        <w:adjustRightInd w:val="0"/>
        <w:spacing w:before="124" w:beforeLines="40" w:after="60"/>
        <w:ind w:firstLine="360"/>
        <w:jc w:val="left"/>
        <w:rPr>
          <w:kern w:val="0"/>
          <w:sz w:val="24"/>
          <w:szCs w:val="24"/>
        </w:rPr>
      </w:pPr>
      <w:r>
        <w:rPr>
          <w:rFonts w:hint="eastAsia"/>
          <w:kern w:val="0"/>
          <w:sz w:val="24"/>
          <w:szCs w:val="24"/>
        </w:rPr>
        <w:t>尊敬的投资者：</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为使贵公司更好地了解投资公司债券的相关风险，根据交易所关于债券市场投资者适当性管理的有关规定，本公司特为您（贵公司）提供此份风险揭示书，请认真详细阅读，关注以下风险。</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贵公司在参与公司债券的认购和交易前，应当仔细核对自身是否具备专业投资者资格，充分了解公司债券的特点及风险，审慎评估自身的经济状况和财务能力，考虑是否适合参与。具体包括：</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一、债券投资具有信用风险、市场风险、流动性风险、放大交易风险、标准券欠库风险、政策风险及其他各类风险。</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二、投资者应当根据自身的财务状况、实际需求、风险承受能力，以及内部制度（若为机构），审慎决定参与债券认购和交易。</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三、债券发行人无法按期还本付息的风险。如果投资者购买或持有资信评级较低或无资信评级的信用债，将面临显著的信用风险。</w:t>
      </w:r>
    </w:p>
    <w:p>
      <w:pPr>
        <w:tabs>
          <w:tab w:val="left" w:pos="360"/>
          <w:tab w:val="left" w:pos="744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四、由于市场环境或供求关系等因素导致的债券价格波动的风险。</w:t>
      </w:r>
      <w:r>
        <w:rPr>
          <w:kern w:val="0"/>
          <w:sz w:val="24"/>
          <w:szCs w:val="24"/>
        </w:rPr>
        <w:tab/>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五、投资者在短期内无法以合理价格买入或卖出债券，从而遭受损失的风险。</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六、投资者利用现券和回购两个品种进行债券投资的放大操作，从而放大投资损失的风险。</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七、投资者在回购期间需要保证回购标准券足额。如果回购期间债券价格下跌，标准券折算率相应下调，融资方面临标准券欠库风险。融资方需要及时补充质押券避免标准券不足。</w:t>
      </w:r>
    </w:p>
    <w:p>
      <w:pPr>
        <w:tabs>
          <w:tab w:val="left" w:pos="360"/>
        </w:tabs>
        <w:autoSpaceDE w:val="0"/>
        <w:autoSpaceDN w:val="0"/>
        <w:adjustRightInd w:val="0"/>
        <w:spacing w:before="124" w:beforeLines="40" w:after="60"/>
        <w:ind w:firstLine="410" w:firstLineChars="171"/>
        <w:jc w:val="left"/>
        <w:rPr>
          <w:kern w:val="0"/>
          <w:sz w:val="24"/>
          <w:szCs w:val="24"/>
        </w:rPr>
      </w:pPr>
      <w:r>
        <w:rPr>
          <w:rFonts w:hint="eastAsia"/>
          <w:kern w:val="0"/>
          <w:sz w:val="24"/>
          <w:szCs w:val="24"/>
        </w:rPr>
        <w:t>八、由于国家法律、法规、政策、交易所规则的变化、修改等原因，可能会对投资者的交易产生不利影响，甚至造成经济损失。</w:t>
      </w:r>
    </w:p>
    <w:p>
      <w:pPr>
        <w:tabs>
          <w:tab w:val="left" w:pos="360"/>
        </w:tabs>
        <w:autoSpaceDE w:val="0"/>
        <w:autoSpaceDN w:val="0"/>
        <w:adjustRightInd w:val="0"/>
        <w:spacing w:before="124" w:beforeLines="40" w:after="60"/>
        <w:ind w:firstLine="410" w:firstLineChars="171"/>
        <w:jc w:val="left"/>
        <w:rPr>
          <w:kern w:val="0"/>
          <w:sz w:val="24"/>
          <w:szCs w:val="24"/>
        </w:rPr>
      </w:pPr>
    </w:p>
    <w:p>
      <w:pPr>
        <w:widowControl/>
        <w:spacing w:before="60" w:after="60"/>
        <w:ind w:firstLine="360"/>
        <w:jc w:val="left"/>
        <w:rPr>
          <w:kern w:val="0"/>
          <w:sz w:val="24"/>
          <w:szCs w:val="24"/>
        </w:rPr>
      </w:pPr>
      <w:r>
        <w:rPr>
          <w:rFonts w:hint="eastAsia"/>
          <w:kern w:val="0"/>
          <w:sz w:val="24"/>
          <w:szCs w:val="24"/>
        </w:rPr>
        <w:t>特别提示：</w:t>
      </w:r>
    </w:p>
    <w:p>
      <w:pPr>
        <w:tabs>
          <w:tab w:val="left" w:pos="360"/>
        </w:tabs>
        <w:autoSpaceDE w:val="0"/>
        <w:autoSpaceDN w:val="0"/>
        <w:adjustRightInd w:val="0"/>
        <w:spacing w:before="124" w:beforeLines="40" w:after="60"/>
        <w:ind w:firstLine="412" w:firstLineChars="171"/>
        <w:jc w:val="left"/>
        <w:rPr>
          <w:kern w:val="0"/>
          <w:sz w:val="24"/>
          <w:szCs w:val="24"/>
        </w:rPr>
      </w:pPr>
      <w:r>
        <w:rPr>
          <w:rFonts w:hint="eastAsia"/>
          <w:b/>
          <w:kern w:val="0"/>
          <w:sz w:val="24"/>
          <w:szCs w:val="24"/>
        </w:rPr>
        <w:t>本《风险揭示书》的提示事项仅为列举性质，未能详尽列明债券认购和交易的所有风险。贵公司在参与债券认购和交易前，应认真阅读本风险揭示书、债券募集说明书以及交易所相关业务规则，确认已知晓并理解风险揭示书的全部内容，并做好风险评估与财务安排，确定自身有足够的风险承受能力，并自行承担参与认购和交易的相应风险，避免因参与债券认购和交易而遭受难以承受的损失</w:t>
      </w:r>
      <w:r>
        <w:rPr>
          <w:rFonts w:hint="eastAsia"/>
          <w:kern w:val="0"/>
          <w:sz w:val="24"/>
          <w:szCs w:val="24"/>
        </w:rPr>
        <w:t>。</w:t>
      </w:r>
    </w:p>
    <w:p>
      <w:pPr>
        <w:widowControl/>
        <w:jc w:val="left"/>
        <w:rPr>
          <w:b/>
          <w:kern w:val="0"/>
          <w:sz w:val="24"/>
          <w:szCs w:val="24"/>
        </w:rPr>
      </w:pPr>
      <w:r>
        <w:rPr>
          <w:b/>
          <w:kern w:val="0"/>
          <w:sz w:val="24"/>
          <w:szCs w:val="24"/>
        </w:rPr>
        <w:br w:type="page"/>
      </w:r>
    </w:p>
    <w:p>
      <w:pPr>
        <w:widowControl/>
        <w:jc w:val="left"/>
        <w:rPr>
          <w:b/>
          <w:kern w:val="0"/>
          <w:sz w:val="24"/>
          <w:szCs w:val="24"/>
        </w:rPr>
      </w:pPr>
      <w:r>
        <w:rPr>
          <w:rFonts w:hint="eastAsia"/>
          <w:b/>
          <w:kern w:val="0"/>
          <w:sz w:val="24"/>
          <w:szCs w:val="24"/>
        </w:rPr>
        <w:t>附件</w:t>
      </w:r>
      <w:r>
        <w:rPr>
          <w:b/>
          <w:kern w:val="0"/>
          <w:sz w:val="24"/>
          <w:szCs w:val="24"/>
        </w:rPr>
        <w:t>四</w:t>
      </w:r>
    </w:p>
    <w:p>
      <w:pPr>
        <w:widowControl/>
        <w:jc w:val="left"/>
        <w:rPr>
          <w:b/>
          <w:kern w:val="0"/>
          <w:sz w:val="24"/>
          <w:szCs w:val="24"/>
        </w:rPr>
      </w:pPr>
    </w:p>
    <w:p>
      <w:pPr>
        <w:autoSpaceDE w:val="0"/>
        <w:autoSpaceDN w:val="0"/>
        <w:adjustRightInd w:val="0"/>
        <w:spacing w:line="276" w:lineRule="auto"/>
        <w:jc w:val="left"/>
        <w:rPr>
          <w:rFonts w:ascii="仿宋_GB2312" w:eastAsia="仿宋_GB2312" w:cs="仿宋_GB2312"/>
          <w:b/>
          <w:kern w:val="0"/>
          <w:sz w:val="24"/>
          <w:szCs w:val="24"/>
        </w:rPr>
      </w:pPr>
      <w:r>
        <w:rPr>
          <w:rFonts w:hint="eastAsia" w:ascii="仿宋_GB2312" w:eastAsia="仿宋_GB2312" w:cs="仿宋_GB2312"/>
          <w:b/>
          <w:kern w:val="0"/>
          <w:sz w:val="24"/>
          <w:szCs w:val="24"/>
        </w:rPr>
        <w:t>声明及提示：以下示例中的利率和金额均为虚设，不含有任何暗示，请投资者</w:t>
      </w:r>
    </w:p>
    <w:p>
      <w:pPr>
        <w:autoSpaceDE w:val="0"/>
        <w:autoSpaceDN w:val="0"/>
        <w:adjustRightInd w:val="0"/>
        <w:spacing w:line="276" w:lineRule="auto"/>
        <w:jc w:val="left"/>
        <w:rPr>
          <w:rFonts w:ascii="仿宋_GB2312" w:eastAsia="仿宋_GB2312" w:cs="仿宋_GB2312"/>
          <w:b/>
          <w:kern w:val="0"/>
          <w:sz w:val="24"/>
          <w:szCs w:val="24"/>
        </w:rPr>
      </w:pPr>
      <w:r>
        <w:rPr>
          <w:rFonts w:hint="eastAsia" w:ascii="仿宋_GB2312" w:eastAsia="仿宋_GB2312" w:cs="仿宋_GB2312"/>
          <w:b/>
          <w:kern w:val="0"/>
          <w:sz w:val="24"/>
          <w:szCs w:val="24"/>
        </w:rPr>
        <w:t>根据自己的判断填写。投资者向簿记室提交申购意向函时不必传真本填报说明。</w:t>
      </w:r>
    </w:p>
    <w:p>
      <w:pPr>
        <w:widowControl/>
        <w:spacing w:line="276" w:lineRule="auto"/>
        <w:jc w:val="center"/>
        <w:rPr>
          <w:b/>
          <w:kern w:val="0"/>
          <w:sz w:val="28"/>
          <w:szCs w:val="28"/>
        </w:rPr>
      </w:pPr>
      <w:r>
        <w:rPr>
          <w:rFonts w:hint="eastAsia"/>
          <w:b/>
          <w:kern w:val="0"/>
          <w:sz w:val="28"/>
          <w:szCs w:val="28"/>
        </w:rPr>
        <w:t>2022年新沂经济开发区建设发展有限公司公司债券</w:t>
      </w:r>
      <w:r>
        <w:rPr>
          <w:b/>
          <w:kern w:val="0"/>
          <w:sz w:val="28"/>
          <w:szCs w:val="28"/>
        </w:rPr>
        <w:t>填</w:t>
      </w:r>
      <w:r>
        <w:rPr>
          <w:rFonts w:hint="eastAsia"/>
          <w:b/>
          <w:kern w:val="0"/>
          <w:sz w:val="28"/>
          <w:szCs w:val="28"/>
        </w:rPr>
        <w:t>报</w:t>
      </w:r>
      <w:r>
        <w:rPr>
          <w:b/>
          <w:kern w:val="0"/>
          <w:sz w:val="28"/>
          <w:szCs w:val="28"/>
        </w:rPr>
        <w:t>说明</w:t>
      </w:r>
    </w:p>
    <w:p>
      <w:pPr>
        <w:autoSpaceDE w:val="0"/>
        <w:autoSpaceDN w:val="0"/>
        <w:adjustRightInd w:val="0"/>
        <w:spacing w:line="276" w:lineRule="auto"/>
        <w:jc w:val="left"/>
        <w:rPr>
          <w:rFonts w:ascii="仿宋_GB2312" w:eastAsia="仿宋_GB2312" w:cs="仿宋_GB2312"/>
          <w:kern w:val="0"/>
          <w:sz w:val="24"/>
          <w:szCs w:val="24"/>
        </w:rPr>
      </w:pPr>
      <w:r>
        <w:rPr>
          <w:rFonts w:hint="eastAsia" w:ascii="仿宋_GB2312" w:eastAsia="仿宋_GB2312" w:cs="仿宋_GB2312"/>
          <w:kern w:val="0"/>
          <w:sz w:val="24"/>
          <w:szCs w:val="24"/>
        </w:rPr>
        <w:t>填报说明</w:t>
      </w:r>
    </w:p>
    <w:p>
      <w:pPr>
        <w:autoSpaceDE w:val="0"/>
        <w:autoSpaceDN w:val="0"/>
        <w:adjustRightInd w:val="0"/>
        <w:spacing w:line="276" w:lineRule="auto"/>
        <w:jc w:val="left"/>
        <w:rPr>
          <w:rFonts w:ascii="仿宋_GB2312" w:eastAsia="仿宋_GB2312" w:cs="仿宋_GB2312"/>
          <w:kern w:val="0"/>
          <w:sz w:val="24"/>
          <w:szCs w:val="24"/>
        </w:rPr>
      </w:pPr>
      <w:r>
        <w:rPr>
          <w:rFonts w:ascii="Times New Roman" w:hAnsi="Times New Roman" w:eastAsia="仿宋_GB2312"/>
          <w:kern w:val="0"/>
          <w:sz w:val="24"/>
          <w:szCs w:val="24"/>
        </w:rPr>
        <w:t>1</w:t>
      </w:r>
      <w:r>
        <w:rPr>
          <w:rFonts w:hint="eastAsia" w:ascii="仿宋_GB2312" w:eastAsia="仿宋_GB2312" w:cs="仿宋_GB2312"/>
          <w:kern w:val="0"/>
          <w:sz w:val="24"/>
          <w:szCs w:val="24"/>
        </w:rPr>
        <w:t>、就本期债券而言，申购金额下限为</w:t>
      </w:r>
      <w:r>
        <w:rPr>
          <w:rFonts w:ascii="Times New Roman" w:hAnsi="Times New Roman" w:eastAsia="仿宋_GB2312"/>
          <w:kern w:val="0"/>
          <w:sz w:val="24"/>
          <w:szCs w:val="24"/>
        </w:rPr>
        <w:t>1,000</w:t>
      </w:r>
      <w:r>
        <w:rPr>
          <w:rFonts w:hint="eastAsia" w:ascii="仿宋_GB2312" w:eastAsia="仿宋_GB2312" w:cs="仿宋_GB2312"/>
          <w:kern w:val="0"/>
          <w:sz w:val="24"/>
          <w:szCs w:val="24"/>
        </w:rPr>
        <w:t>万元，且应为</w:t>
      </w:r>
      <w:r>
        <w:rPr>
          <w:rFonts w:ascii="Times New Roman" w:hAnsi="Times New Roman" w:eastAsia="仿宋_GB2312"/>
          <w:kern w:val="0"/>
          <w:sz w:val="24"/>
          <w:szCs w:val="24"/>
        </w:rPr>
        <w:t>100</w:t>
      </w:r>
      <w:r>
        <w:rPr>
          <w:rFonts w:hint="eastAsia" w:ascii="仿宋_GB2312" w:eastAsia="仿宋_GB2312" w:cs="仿宋_GB2312"/>
          <w:kern w:val="0"/>
          <w:sz w:val="24"/>
          <w:szCs w:val="24"/>
        </w:rPr>
        <w:t>万元的整数倍；各标位对本期债券的申购金额累计不超过对应债券品种发行总额的</w:t>
      </w:r>
      <w:r>
        <w:rPr>
          <w:rFonts w:ascii="Times New Roman" w:hAnsi="Times New Roman" w:eastAsia="仿宋_GB2312"/>
          <w:kern w:val="0"/>
          <w:sz w:val="24"/>
          <w:szCs w:val="24"/>
        </w:rPr>
        <w:t>100%</w:t>
      </w:r>
      <w:r>
        <w:rPr>
          <w:rFonts w:hint="eastAsia" w:ascii="仿宋_GB2312" w:eastAsia="仿宋_GB2312" w:cs="仿宋_GB2312"/>
          <w:kern w:val="0"/>
          <w:sz w:val="24"/>
          <w:szCs w:val="24"/>
        </w:rPr>
        <w:t>；</w:t>
      </w:r>
    </w:p>
    <w:p>
      <w:pPr>
        <w:autoSpaceDE w:val="0"/>
        <w:autoSpaceDN w:val="0"/>
        <w:adjustRightInd w:val="0"/>
        <w:spacing w:line="276" w:lineRule="auto"/>
        <w:jc w:val="left"/>
        <w:rPr>
          <w:rFonts w:ascii="仿宋_GB2312" w:eastAsia="仿宋_GB2312" w:cs="仿宋_GB2312"/>
          <w:kern w:val="0"/>
          <w:sz w:val="24"/>
          <w:szCs w:val="24"/>
        </w:rPr>
      </w:pPr>
      <w:r>
        <w:rPr>
          <w:rFonts w:ascii="Times New Roman" w:hAnsi="Times New Roman" w:eastAsia="仿宋_GB2312"/>
          <w:kern w:val="0"/>
          <w:sz w:val="24"/>
          <w:szCs w:val="24"/>
        </w:rPr>
        <w:t>2</w:t>
      </w:r>
      <w:r>
        <w:rPr>
          <w:rFonts w:hint="eastAsia" w:ascii="仿宋_GB2312" w:eastAsia="仿宋_GB2312" w:cs="仿宋_GB2312"/>
          <w:kern w:val="0"/>
          <w:sz w:val="24"/>
          <w:szCs w:val="24"/>
        </w:rPr>
        <w:t>、申购利率应由低到高、按顺序填写，申购利率的最小报价单位为</w:t>
      </w:r>
      <w:r>
        <w:rPr>
          <w:rFonts w:ascii="Times New Roman" w:hAnsi="Times New Roman" w:eastAsia="仿宋_GB2312"/>
          <w:kern w:val="0"/>
          <w:sz w:val="24"/>
          <w:szCs w:val="24"/>
        </w:rPr>
        <w:t>0.01%</w:t>
      </w:r>
      <w:r>
        <w:rPr>
          <w:rFonts w:hint="eastAsia" w:ascii="仿宋_GB2312" w:eastAsia="仿宋_GB2312" w:cs="仿宋_GB2312"/>
          <w:kern w:val="0"/>
          <w:sz w:val="24"/>
          <w:szCs w:val="24"/>
        </w:rPr>
        <w:t>；</w:t>
      </w:r>
    </w:p>
    <w:p>
      <w:pPr>
        <w:autoSpaceDE w:val="0"/>
        <w:autoSpaceDN w:val="0"/>
        <w:adjustRightInd w:val="0"/>
        <w:spacing w:line="276" w:lineRule="auto"/>
        <w:jc w:val="left"/>
        <w:rPr>
          <w:rFonts w:ascii="仿宋_GB2312" w:eastAsia="仿宋_GB2312" w:cs="仿宋_GB2312"/>
          <w:kern w:val="0"/>
          <w:sz w:val="24"/>
          <w:szCs w:val="24"/>
        </w:rPr>
      </w:pPr>
      <w:r>
        <w:rPr>
          <w:rFonts w:ascii="Times New Roman" w:hAnsi="Times New Roman" w:eastAsia="仿宋_GB2312"/>
          <w:kern w:val="0"/>
          <w:sz w:val="24"/>
          <w:szCs w:val="24"/>
        </w:rPr>
        <w:t>3</w:t>
      </w:r>
      <w:r>
        <w:rPr>
          <w:rFonts w:hint="eastAsia" w:ascii="仿宋_GB2312" w:eastAsia="仿宋_GB2312" w:cs="仿宋_GB2312"/>
          <w:kern w:val="0"/>
          <w:sz w:val="24"/>
          <w:szCs w:val="24"/>
        </w:rPr>
        <w:t>、每一申购利率对应的为单一申购金额，当最终确定的发行利率不低于某一申购利率时，投资者的最大获配量为低于该申购利率（包含此申购利率）的所有标位叠加量；申购利率应由低到高、按顺序填写；</w:t>
      </w:r>
    </w:p>
    <w:p>
      <w:pPr>
        <w:autoSpaceDE w:val="0"/>
        <w:autoSpaceDN w:val="0"/>
        <w:adjustRightInd w:val="0"/>
        <w:spacing w:line="276" w:lineRule="auto"/>
        <w:jc w:val="left"/>
        <w:rPr>
          <w:rFonts w:ascii="仿宋_GB2312" w:eastAsia="仿宋_GB2312" w:cs="仿宋_GB2312"/>
          <w:kern w:val="0"/>
          <w:sz w:val="24"/>
          <w:szCs w:val="24"/>
        </w:rPr>
      </w:pPr>
      <w:r>
        <w:rPr>
          <w:rFonts w:ascii="Times New Roman" w:hAnsi="Times New Roman" w:eastAsia="仿宋_GB2312"/>
          <w:kern w:val="0"/>
          <w:sz w:val="24"/>
          <w:szCs w:val="24"/>
        </w:rPr>
        <w:t>4</w:t>
      </w:r>
      <w:r>
        <w:rPr>
          <w:rFonts w:hint="eastAsia" w:ascii="仿宋_GB2312" w:eastAsia="仿宋_GB2312" w:cs="仿宋_GB2312"/>
          <w:kern w:val="0"/>
          <w:sz w:val="24"/>
          <w:szCs w:val="24"/>
        </w:rPr>
        <w:t xml:space="preserve">、票面利率及申购金额填写示例（声明：本示例数据为虚设，不含任何暗示，请投资者根据自己的判断填写）： </w:t>
      </w:r>
    </w:p>
    <w:p>
      <w:pPr>
        <w:autoSpaceDE w:val="0"/>
        <w:autoSpaceDN w:val="0"/>
        <w:adjustRightInd w:val="0"/>
        <w:spacing w:line="276" w:lineRule="auto"/>
        <w:ind w:firstLine="482" w:firstLineChars="200"/>
        <w:jc w:val="left"/>
        <w:rPr>
          <w:rFonts w:ascii="仿宋_GB2312" w:eastAsia="仿宋_GB2312" w:cs="仿宋_GB2312"/>
          <w:kern w:val="0"/>
          <w:sz w:val="24"/>
          <w:szCs w:val="24"/>
        </w:rPr>
      </w:pPr>
      <w:r>
        <w:rPr>
          <w:rFonts w:hint="eastAsia" w:ascii="仿宋_GB2312" w:eastAsia="仿宋_GB2312" w:cs="仿宋_GB2312"/>
          <w:b/>
          <w:kern w:val="0"/>
          <w:sz w:val="24"/>
          <w:szCs w:val="24"/>
        </w:rPr>
        <w:t>假设</w:t>
      </w:r>
      <w:r>
        <w:rPr>
          <w:rFonts w:hint="eastAsia" w:ascii="仿宋_GB2312" w:eastAsia="仿宋_GB2312" w:cs="仿宋_GB2312"/>
          <w:kern w:val="0"/>
          <w:sz w:val="24"/>
          <w:szCs w:val="24"/>
        </w:rPr>
        <w:t>本期债券票面利率的簿记建档利率区间上限为4.80%。某投资者拟在不同票面利率分别申购不同的金额，其可做出如下填写：</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6"/>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申购利率（%）</w:t>
            </w:r>
          </w:p>
        </w:tc>
        <w:tc>
          <w:tcPr>
            <w:tcW w:w="2456"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申购金额（万元）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3.50%</w:t>
            </w:r>
          </w:p>
        </w:tc>
        <w:tc>
          <w:tcPr>
            <w:tcW w:w="2456"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4.00%</w:t>
            </w:r>
          </w:p>
        </w:tc>
        <w:tc>
          <w:tcPr>
            <w:tcW w:w="2456"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4.50%</w:t>
            </w:r>
          </w:p>
        </w:tc>
        <w:tc>
          <w:tcPr>
            <w:tcW w:w="2456"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合计</w:t>
            </w:r>
          </w:p>
        </w:tc>
        <w:tc>
          <w:tcPr>
            <w:tcW w:w="2456" w:type="pct"/>
            <w:shd w:val="clear" w:color="auto" w:fill="auto"/>
          </w:tcPr>
          <w:p>
            <w:pPr>
              <w:autoSpaceDE w:val="0"/>
              <w:autoSpaceDN w:val="0"/>
              <w:adjustRightInd w:val="0"/>
              <w:spacing w:line="276" w:lineRule="auto"/>
              <w:ind w:firstLine="480" w:firstLineChars="200"/>
              <w:jc w:val="left"/>
              <w:rPr>
                <w:rFonts w:ascii="Times New Roman" w:hAnsi="Times New Roman"/>
                <w:kern w:val="0"/>
                <w:sz w:val="24"/>
                <w:szCs w:val="24"/>
              </w:rPr>
            </w:pPr>
            <w:r>
              <w:rPr>
                <w:rFonts w:ascii="Times New Roman" w:hAnsi="Times New Roman"/>
                <w:kern w:val="0"/>
                <w:sz w:val="24"/>
                <w:szCs w:val="24"/>
              </w:rPr>
              <w:t>9,000</w:t>
            </w:r>
          </w:p>
        </w:tc>
      </w:tr>
    </w:tbl>
    <w:p>
      <w:pPr>
        <w:autoSpaceDE w:val="0"/>
        <w:autoSpaceDN w:val="0"/>
        <w:adjustRightInd w:val="0"/>
        <w:spacing w:line="276" w:lineRule="auto"/>
        <w:jc w:val="left"/>
        <w:rPr>
          <w:rFonts w:ascii="仿宋_GB2312" w:eastAsia="仿宋_GB2312" w:cs="仿宋_GB2312"/>
          <w:kern w:val="0"/>
          <w:sz w:val="24"/>
          <w:szCs w:val="24"/>
        </w:rPr>
      </w:pPr>
      <w:r>
        <w:rPr>
          <w:rFonts w:hint="eastAsia" w:ascii="仿宋_GB2312" w:eastAsia="仿宋_GB2312" w:cs="仿宋_GB2312"/>
          <w:kern w:val="0"/>
          <w:sz w:val="24"/>
          <w:szCs w:val="24"/>
        </w:rPr>
        <w:t>上述报价的含义如下：</w:t>
      </w:r>
    </w:p>
    <w:p>
      <w:pPr>
        <w:autoSpaceDE w:val="0"/>
        <w:autoSpaceDN w:val="0"/>
        <w:adjustRightInd w:val="0"/>
        <w:spacing w:line="276"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◆当最终确定的发行利率低于</w:t>
      </w:r>
      <w:r>
        <w:rPr>
          <w:rFonts w:ascii="Times New Roman" w:hAnsi="Times New Roman" w:eastAsia="仿宋_GB2312"/>
          <w:kern w:val="0"/>
          <w:sz w:val="24"/>
          <w:szCs w:val="24"/>
        </w:rPr>
        <w:t>3.50%</w:t>
      </w:r>
      <w:r>
        <w:rPr>
          <w:rFonts w:hint="eastAsia" w:ascii="Times New Roman" w:hAnsi="Times New Roman" w:eastAsia="仿宋_GB2312"/>
          <w:kern w:val="0"/>
          <w:sz w:val="24"/>
          <w:szCs w:val="24"/>
        </w:rPr>
        <w:t>，该申购意向函无效；</w:t>
      </w:r>
    </w:p>
    <w:p>
      <w:pPr>
        <w:autoSpaceDE w:val="0"/>
        <w:autoSpaceDN w:val="0"/>
        <w:adjustRightInd w:val="0"/>
        <w:spacing w:line="276"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◆当最终确定的发行利率高于或等于</w:t>
      </w:r>
      <w:r>
        <w:rPr>
          <w:rFonts w:ascii="Times New Roman" w:hAnsi="Times New Roman" w:eastAsia="仿宋_GB2312"/>
          <w:kern w:val="0"/>
          <w:sz w:val="24"/>
          <w:szCs w:val="24"/>
        </w:rPr>
        <w:t>3.50%</w:t>
      </w:r>
      <w:r>
        <w:rPr>
          <w:rFonts w:hint="eastAsia" w:ascii="Times New Roman" w:hAnsi="Times New Roman" w:eastAsia="仿宋_GB2312"/>
          <w:kern w:val="0"/>
          <w:sz w:val="24"/>
          <w:szCs w:val="24"/>
        </w:rPr>
        <w:t>，但低于</w:t>
      </w:r>
      <w:r>
        <w:rPr>
          <w:rFonts w:ascii="Times New Roman" w:hAnsi="Times New Roman" w:eastAsia="仿宋_GB2312"/>
          <w:kern w:val="0"/>
          <w:sz w:val="24"/>
          <w:szCs w:val="24"/>
        </w:rPr>
        <w:t>4.00%</w:t>
      </w:r>
      <w:r>
        <w:rPr>
          <w:rFonts w:hint="eastAsia" w:ascii="Times New Roman" w:hAnsi="Times New Roman" w:eastAsia="仿宋_GB2312"/>
          <w:kern w:val="0"/>
          <w:sz w:val="24"/>
          <w:szCs w:val="24"/>
        </w:rPr>
        <w:t>时，新增有效申购金额为</w:t>
      </w:r>
      <w:r>
        <w:rPr>
          <w:rFonts w:ascii="Times New Roman" w:hAnsi="Times New Roman" w:eastAsia="仿宋_GB2312"/>
          <w:kern w:val="0"/>
          <w:sz w:val="24"/>
          <w:szCs w:val="24"/>
        </w:rPr>
        <w:t>1,000</w:t>
      </w:r>
      <w:r>
        <w:rPr>
          <w:rFonts w:hint="eastAsia" w:ascii="Times New Roman" w:hAnsi="Times New Roman" w:eastAsia="仿宋_GB2312"/>
          <w:kern w:val="0"/>
          <w:sz w:val="24"/>
          <w:szCs w:val="24"/>
        </w:rPr>
        <w:t>万元，有效申购总额为</w:t>
      </w:r>
      <w:r>
        <w:rPr>
          <w:rFonts w:ascii="Times New Roman" w:hAnsi="Times New Roman" w:eastAsia="仿宋_GB2312"/>
          <w:kern w:val="0"/>
          <w:sz w:val="24"/>
          <w:szCs w:val="24"/>
        </w:rPr>
        <w:t>1,000</w:t>
      </w:r>
      <w:r>
        <w:rPr>
          <w:rFonts w:hint="eastAsia" w:ascii="Times New Roman" w:hAnsi="Times New Roman" w:eastAsia="仿宋_GB2312"/>
          <w:kern w:val="0"/>
          <w:sz w:val="24"/>
          <w:szCs w:val="24"/>
        </w:rPr>
        <w:t>万元；</w:t>
      </w:r>
      <w:r>
        <w:rPr>
          <w:rFonts w:ascii="Times New Roman" w:hAnsi="Times New Roman" w:eastAsia="仿宋_GB2312"/>
          <w:kern w:val="0"/>
          <w:sz w:val="24"/>
          <w:szCs w:val="24"/>
        </w:rPr>
        <w:t xml:space="preserve"> </w:t>
      </w:r>
    </w:p>
    <w:p>
      <w:pPr>
        <w:autoSpaceDE w:val="0"/>
        <w:autoSpaceDN w:val="0"/>
        <w:adjustRightInd w:val="0"/>
        <w:spacing w:line="276"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◆当最终确定的发行利率高于或等于</w:t>
      </w:r>
      <w:r>
        <w:rPr>
          <w:rFonts w:ascii="Times New Roman" w:hAnsi="Times New Roman" w:eastAsia="仿宋_GB2312"/>
          <w:kern w:val="0"/>
          <w:sz w:val="24"/>
          <w:szCs w:val="24"/>
        </w:rPr>
        <w:t>4.00%</w:t>
      </w:r>
      <w:r>
        <w:rPr>
          <w:rFonts w:hint="eastAsia" w:ascii="Times New Roman" w:hAnsi="Times New Roman" w:eastAsia="仿宋_GB2312"/>
          <w:kern w:val="0"/>
          <w:sz w:val="24"/>
          <w:szCs w:val="24"/>
        </w:rPr>
        <w:t>，但低于</w:t>
      </w:r>
      <w:r>
        <w:rPr>
          <w:rFonts w:ascii="Times New Roman" w:hAnsi="Times New Roman" w:eastAsia="仿宋_GB2312"/>
          <w:kern w:val="0"/>
          <w:sz w:val="24"/>
          <w:szCs w:val="24"/>
        </w:rPr>
        <w:t>4.50%</w:t>
      </w:r>
      <w:r>
        <w:rPr>
          <w:rFonts w:hint="eastAsia" w:ascii="Times New Roman" w:hAnsi="Times New Roman" w:eastAsia="仿宋_GB2312"/>
          <w:kern w:val="0"/>
          <w:sz w:val="24"/>
          <w:szCs w:val="24"/>
        </w:rPr>
        <w:t>时，新增有效申购金额为</w:t>
      </w:r>
      <w:r>
        <w:rPr>
          <w:rFonts w:ascii="Times New Roman" w:hAnsi="Times New Roman" w:eastAsia="仿宋_GB2312"/>
          <w:kern w:val="0"/>
          <w:sz w:val="24"/>
          <w:szCs w:val="24"/>
        </w:rPr>
        <w:t>3,000</w:t>
      </w:r>
      <w:r>
        <w:rPr>
          <w:rFonts w:hint="eastAsia" w:ascii="Times New Roman" w:hAnsi="Times New Roman" w:eastAsia="仿宋_GB2312"/>
          <w:kern w:val="0"/>
          <w:sz w:val="24"/>
          <w:szCs w:val="24"/>
        </w:rPr>
        <w:t>万元，有效申购总额为</w:t>
      </w:r>
      <w:r>
        <w:rPr>
          <w:rFonts w:ascii="Times New Roman" w:hAnsi="Times New Roman" w:eastAsia="仿宋_GB2312"/>
          <w:kern w:val="0"/>
          <w:sz w:val="24"/>
          <w:szCs w:val="24"/>
        </w:rPr>
        <w:t>4,000</w:t>
      </w:r>
      <w:r>
        <w:rPr>
          <w:rFonts w:hint="eastAsia" w:ascii="Times New Roman" w:hAnsi="Times New Roman" w:eastAsia="仿宋_GB2312"/>
          <w:kern w:val="0"/>
          <w:sz w:val="24"/>
          <w:szCs w:val="24"/>
        </w:rPr>
        <w:t>万元；</w:t>
      </w:r>
      <w:r>
        <w:rPr>
          <w:rFonts w:ascii="Times New Roman" w:hAnsi="Times New Roman" w:eastAsia="仿宋_GB2312"/>
          <w:kern w:val="0"/>
          <w:sz w:val="24"/>
          <w:szCs w:val="24"/>
        </w:rPr>
        <w:t xml:space="preserve"> </w:t>
      </w:r>
    </w:p>
    <w:p>
      <w:pPr>
        <w:autoSpaceDE w:val="0"/>
        <w:autoSpaceDN w:val="0"/>
        <w:adjustRightInd w:val="0"/>
        <w:spacing w:line="276"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◆当最终确定的发行利率高于或等于</w:t>
      </w:r>
      <w:r>
        <w:rPr>
          <w:rFonts w:ascii="Times New Roman" w:hAnsi="Times New Roman" w:eastAsia="仿宋_GB2312"/>
          <w:kern w:val="0"/>
          <w:sz w:val="24"/>
          <w:szCs w:val="24"/>
        </w:rPr>
        <w:t>4.50%</w:t>
      </w:r>
      <w:r>
        <w:rPr>
          <w:rFonts w:hint="eastAsia" w:ascii="Times New Roman" w:hAnsi="Times New Roman" w:eastAsia="仿宋_GB2312"/>
          <w:kern w:val="0"/>
          <w:sz w:val="24"/>
          <w:szCs w:val="24"/>
        </w:rPr>
        <w:t>时，新增有效申购金额为</w:t>
      </w:r>
      <w:r>
        <w:rPr>
          <w:rFonts w:ascii="Times New Roman" w:hAnsi="Times New Roman" w:eastAsia="仿宋_GB2312"/>
          <w:kern w:val="0"/>
          <w:sz w:val="24"/>
          <w:szCs w:val="24"/>
        </w:rPr>
        <w:t>5,000</w:t>
      </w:r>
      <w:r>
        <w:rPr>
          <w:rFonts w:hint="eastAsia" w:ascii="Times New Roman" w:hAnsi="Times New Roman" w:eastAsia="仿宋_GB2312"/>
          <w:kern w:val="0"/>
          <w:sz w:val="24"/>
          <w:szCs w:val="24"/>
        </w:rPr>
        <w:t>万元，有效申购总额为</w:t>
      </w:r>
      <w:r>
        <w:rPr>
          <w:rFonts w:ascii="Times New Roman" w:hAnsi="Times New Roman" w:eastAsia="仿宋_GB2312"/>
          <w:kern w:val="0"/>
          <w:sz w:val="24"/>
          <w:szCs w:val="24"/>
        </w:rPr>
        <w:t>9,000</w:t>
      </w:r>
      <w:r>
        <w:rPr>
          <w:rFonts w:hint="eastAsia" w:ascii="Times New Roman" w:hAnsi="Times New Roman" w:eastAsia="仿宋_GB2312"/>
          <w:kern w:val="0"/>
          <w:sz w:val="24"/>
          <w:szCs w:val="24"/>
        </w:rPr>
        <w:t>万元。</w:t>
      </w:r>
    </w:p>
    <w:p>
      <w:pPr>
        <w:autoSpaceDE w:val="0"/>
        <w:autoSpaceDN w:val="0"/>
        <w:adjustRightInd w:val="0"/>
        <w:spacing w:line="276" w:lineRule="auto"/>
        <w:jc w:val="left"/>
        <w:rPr>
          <w:rFonts w:ascii="仿宋_GB2312" w:eastAsia="仿宋_GB2312" w:cs="仿宋_GB2312"/>
          <w:kern w:val="0"/>
          <w:sz w:val="24"/>
          <w:szCs w:val="24"/>
        </w:rPr>
      </w:pPr>
      <w:r>
        <w:rPr>
          <w:rFonts w:ascii="Times New Roman" w:hAnsi="Times New Roman" w:eastAsia="仿宋_GB2312"/>
          <w:kern w:val="0"/>
          <w:sz w:val="24"/>
          <w:szCs w:val="24"/>
        </w:rPr>
        <w:t>5、</w:t>
      </w:r>
      <w:r>
        <w:rPr>
          <w:rFonts w:hint="eastAsia" w:ascii="仿宋_GB2312" w:eastAsia="仿宋_GB2312" w:cs="仿宋_GB2312"/>
          <w:kern w:val="0"/>
          <w:sz w:val="24"/>
          <w:szCs w:val="24"/>
        </w:rPr>
        <w:t>其他投资人须以传真方式参与本次簿记建档过程，以其他方式传送、送达一</w:t>
      </w:r>
    </w:p>
    <w:p>
      <w:pPr>
        <w:widowControl/>
        <w:spacing w:line="276" w:lineRule="auto"/>
        <w:jc w:val="left"/>
        <w:rPr>
          <w:b/>
          <w:kern w:val="0"/>
          <w:sz w:val="24"/>
          <w:szCs w:val="24"/>
        </w:rPr>
      </w:pPr>
      <w:r>
        <w:rPr>
          <w:rFonts w:hint="eastAsia" w:ascii="仿宋_GB2312" w:eastAsia="仿宋_GB2312" w:cs="仿宋_GB2312"/>
          <w:kern w:val="0"/>
          <w:sz w:val="24"/>
          <w:szCs w:val="24"/>
        </w:rPr>
        <w:t>概无效。</w:t>
      </w:r>
    </w:p>
    <w:p>
      <w:pPr>
        <w:widowControl/>
        <w:spacing w:line="276" w:lineRule="auto"/>
        <w:jc w:val="left"/>
        <w:rPr>
          <w:b/>
          <w:kern w:val="0"/>
          <w:sz w:val="24"/>
          <w:szCs w:val="24"/>
        </w:rPr>
      </w:pPr>
    </w:p>
    <w:p>
      <w:pPr>
        <w:spacing w:line="500" w:lineRule="exact"/>
        <w:ind w:firstLine="420" w:firstLineChars="200"/>
        <w:jc w:val="center"/>
      </w:pPr>
      <w:bookmarkStart w:id="0" w:name="_GoBack"/>
      <w:bookmarkEnd w:id="0"/>
    </w:p>
    <w:sectPr>
      <w:footerReference r:id="rId3" w:type="default"/>
      <w:pgSz w:w="11906" w:h="16838"/>
      <w:pgMar w:top="1440" w:right="1800" w:bottom="1135" w:left="1800" w:header="851" w:footer="6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CCD"/>
    <w:rsid w:val="0000654F"/>
    <w:rsid w:val="00011036"/>
    <w:rsid w:val="000117B4"/>
    <w:rsid w:val="00011C83"/>
    <w:rsid w:val="00011F16"/>
    <w:rsid w:val="00012FE9"/>
    <w:rsid w:val="000211BB"/>
    <w:rsid w:val="00022E8C"/>
    <w:rsid w:val="00023BB7"/>
    <w:rsid w:val="00023FA3"/>
    <w:rsid w:val="0002623F"/>
    <w:rsid w:val="000417E1"/>
    <w:rsid w:val="0004359B"/>
    <w:rsid w:val="00044CDA"/>
    <w:rsid w:val="000521DC"/>
    <w:rsid w:val="00054A25"/>
    <w:rsid w:val="00055A87"/>
    <w:rsid w:val="00055C5B"/>
    <w:rsid w:val="000619DA"/>
    <w:rsid w:val="00065666"/>
    <w:rsid w:val="000659A3"/>
    <w:rsid w:val="00067A1A"/>
    <w:rsid w:val="000742DA"/>
    <w:rsid w:val="00075C6F"/>
    <w:rsid w:val="00077D69"/>
    <w:rsid w:val="00085E13"/>
    <w:rsid w:val="00087403"/>
    <w:rsid w:val="00096D25"/>
    <w:rsid w:val="000979A6"/>
    <w:rsid w:val="000A05CA"/>
    <w:rsid w:val="000A0EB0"/>
    <w:rsid w:val="000A27CA"/>
    <w:rsid w:val="000A4D4F"/>
    <w:rsid w:val="000A7389"/>
    <w:rsid w:val="000B0A3A"/>
    <w:rsid w:val="000B1808"/>
    <w:rsid w:val="000B4BCA"/>
    <w:rsid w:val="000B7C7D"/>
    <w:rsid w:val="000C1284"/>
    <w:rsid w:val="000C49CA"/>
    <w:rsid w:val="000C53E9"/>
    <w:rsid w:val="000C5919"/>
    <w:rsid w:val="000D2750"/>
    <w:rsid w:val="000E268F"/>
    <w:rsid w:val="000E2A0E"/>
    <w:rsid w:val="000E3481"/>
    <w:rsid w:val="000E58F9"/>
    <w:rsid w:val="000E6D56"/>
    <w:rsid w:val="000F4338"/>
    <w:rsid w:val="001004EB"/>
    <w:rsid w:val="00103822"/>
    <w:rsid w:val="00103E67"/>
    <w:rsid w:val="00105BA1"/>
    <w:rsid w:val="00110BCE"/>
    <w:rsid w:val="00110CE9"/>
    <w:rsid w:val="00111A1D"/>
    <w:rsid w:val="001130CB"/>
    <w:rsid w:val="00113483"/>
    <w:rsid w:val="00117E16"/>
    <w:rsid w:val="0013038F"/>
    <w:rsid w:val="0014118C"/>
    <w:rsid w:val="00141526"/>
    <w:rsid w:val="00146042"/>
    <w:rsid w:val="00150220"/>
    <w:rsid w:val="00150C79"/>
    <w:rsid w:val="001572EA"/>
    <w:rsid w:val="00163440"/>
    <w:rsid w:val="00163BB5"/>
    <w:rsid w:val="00166E65"/>
    <w:rsid w:val="00172DEE"/>
    <w:rsid w:val="00173978"/>
    <w:rsid w:val="00173C4B"/>
    <w:rsid w:val="00175995"/>
    <w:rsid w:val="0018792D"/>
    <w:rsid w:val="001939F2"/>
    <w:rsid w:val="00193F89"/>
    <w:rsid w:val="0019698E"/>
    <w:rsid w:val="001A28DE"/>
    <w:rsid w:val="001A682B"/>
    <w:rsid w:val="001A752A"/>
    <w:rsid w:val="001B0D25"/>
    <w:rsid w:val="001B3DB7"/>
    <w:rsid w:val="001B57CD"/>
    <w:rsid w:val="001C0DEC"/>
    <w:rsid w:val="001D5BCC"/>
    <w:rsid w:val="001E6940"/>
    <w:rsid w:val="001F02A3"/>
    <w:rsid w:val="001F3AD3"/>
    <w:rsid w:val="001F61EF"/>
    <w:rsid w:val="0020062A"/>
    <w:rsid w:val="00204B87"/>
    <w:rsid w:val="00205AD9"/>
    <w:rsid w:val="002068C9"/>
    <w:rsid w:val="00212DFA"/>
    <w:rsid w:val="0021318C"/>
    <w:rsid w:val="00227F02"/>
    <w:rsid w:val="002308C6"/>
    <w:rsid w:val="002328D8"/>
    <w:rsid w:val="00232FDF"/>
    <w:rsid w:val="00235611"/>
    <w:rsid w:val="00236272"/>
    <w:rsid w:val="00240585"/>
    <w:rsid w:val="00245878"/>
    <w:rsid w:val="00245ADC"/>
    <w:rsid w:val="00250967"/>
    <w:rsid w:val="00252C59"/>
    <w:rsid w:val="00255948"/>
    <w:rsid w:val="002570D8"/>
    <w:rsid w:val="00266CFF"/>
    <w:rsid w:val="0027100A"/>
    <w:rsid w:val="00272970"/>
    <w:rsid w:val="00274B03"/>
    <w:rsid w:val="002802F3"/>
    <w:rsid w:val="00285A57"/>
    <w:rsid w:val="0028630D"/>
    <w:rsid w:val="00286368"/>
    <w:rsid w:val="00293433"/>
    <w:rsid w:val="002A18F0"/>
    <w:rsid w:val="002A1A3A"/>
    <w:rsid w:val="002A212F"/>
    <w:rsid w:val="002A2EA7"/>
    <w:rsid w:val="002A46A0"/>
    <w:rsid w:val="002A4B65"/>
    <w:rsid w:val="002A5D69"/>
    <w:rsid w:val="002A601D"/>
    <w:rsid w:val="002B2163"/>
    <w:rsid w:val="002B237E"/>
    <w:rsid w:val="002B2443"/>
    <w:rsid w:val="002C4CF9"/>
    <w:rsid w:val="002D129C"/>
    <w:rsid w:val="002D17ED"/>
    <w:rsid w:val="002D2D15"/>
    <w:rsid w:val="002D73EB"/>
    <w:rsid w:val="002E6684"/>
    <w:rsid w:val="002E6FAC"/>
    <w:rsid w:val="002E72AF"/>
    <w:rsid w:val="002E741D"/>
    <w:rsid w:val="002F0F59"/>
    <w:rsid w:val="002F4F1A"/>
    <w:rsid w:val="002F7D2A"/>
    <w:rsid w:val="00306137"/>
    <w:rsid w:val="003100AD"/>
    <w:rsid w:val="003122CC"/>
    <w:rsid w:val="00314836"/>
    <w:rsid w:val="003231E5"/>
    <w:rsid w:val="00323F6C"/>
    <w:rsid w:val="003252B7"/>
    <w:rsid w:val="003270D3"/>
    <w:rsid w:val="00331C32"/>
    <w:rsid w:val="00333247"/>
    <w:rsid w:val="00334CFC"/>
    <w:rsid w:val="00335BEA"/>
    <w:rsid w:val="00336F20"/>
    <w:rsid w:val="00351789"/>
    <w:rsid w:val="00361DBE"/>
    <w:rsid w:val="00362808"/>
    <w:rsid w:val="00371E85"/>
    <w:rsid w:val="0037636F"/>
    <w:rsid w:val="00383F9F"/>
    <w:rsid w:val="003866BB"/>
    <w:rsid w:val="003875EE"/>
    <w:rsid w:val="003878BD"/>
    <w:rsid w:val="00387E60"/>
    <w:rsid w:val="00394137"/>
    <w:rsid w:val="0039550A"/>
    <w:rsid w:val="003A4F48"/>
    <w:rsid w:val="003B07DB"/>
    <w:rsid w:val="003B16AA"/>
    <w:rsid w:val="003B7AD4"/>
    <w:rsid w:val="003B7DF9"/>
    <w:rsid w:val="003C1924"/>
    <w:rsid w:val="003C37CC"/>
    <w:rsid w:val="003C6353"/>
    <w:rsid w:val="003D4B4E"/>
    <w:rsid w:val="003D65BC"/>
    <w:rsid w:val="003D7CF4"/>
    <w:rsid w:val="003E408D"/>
    <w:rsid w:val="003E58FF"/>
    <w:rsid w:val="003E63FB"/>
    <w:rsid w:val="003E6769"/>
    <w:rsid w:val="003F23EA"/>
    <w:rsid w:val="003F49EF"/>
    <w:rsid w:val="003F5F58"/>
    <w:rsid w:val="003F6801"/>
    <w:rsid w:val="00402981"/>
    <w:rsid w:val="00406D1C"/>
    <w:rsid w:val="00410849"/>
    <w:rsid w:val="00421186"/>
    <w:rsid w:val="004215FF"/>
    <w:rsid w:val="00421A10"/>
    <w:rsid w:val="004223C0"/>
    <w:rsid w:val="00423465"/>
    <w:rsid w:val="00431595"/>
    <w:rsid w:val="004329AC"/>
    <w:rsid w:val="00441B36"/>
    <w:rsid w:val="00444C91"/>
    <w:rsid w:val="00445689"/>
    <w:rsid w:val="00447B34"/>
    <w:rsid w:val="004505C5"/>
    <w:rsid w:val="00450DCF"/>
    <w:rsid w:val="00452469"/>
    <w:rsid w:val="004525E6"/>
    <w:rsid w:val="0045320B"/>
    <w:rsid w:val="004534AE"/>
    <w:rsid w:val="00454F7A"/>
    <w:rsid w:val="0046051A"/>
    <w:rsid w:val="00461238"/>
    <w:rsid w:val="00467558"/>
    <w:rsid w:val="00471092"/>
    <w:rsid w:val="004751BC"/>
    <w:rsid w:val="00475B49"/>
    <w:rsid w:val="00481186"/>
    <w:rsid w:val="00482DE9"/>
    <w:rsid w:val="00483886"/>
    <w:rsid w:val="00485647"/>
    <w:rsid w:val="004A1CA2"/>
    <w:rsid w:val="004B07DD"/>
    <w:rsid w:val="004B3301"/>
    <w:rsid w:val="004B4372"/>
    <w:rsid w:val="004B522A"/>
    <w:rsid w:val="004C12BB"/>
    <w:rsid w:val="004C36F4"/>
    <w:rsid w:val="004C408A"/>
    <w:rsid w:val="004C6D70"/>
    <w:rsid w:val="004D066C"/>
    <w:rsid w:val="004D0E83"/>
    <w:rsid w:val="004D1ED1"/>
    <w:rsid w:val="004D37D3"/>
    <w:rsid w:val="004D50A4"/>
    <w:rsid w:val="004E429E"/>
    <w:rsid w:val="00500CDC"/>
    <w:rsid w:val="0050128A"/>
    <w:rsid w:val="00501EE4"/>
    <w:rsid w:val="00502AED"/>
    <w:rsid w:val="00510DBC"/>
    <w:rsid w:val="00510E30"/>
    <w:rsid w:val="00513846"/>
    <w:rsid w:val="00513F2C"/>
    <w:rsid w:val="00516EAC"/>
    <w:rsid w:val="00521A66"/>
    <w:rsid w:val="005343D0"/>
    <w:rsid w:val="00534788"/>
    <w:rsid w:val="005401F5"/>
    <w:rsid w:val="00542779"/>
    <w:rsid w:val="005457F2"/>
    <w:rsid w:val="00550E51"/>
    <w:rsid w:val="005541FC"/>
    <w:rsid w:val="0055575F"/>
    <w:rsid w:val="00557F9F"/>
    <w:rsid w:val="0057100E"/>
    <w:rsid w:val="00573B93"/>
    <w:rsid w:val="00582495"/>
    <w:rsid w:val="005840F0"/>
    <w:rsid w:val="00584B10"/>
    <w:rsid w:val="005863A5"/>
    <w:rsid w:val="0059343F"/>
    <w:rsid w:val="00593747"/>
    <w:rsid w:val="005948CF"/>
    <w:rsid w:val="005A6A04"/>
    <w:rsid w:val="005B2B42"/>
    <w:rsid w:val="005B6081"/>
    <w:rsid w:val="005B7F02"/>
    <w:rsid w:val="005C291F"/>
    <w:rsid w:val="005C48BD"/>
    <w:rsid w:val="005C503E"/>
    <w:rsid w:val="005C6C4C"/>
    <w:rsid w:val="005C76C4"/>
    <w:rsid w:val="005C7E52"/>
    <w:rsid w:val="005D0BC8"/>
    <w:rsid w:val="005D3DF8"/>
    <w:rsid w:val="005D431F"/>
    <w:rsid w:val="005D4937"/>
    <w:rsid w:val="005D5E00"/>
    <w:rsid w:val="005E21E6"/>
    <w:rsid w:val="005E39C5"/>
    <w:rsid w:val="00601FDA"/>
    <w:rsid w:val="00606676"/>
    <w:rsid w:val="0060676D"/>
    <w:rsid w:val="00607789"/>
    <w:rsid w:val="006150D3"/>
    <w:rsid w:val="00620266"/>
    <w:rsid w:val="00621BF4"/>
    <w:rsid w:val="00626DDF"/>
    <w:rsid w:val="0062749E"/>
    <w:rsid w:val="00631E52"/>
    <w:rsid w:val="006322F2"/>
    <w:rsid w:val="00632B68"/>
    <w:rsid w:val="0063456A"/>
    <w:rsid w:val="006347E8"/>
    <w:rsid w:val="006468D2"/>
    <w:rsid w:val="006518C0"/>
    <w:rsid w:val="00654D03"/>
    <w:rsid w:val="00657601"/>
    <w:rsid w:val="00657C87"/>
    <w:rsid w:val="00661417"/>
    <w:rsid w:val="006649C8"/>
    <w:rsid w:val="006704BB"/>
    <w:rsid w:val="006740FF"/>
    <w:rsid w:val="0068056D"/>
    <w:rsid w:val="00683049"/>
    <w:rsid w:val="006A28F1"/>
    <w:rsid w:val="006B200A"/>
    <w:rsid w:val="006B75F8"/>
    <w:rsid w:val="006C041E"/>
    <w:rsid w:val="006C1FDB"/>
    <w:rsid w:val="006D2625"/>
    <w:rsid w:val="006D538E"/>
    <w:rsid w:val="006D6A32"/>
    <w:rsid w:val="006E1480"/>
    <w:rsid w:val="006F53E7"/>
    <w:rsid w:val="006F7066"/>
    <w:rsid w:val="006F720B"/>
    <w:rsid w:val="0070239C"/>
    <w:rsid w:val="00706C39"/>
    <w:rsid w:val="00707219"/>
    <w:rsid w:val="007125D0"/>
    <w:rsid w:val="007148B5"/>
    <w:rsid w:val="00717EF2"/>
    <w:rsid w:val="00724344"/>
    <w:rsid w:val="0072743A"/>
    <w:rsid w:val="0073051B"/>
    <w:rsid w:val="00733849"/>
    <w:rsid w:val="0073530B"/>
    <w:rsid w:val="007421C1"/>
    <w:rsid w:val="00742325"/>
    <w:rsid w:val="00746DB4"/>
    <w:rsid w:val="0074740D"/>
    <w:rsid w:val="00751A51"/>
    <w:rsid w:val="0075269B"/>
    <w:rsid w:val="00753691"/>
    <w:rsid w:val="00757852"/>
    <w:rsid w:val="00761105"/>
    <w:rsid w:val="007669AD"/>
    <w:rsid w:val="0076733E"/>
    <w:rsid w:val="00770F90"/>
    <w:rsid w:val="00777430"/>
    <w:rsid w:val="0078219A"/>
    <w:rsid w:val="00784E85"/>
    <w:rsid w:val="00786038"/>
    <w:rsid w:val="00790912"/>
    <w:rsid w:val="00793ACC"/>
    <w:rsid w:val="0079793A"/>
    <w:rsid w:val="007A002B"/>
    <w:rsid w:val="007A2DD8"/>
    <w:rsid w:val="007B328E"/>
    <w:rsid w:val="007B663C"/>
    <w:rsid w:val="007B7D46"/>
    <w:rsid w:val="007C2206"/>
    <w:rsid w:val="007D0250"/>
    <w:rsid w:val="007D2408"/>
    <w:rsid w:val="007D492C"/>
    <w:rsid w:val="007E0F51"/>
    <w:rsid w:val="007E3A64"/>
    <w:rsid w:val="00800CE0"/>
    <w:rsid w:val="00800DD4"/>
    <w:rsid w:val="008010B0"/>
    <w:rsid w:val="008014AF"/>
    <w:rsid w:val="0080274B"/>
    <w:rsid w:val="0080465D"/>
    <w:rsid w:val="008070C8"/>
    <w:rsid w:val="00816549"/>
    <w:rsid w:val="00824618"/>
    <w:rsid w:val="00833532"/>
    <w:rsid w:val="0083403F"/>
    <w:rsid w:val="00843DC8"/>
    <w:rsid w:val="00846C0F"/>
    <w:rsid w:val="00851265"/>
    <w:rsid w:val="00852A23"/>
    <w:rsid w:val="00857000"/>
    <w:rsid w:val="00870CCC"/>
    <w:rsid w:val="008763B6"/>
    <w:rsid w:val="00880293"/>
    <w:rsid w:val="008806D0"/>
    <w:rsid w:val="00891029"/>
    <w:rsid w:val="00891100"/>
    <w:rsid w:val="00895F2A"/>
    <w:rsid w:val="008966DE"/>
    <w:rsid w:val="00896DF9"/>
    <w:rsid w:val="008A0C79"/>
    <w:rsid w:val="008A4A10"/>
    <w:rsid w:val="008A5111"/>
    <w:rsid w:val="008A749E"/>
    <w:rsid w:val="008B0A2E"/>
    <w:rsid w:val="008B2A27"/>
    <w:rsid w:val="008B60BA"/>
    <w:rsid w:val="008B7677"/>
    <w:rsid w:val="008D33C3"/>
    <w:rsid w:val="008D3D49"/>
    <w:rsid w:val="008D6006"/>
    <w:rsid w:val="008E22BE"/>
    <w:rsid w:val="008E309C"/>
    <w:rsid w:val="008E5912"/>
    <w:rsid w:val="008E60D9"/>
    <w:rsid w:val="008F040C"/>
    <w:rsid w:val="008F2FED"/>
    <w:rsid w:val="008F6EC3"/>
    <w:rsid w:val="00900078"/>
    <w:rsid w:val="00901D2A"/>
    <w:rsid w:val="00902AB0"/>
    <w:rsid w:val="00903A59"/>
    <w:rsid w:val="00904920"/>
    <w:rsid w:val="00905F3A"/>
    <w:rsid w:val="00906FEA"/>
    <w:rsid w:val="009118A0"/>
    <w:rsid w:val="0091319F"/>
    <w:rsid w:val="00917D9D"/>
    <w:rsid w:val="00926F20"/>
    <w:rsid w:val="0092779A"/>
    <w:rsid w:val="00942915"/>
    <w:rsid w:val="00947EB3"/>
    <w:rsid w:val="00950E6E"/>
    <w:rsid w:val="00951222"/>
    <w:rsid w:val="00953433"/>
    <w:rsid w:val="0096104B"/>
    <w:rsid w:val="00961AD1"/>
    <w:rsid w:val="009627A5"/>
    <w:rsid w:val="0096547D"/>
    <w:rsid w:val="00965A05"/>
    <w:rsid w:val="009672C2"/>
    <w:rsid w:val="00970848"/>
    <w:rsid w:val="00972E10"/>
    <w:rsid w:val="009741A3"/>
    <w:rsid w:val="0098016C"/>
    <w:rsid w:val="00983556"/>
    <w:rsid w:val="0098415B"/>
    <w:rsid w:val="00987588"/>
    <w:rsid w:val="009902B2"/>
    <w:rsid w:val="00996791"/>
    <w:rsid w:val="009B180E"/>
    <w:rsid w:val="009B3481"/>
    <w:rsid w:val="009B3975"/>
    <w:rsid w:val="009B76B2"/>
    <w:rsid w:val="009C0DD7"/>
    <w:rsid w:val="009D15C3"/>
    <w:rsid w:val="009D720D"/>
    <w:rsid w:val="009E30D5"/>
    <w:rsid w:val="009E4942"/>
    <w:rsid w:val="009F1742"/>
    <w:rsid w:val="009F5C09"/>
    <w:rsid w:val="009F5F95"/>
    <w:rsid w:val="00A0459C"/>
    <w:rsid w:val="00A048ED"/>
    <w:rsid w:val="00A04972"/>
    <w:rsid w:val="00A149E0"/>
    <w:rsid w:val="00A1514F"/>
    <w:rsid w:val="00A174FF"/>
    <w:rsid w:val="00A20429"/>
    <w:rsid w:val="00A2662A"/>
    <w:rsid w:val="00A36211"/>
    <w:rsid w:val="00A36A46"/>
    <w:rsid w:val="00A40800"/>
    <w:rsid w:val="00A44797"/>
    <w:rsid w:val="00A4521B"/>
    <w:rsid w:val="00A45358"/>
    <w:rsid w:val="00A46E3E"/>
    <w:rsid w:val="00A46FB7"/>
    <w:rsid w:val="00A5125D"/>
    <w:rsid w:val="00A55CA0"/>
    <w:rsid w:val="00A566C9"/>
    <w:rsid w:val="00A60EE6"/>
    <w:rsid w:val="00A62043"/>
    <w:rsid w:val="00A67951"/>
    <w:rsid w:val="00A67CC4"/>
    <w:rsid w:val="00A7222E"/>
    <w:rsid w:val="00A76409"/>
    <w:rsid w:val="00A77261"/>
    <w:rsid w:val="00A81E72"/>
    <w:rsid w:val="00A90E15"/>
    <w:rsid w:val="00A9220A"/>
    <w:rsid w:val="00AA1027"/>
    <w:rsid w:val="00AA1D4D"/>
    <w:rsid w:val="00AA6B89"/>
    <w:rsid w:val="00AA7154"/>
    <w:rsid w:val="00AB094F"/>
    <w:rsid w:val="00AC0660"/>
    <w:rsid w:val="00AC2CAF"/>
    <w:rsid w:val="00AC2DD6"/>
    <w:rsid w:val="00AC67E0"/>
    <w:rsid w:val="00AD6C51"/>
    <w:rsid w:val="00AD6CCA"/>
    <w:rsid w:val="00AE4116"/>
    <w:rsid w:val="00AE69F0"/>
    <w:rsid w:val="00AE79EF"/>
    <w:rsid w:val="00AF6BAF"/>
    <w:rsid w:val="00B00915"/>
    <w:rsid w:val="00B02F48"/>
    <w:rsid w:val="00B15144"/>
    <w:rsid w:val="00B16A65"/>
    <w:rsid w:val="00B22152"/>
    <w:rsid w:val="00B35558"/>
    <w:rsid w:val="00B41BDE"/>
    <w:rsid w:val="00B41E32"/>
    <w:rsid w:val="00B41E6E"/>
    <w:rsid w:val="00B45516"/>
    <w:rsid w:val="00B61A03"/>
    <w:rsid w:val="00B61A82"/>
    <w:rsid w:val="00B61B4F"/>
    <w:rsid w:val="00B61F58"/>
    <w:rsid w:val="00B62209"/>
    <w:rsid w:val="00B649C2"/>
    <w:rsid w:val="00B67CCD"/>
    <w:rsid w:val="00B71C15"/>
    <w:rsid w:val="00B71DA3"/>
    <w:rsid w:val="00B729F8"/>
    <w:rsid w:val="00B72EF3"/>
    <w:rsid w:val="00B9278F"/>
    <w:rsid w:val="00B953B0"/>
    <w:rsid w:val="00B976F4"/>
    <w:rsid w:val="00BA507A"/>
    <w:rsid w:val="00BA7154"/>
    <w:rsid w:val="00BA79EE"/>
    <w:rsid w:val="00BB0C60"/>
    <w:rsid w:val="00BB2448"/>
    <w:rsid w:val="00BB4777"/>
    <w:rsid w:val="00BB571F"/>
    <w:rsid w:val="00BD0E4D"/>
    <w:rsid w:val="00BE3D55"/>
    <w:rsid w:val="00BE608D"/>
    <w:rsid w:val="00BE65E3"/>
    <w:rsid w:val="00BF69A7"/>
    <w:rsid w:val="00BF74A2"/>
    <w:rsid w:val="00C003F1"/>
    <w:rsid w:val="00C04B3A"/>
    <w:rsid w:val="00C1251B"/>
    <w:rsid w:val="00C12E80"/>
    <w:rsid w:val="00C20226"/>
    <w:rsid w:val="00C24142"/>
    <w:rsid w:val="00C2653F"/>
    <w:rsid w:val="00C4107B"/>
    <w:rsid w:val="00C420F6"/>
    <w:rsid w:val="00C43AA5"/>
    <w:rsid w:val="00C45E47"/>
    <w:rsid w:val="00C55E1A"/>
    <w:rsid w:val="00C562FD"/>
    <w:rsid w:val="00C626E3"/>
    <w:rsid w:val="00C6417F"/>
    <w:rsid w:val="00C67042"/>
    <w:rsid w:val="00C74BEC"/>
    <w:rsid w:val="00C769A8"/>
    <w:rsid w:val="00C8053E"/>
    <w:rsid w:val="00C81FC2"/>
    <w:rsid w:val="00C848AF"/>
    <w:rsid w:val="00C9278C"/>
    <w:rsid w:val="00CA145B"/>
    <w:rsid w:val="00CA41BC"/>
    <w:rsid w:val="00CA4BE6"/>
    <w:rsid w:val="00CA6D69"/>
    <w:rsid w:val="00CA7898"/>
    <w:rsid w:val="00CB559E"/>
    <w:rsid w:val="00CB69FE"/>
    <w:rsid w:val="00CC48CC"/>
    <w:rsid w:val="00CC57DF"/>
    <w:rsid w:val="00CD1A42"/>
    <w:rsid w:val="00CD2575"/>
    <w:rsid w:val="00CD2F36"/>
    <w:rsid w:val="00CD4DC0"/>
    <w:rsid w:val="00CD7DA0"/>
    <w:rsid w:val="00CE3066"/>
    <w:rsid w:val="00CE3F48"/>
    <w:rsid w:val="00CE43CD"/>
    <w:rsid w:val="00CE6CFD"/>
    <w:rsid w:val="00CF22BB"/>
    <w:rsid w:val="00CF2DED"/>
    <w:rsid w:val="00CF61B1"/>
    <w:rsid w:val="00CF7EC3"/>
    <w:rsid w:val="00D0368C"/>
    <w:rsid w:val="00D10618"/>
    <w:rsid w:val="00D14119"/>
    <w:rsid w:val="00D17D2E"/>
    <w:rsid w:val="00D21758"/>
    <w:rsid w:val="00D23223"/>
    <w:rsid w:val="00D23FFA"/>
    <w:rsid w:val="00D2548C"/>
    <w:rsid w:val="00D2610E"/>
    <w:rsid w:val="00D312B2"/>
    <w:rsid w:val="00D312C3"/>
    <w:rsid w:val="00D408D5"/>
    <w:rsid w:val="00D440EA"/>
    <w:rsid w:val="00D461C5"/>
    <w:rsid w:val="00D478E6"/>
    <w:rsid w:val="00D5515C"/>
    <w:rsid w:val="00D61240"/>
    <w:rsid w:val="00D63115"/>
    <w:rsid w:val="00D636F6"/>
    <w:rsid w:val="00D63C73"/>
    <w:rsid w:val="00D64B23"/>
    <w:rsid w:val="00D714D1"/>
    <w:rsid w:val="00D72803"/>
    <w:rsid w:val="00D81020"/>
    <w:rsid w:val="00D812EB"/>
    <w:rsid w:val="00D838F5"/>
    <w:rsid w:val="00D83FD1"/>
    <w:rsid w:val="00D862CD"/>
    <w:rsid w:val="00D923A5"/>
    <w:rsid w:val="00D945C2"/>
    <w:rsid w:val="00DA2945"/>
    <w:rsid w:val="00DA3C8F"/>
    <w:rsid w:val="00DA53B2"/>
    <w:rsid w:val="00DB0498"/>
    <w:rsid w:val="00DB0ED2"/>
    <w:rsid w:val="00DB4D3F"/>
    <w:rsid w:val="00DB55CF"/>
    <w:rsid w:val="00DB5968"/>
    <w:rsid w:val="00DC0C1E"/>
    <w:rsid w:val="00DC31BB"/>
    <w:rsid w:val="00DC4F87"/>
    <w:rsid w:val="00DC7B67"/>
    <w:rsid w:val="00DD2092"/>
    <w:rsid w:val="00DD2FF5"/>
    <w:rsid w:val="00DD3C10"/>
    <w:rsid w:val="00DD461B"/>
    <w:rsid w:val="00DF2ECD"/>
    <w:rsid w:val="00DF7E83"/>
    <w:rsid w:val="00E00014"/>
    <w:rsid w:val="00E00913"/>
    <w:rsid w:val="00E04139"/>
    <w:rsid w:val="00E10D38"/>
    <w:rsid w:val="00E131EC"/>
    <w:rsid w:val="00E161A4"/>
    <w:rsid w:val="00E1662B"/>
    <w:rsid w:val="00E16B2B"/>
    <w:rsid w:val="00E174F9"/>
    <w:rsid w:val="00E22D4C"/>
    <w:rsid w:val="00E252E8"/>
    <w:rsid w:val="00E346EF"/>
    <w:rsid w:val="00E35A78"/>
    <w:rsid w:val="00E400AB"/>
    <w:rsid w:val="00E446CD"/>
    <w:rsid w:val="00E45791"/>
    <w:rsid w:val="00E47318"/>
    <w:rsid w:val="00E65BDD"/>
    <w:rsid w:val="00E664D8"/>
    <w:rsid w:val="00E66DD8"/>
    <w:rsid w:val="00E775E6"/>
    <w:rsid w:val="00E800F5"/>
    <w:rsid w:val="00E80F8A"/>
    <w:rsid w:val="00E8198F"/>
    <w:rsid w:val="00E8627D"/>
    <w:rsid w:val="00E90E54"/>
    <w:rsid w:val="00E947ED"/>
    <w:rsid w:val="00EA1188"/>
    <w:rsid w:val="00EA4411"/>
    <w:rsid w:val="00EA474E"/>
    <w:rsid w:val="00EA4FF9"/>
    <w:rsid w:val="00EA5572"/>
    <w:rsid w:val="00EB2DCA"/>
    <w:rsid w:val="00EB582F"/>
    <w:rsid w:val="00EC27B9"/>
    <w:rsid w:val="00EC569A"/>
    <w:rsid w:val="00EC65CF"/>
    <w:rsid w:val="00ED30E3"/>
    <w:rsid w:val="00EE173A"/>
    <w:rsid w:val="00EE4192"/>
    <w:rsid w:val="00EE534E"/>
    <w:rsid w:val="00EE5F74"/>
    <w:rsid w:val="00EF1CF4"/>
    <w:rsid w:val="00F02DD6"/>
    <w:rsid w:val="00F0650A"/>
    <w:rsid w:val="00F101DE"/>
    <w:rsid w:val="00F11E6B"/>
    <w:rsid w:val="00F17E0E"/>
    <w:rsid w:val="00F22A04"/>
    <w:rsid w:val="00F25DDF"/>
    <w:rsid w:val="00F27134"/>
    <w:rsid w:val="00F3154F"/>
    <w:rsid w:val="00F33129"/>
    <w:rsid w:val="00F341F9"/>
    <w:rsid w:val="00F357CD"/>
    <w:rsid w:val="00F432AD"/>
    <w:rsid w:val="00F4368F"/>
    <w:rsid w:val="00F46CCD"/>
    <w:rsid w:val="00F5115B"/>
    <w:rsid w:val="00F53DB3"/>
    <w:rsid w:val="00F541F4"/>
    <w:rsid w:val="00F54DA6"/>
    <w:rsid w:val="00F56093"/>
    <w:rsid w:val="00F63EE4"/>
    <w:rsid w:val="00F71448"/>
    <w:rsid w:val="00F72C16"/>
    <w:rsid w:val="00F770E6"/>
    <w:rsid w:val="00F81846"/>
    <w:rsid w:val="00F91EF1"/>
    <w:rsid w:val="00F92535"/>
    <w:rsid w:val="00F9327D"/>
    <w:rsid w:val="00FA27BD"/>
    <w:rsid w:val="00FA2C80"/>
    <w:rsid w:val="00FA533D"/>
    <w:rsid w:val="00FA6195"/>
    <w:rsid w:val="00FA76FE"/>
    <w:rsid w:val="00FB33CD"/>
    <w:rsid w:val="00FB3417"/>
    <w:rsid w:val="00FB7334"/>
    <w:rsid w:val="00FD2995"/>
    <w:rsid w:val="00FD2D63"/>
    <w:rsid w:val="00FD6EF8"/>
    <w:rsid w:val="00FD7F87"/>
    <w:rsid w:val="00FE07E4"/>
    <w:rsid w:val="00FE1214"/>
    <w:rsid w:val="00FE72B6"/>
    <w:rsid w:val="00FF3224"/>
    <w:rsid w:val="00FF3E5B"/>
    <w:rsid w:val="474A1981"/>
    <w:rsid w:val="5C55312A"/>
    <w:rsid w:val="67C6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link w:val="19"/>
    <w:qFormat/>
    <w:uiPriority w:val="0"/>
    <w:rPr>
      <w:rFonts w:ascii="宋体" w:hAnsi="宋体"/>
      <w:sz w:val="28"/>
      <w:szCs w:val="20"/>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4"/>
    <w:semiHidden/>
    <w:unhideWhenUsed/>
    <w:qFormat/>
    <w:uiPriority w:val="99"/>
    <w:rPr>
      <w:kern w:val="0"/>
      <w:sz w:val="18"/>
      <w:szCs w:val="18"/>
    </w:rPr>
  </w:style>
  <w:style w:type="paragraph" w:styleId="6">
    <w:name w:val="footer"/>
    <w:basedOn w:val="1"/>
    <w:link w:val="12"/>
    <w:unhideWhenUsed/>
    <w:qFormat/>
    <w:uiPriority w:val="99"/>
    <w:pPr>
      <w:tabs>
        <w:tab w:val="center" w:pos="4153"/>
        <w:tab w:val="right" w:pos="8306"/>
      </w:tabs>
      <w:snapToGrid w:val="0"/>
      <w:jc w:val="left"/>
    </w:pPr>
    <w:rPr>
      <w:kern w:val="0"/>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2"/>
    <w:next w:val="2"/>
    <w:link w:val="16"/>
    <w:semiHidden/>
    <w:unhideWhenUsed/>
    <w:qFormat/>
    <w:uiPriority w:val="99"/>
    <w:rPr>
      <w:b/>
      <w:bCs/>
      <w:kern w:val="0"/>
      <w:sz w:val="20"/>
      <w:szCs w:val="20"/>
    </w:rPr>
  </w:style>
  <w:style w:type="character" w:styleId="11">
    <w:name w:val="annotation reference"/>
    <w:semiHidden/>
    <w:unhideWhenUsed/>
    <w:qFormat/>
    <w:uiPriority w:val="99"/>
    <w:rPr>
      <w:sz w:val="21"/>
      <w:szCs w:val="21"/>
    </w:rPr>
  </w:style>
  <w:style w:type="character" w:customStyle="1" w:styleId="12">
    <w:name w:val="页脚 字符"/>
    <w:link w:val="6"/>
    <w:qFormat/>
    <w:uiPriority w:val="99"/>
    <w:rPr>
      <w:sz w:val="18"/>
      <w:szCs w:val="18"/>
    </w:rPr>
  </w:style>
  <w:style w:type="character" w:customStyle="1" w:styleId="13">
    <w:name w:val="页眉 字符"/>
    <w:link w:val="7"/>
    <w:qFormat/>
    <w:uiPriority w:val="99"/>
    <w:rPr>
      <w:sz w:val="18"/>
      <w:szCs w:val="18"/>
    </w:rPr>
  </w:style>
  <w:style w:type="character" w:customStyle="1" w:styleId="14">
    <w:name w:val="批注框文本 字符"/>
    <w:link w:val="5"/>
    <w:semiHidden/>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link w:val="8"/>
    <w:semiHidden/>
    <w:qFormat/>
    <w:uiPriority w:val="99"/>
    <w:rPr>
      <w:b/>
      <w:bCs/>
    </w:rPr>
  </w:style>
  <w:style w:type="paragraph" w:customStyle="1" w:styleId="17">
    <w:name w:val="彩色底纹 - 强调文字颜色 11"/>
    <w:hidden/>
    <w:semiHidden/>
    <w:qFormat/>
    <w:uiPriority w:val="99"/>
    <w:rPr>
      <w:rFonts w:ascii="Calibri" w:hAnsi="Calibri" w:eastAsia="宋体" w:cs="Times New Roman"/>
      <w:kern w:val="2"/>
      <w:sz w:val="21"/>
      <w:szCs w:val="22"/>
      <w:lang w:val="en-US" w:eastAsia="zh-CN" w:bidi="ar-SA"/>
    </w:rPr>
  </w:style>
  <w:style w:type="character" w:customStyle="1" w:styleId="18">
    <w:name w:val="正文文本 Char"/>
    <w:semiHidden/>
    <w:qFormat/>
    <w:uiPriority w:val="99"/>
    <w:rPr>
      <w:kern w:val="2"/>
      <w:sz w:val="21"/>
      <w:szCs w:val="22"/>
    </w:rPr>
  </w:style>
  <w:style w:type="character" w:customStyle="1" w:styleId="19">
    <w:name w:val="正文文本 字符"/>
    <w:link w:val="3"/>
    <w:qFormat/>
    <w:uiPriority w:val="0"/>
    <w:rPr>
      <w:rFonts w:ascii="宋体" w:hAnsi="宋体"/>
      <w:kern w:val="2"/>
      <w:sz w:val="28"/>
    </w:rPr>
  </w:style>
  <w:style w:type="character" w:customStyle="1" w:styleId="20">
    <w:name w:val="日期 字符"/>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463;&#23572;\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86972-CD10-42FE-B67C-48142B8ED141}">
  <ds:schemaRefs/>
</ds:datastoreItem>
</file>

<file path=docProps/app.xml><?xml version="1.0" encoding="utf-8"?>
<Properties xmlns="http://schemas.openxmlformats.org/officeDocument/2006/extended-properties" xmlns:vt="http://schemas.openxmlformats.org/officeDocument/2006/docPropsVTypes">
  <Template>SSEReport</Template>
  <Company>China</Company>
  <Pages>3</Pages>
  <Words>360</Words>
  <Characters>2057</Characters>
  <Lines>17</Lines>
  <Paragraphs>4</Paragraphs>
  <TotalTime>0</TotalTime>
  <ScaleCrop>false</ScaleCrop>
  <LinksUpToDate>false</LinksUpToDate>
  <CharactersWithSpaces>2413</CharactersWithSpaces>
  <Application>WPS Office_11.8.2.11027_F1E327BC-269C-435d-A152-05C5408002CA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2014-06-24T06:33:00Z</dcterms:created>
  <dc:creator>sxl</dc:creator>
  <cp:lastModifiedBy>王明蕊</cp:lastModifiedBy>
  <cp:lastPrinted>2014-06-11T12:15:00Z</cp:lastPrinted>
  <dcterms:modified xsi:type="dcterms:W3CDTF">2022-08-25T02:10:48Z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2052-11.8.2.11027</vt:lpwstr>
  </property>
  <property fmtid="{D5CDD505-2E9C-101B-9397-08002B2CF9AE}" pid="3" name="ICV">
    <vt:lpwstr>8F16682D103947E0B9801D1538443A1D</vt:lpwstr>
  </property>
</Properties>
</file>