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宋体" w:cs="Times New Roman"/>
          <w:b/>
          <w:kern w:val="0"/>
          <w:sz w:val="24"/>
        </w:rPr>
      </w:pPr>
      <w:r>
        <w:rPr>
          <w:rFonts w:ascii="Times New Roman" w:hAnsi="Times New Roman" w:eastAsia="宋体" w:cs="Times New Roman"/>
          <w:b/>
          <w:kern w:val="0"/>
          <w:sz w:val="24"/>
        </w:rPr>
        <w:t>附件1：</w:t>
      </w:r>
    </w:p>
    <w:p>
      <w:pPr>
        <w:widowControl/>
        <w:spacing w:before="120" w:beforeLines="50"/>
        <w:ind w:left="-73" w:leftChars="-35" w:right="-477" w:rightChars="-227"/>
        <w:jc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1"/>
        </w:rPr>
        <w:t>2022年第一期泸州市龙驰实业集团有限责任公司公司债券</w:t>
      </w:r>
      <w:r>
        <w:rPr>
          <w:rFonts w:ascii="Times New Roman" w:hAnsi="Times New Roman" w:eastAsia="宋体" w:cs="Times New Roman"/>
          <w:b/>
          <w:kern w:val="0"/>
          <w:sz w:val="20"/>
          <w:szCs w:val="20"/>
        </w:rPr>
        <w:t>申购意向函</w:t>
      </w:r>
    </w:p>
    <w:tbl>
      <w:tblPr>
        <w:tblStyle w:val="4"/>
        <w:tblpPr w:leftFromText="180" w:rightFromText="180" w:vertAnchor="text" w:horzAnchor="margin" w:tblpXSpec="center" w:tblpY="97"/>
        <w:tblW w:w="8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47"/>
        <w:gridCol w:w="1929"/>
        <w:gridCol w:w="39"/>
        <w:gridCol w:w="1984"/>
        <w:gridCol w:w="42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703" w:type="dxa"/>
            <w:gridSpan w:val="7"/>
          </w:tcPr>
          <w:p>
            <w:pPr>
              <w:jc w:val="center"/>
              <w:rPr>
                <w:rFonts w:ascii="Times New Roman" w:hAnsi="Times New Roman" w:eastAsia="仿宋" w:cs="Times New Roman"/>
                <w:b/>
                <w:kern w:val="0"/>
                <w:sz w:val="22"/>
                <w:szCs w:val="21"/>
              </w:rPr>
            </w:pPr>
            <w:r>
              <w:rPr>
                <w:rFonts w:ascii="Times New Roman" w:hAnsi="Times New Roman" w:eastAsia="仿宋" w:cs="Times New Roman"/>
                <w:b/>
                <w:kern w:val="0"/>
                <w:sz w:val="22"/>
                <w:szCs w:val="21"/>
              </w:rPr>
              <w:t>重要声明</w:t>
            </w:r>
          </w:p>
          <w:p>
            <w:pPr>
              <w:ind w:firstLine="440" w:firstLineChars="200"/>
              <w:jc w:val="left"/>
              <w:rPr>
                <w:rFonts w:ascii="Times New Roman" w:hAnsi="Times New Roman" w:eastAsia="仿宋" w:cs="Times New Roman"/>
                <w:kern w:val="0"/>
                <w:sz w:val="22"/>
                <w:szCs w:val="21"/>
              </w:rPr>
            </w:pPr>
            <w:r>
              <w:rPr>
                <w:rFonts w:ascii="Times New Roman" w:hAnsi="Times New Roman" w:eastAsia="仿宋" w:cs="Times New Roman"/>
                <w:kern w:val="0"/>
                <w:sz w:val="22"/>
                <w:szCs w:val="21"/>
              </w:rPr>
              <w:t>1、填表前请详细阅读募集说明书及填表说明。</w:t>
            </w:r>
          </w:p>
          <w:p>
            <w:pPr>
              <w:ind w:firstLine="440" w:firstLineChars="200"/>
              <w:jc w:val="left"/>
              <w:rPr>
                <w:rFonts w:ascii="Times New Roman" w:hAnsi="Times New Roman" w:eastAsia="仿宋" w:cs="Times New Roman"/>
                <w:kern w:val="0"/>
                <w:sz w:val="22"/>
                <w:szCs w:val="21"/>
              </w:rPr>
            </w:pPr>
            <w:r>
              <w:rPr>
                <w:rFonts w:ascii="Times New Roman" w:hAnsi="Times New Roman" w:eastAsia="仿宋" w:cs="Times New Roman"/>
                <w:kern w:val="0"/>
                <w:sz w:val="22"/>
                <w:szCs w:val="21"/>
              </w:rPr>
              <w:t>2、本表一经申购人完整填写并签章，传真至簿记管理人后，即对申购人具有法律约束力，不可撤销。</w:t>
            </w:r>
          </w:p>
          <w:p>
            <w:pPr>
              <w:ind w:firstLine="440" w:firstLineChars="200"/>
              <w:jc w:val="left"/>
              <w:rPr>
                <w:rFonts w:ascii="Times New Roman" w:hAnsi="Times New Roman" w:eastAsia="仿宋" w:cs="Times New Roman"/>
                <w:kern w:val="0"/>
                <w:sz w:val="22"/>
                <w:szCs w:val="21"/>
              </w:rPr>
            </w:pPr>
            <w:r>
              <w:rPr>
                <w:rFonts w:ascii="Times New Roman" w:hAnsi="Times New Roman" w:eastAsia="仿宋" w:cs="Times New Roman"/>
                <w:kern w:val="0"/>
                <w:sz w:val="22"/>
                <w:szCs w:val="21"/>
              </w:rPr>
              <w:t>3、申购人承诺并保证其将根据簿记管理人确定的配售数量按时完成缴款。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703" w:type="dxa"/>
            <w:gridSpan w:val="7"/>
          </w:tcPr>
          <w:p>
            <w:pPr>
              <w:jc w:val="center"/>
              <w:rPr>
                <w:rFonts w:ascii="Times New Roman" w:hAnsi="Times New Roman" w:eastAsia="仿宋" w:cs="Times New Roman"/>
                <w:b/>
                <w:kern w:val="0"/>
                <w:sz w:val="22"/>
                <w:szCs w:val="21"/>
                <w:lang w:eastAsia="en-US"/>
              </w:rPr>
            </w:pPr>
            <w:r>
              <w:rPr>
                <w:rFonts w:ascii="Times New Roman" w:hAnsi="Times New Roman" w:eastAsia="仿宋" w:cs="Times New Roman"/>
                <w:b/>
                <w:kern w:val="0"/>
                <w:sz w:val="22"/>
                <w:szCs w:val="21"/>
                <w:lang w:eastAsia="en-US"/>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rPr>
              <w:t>投资者</w:t>
            </w:r>
            <w:r>
              <w:rPr>
                <w:rFonts w:ascii="Times New Roman" w:hAnsi="Times New Roman" w:eastAsia="仿宋" w:cs="Times New Roman"/>
                <w:kern w:val="0"/>
                <w:sz w:val="22"/>
                <w:szCs w:val="21"/>
                <w:lang w:eastAsia="en-US"/>
              </w:rPr>
              <w:t>名称</w:t>
            </w:r>
          </w:p>
        </w:tc>
        <w:tc>
          <w:tcPr>
            <w:tcW w:w="6281" w:type="dxa"/>
            <w:gridSpan w:val="5"/>
            <w:vAlign w:val="center"/>
          </w:tcPr>
          <w:p>
            <w:pPr>
              <w:spacing w:before="24" w:beforeLines="10" w:after="24" w:afterLines="10"/>
              <w:jc w:val="center"/>
              <w:rPr>
                <w:rFonts w:ascii="Times New Roman" w:hAnsi="Times New Roman" w:eastAsia="仿宋" w:cs="Times New Roman"/>
                <w:kern w:val="0"/>
                <w:sz w:val="22"/>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4390" w:type="dxa"/>
            <w:gridSpan w:val="4"/>
            <w:vAlign w:val="center"/>
          </w:tcPr>
          <w:p>
            <w:pPr>
              <w:spacing w:before="24" w:beforeLines="10" w:after="24" w:afterLines="10"/>
              <w:jc w:val="left"/>
              <w:rPr>
                <w:rFonts w:ascii="Times New Roman" w:hAnsi="Times New Roman" w:eastAsia="仿宋" w:cs="Times New Roman"/>
                <w:kern w:val="0"/>
                <w:sz w:val="22"/>
                <w:szCs w:val="21"/>
              </w:rPr>
            </w:pPr>
            <w:r>
              <w:rPr>
                <w:rFonts w:ascii="Times New Roman" w:hAnsi="Times New Roman" w:eastAsia="仿宋" w:cs="Times New Roman"/>
                <w:kern w:val="0"/>
                <w:sz w:val="22"/>
                <w:szCs w:val="21"/>
              </w:rPr>
              <w:t>是否为发行人的董事、监事、高级管理人员、持股比例超过5%的股东或其他关联方</w:t>
            </w:r>
          </w:p>
        </w:tc>
        <w:tc>
          <w:tcPr>
            <w:tcW w:w="2409"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是（   ）</w:t>
            </w:r>
          </w:p>
        </w:tc>
        <w:tc>
          <w:tcPr>
            <w:tcW w:w="1904" w:type="dxa"/>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法定代表人</w:t>
            </w:r>
          </w:p>
        </w:tc>
        <w:tc>
          <w:tcPr>
            <w:tcW w:w="1968" w:type="dxa"/>
            <w:gridSpan w:val="2"/>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c>
          <w:tcPr>
            <w:tcW w:w="2409"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统一社会信用代码</w:t>
            </w:r>
          </w:p>
        </w:tc>
        <w:tc>
          <w:tcPr>
            <w:tcW w:w="1904" w:type="dxa"/>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经办人姓名</w:t>
            </w:r>
          </w:p>
        </w:tc>
        <w:tc>
          <w:tcPr>
            <w:tcW w:w="1968" w:type="dxa"/>
            <w:gridSpan w:val="2"/>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c>
          <w:tcPr>
            <w:tcW w:w="2409"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rPr>
              <w:t>经办人身份证号</w:t>
            </w:r>
          </w:p>
        </w:tc>
        <w:tc>
          <w:tcPr>
            <w:tcW w:w="1904" w:type="dxa"/>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联系电话（座机）</w:t>
            </w:r>
          </w:p>
        </w:tc>
        <w:tc>
          <w:tcPr>
            <w:tcW w:w="1968" w:type="dxa"/>
            <w:gridSpan w:val="2"/>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c>
          <w:tcPr>
            <w:tcW w:w="2409"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联系电话（手机）</w:t>
            </w:r>
          </w:p>
        </w:tc>
        <w:tc>
          <w:tcPr>
            <w:tcW w:w="1904" w:type="dxa"/>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经办人邮箱</w:t>
            </w:r>
          </w:p>
        </w:tc>
        <w:tc>
          <w:tcPr>
            <w:tcW w:w="1968" w:type="dxa"/>
            <w:gridSpan w:val="2"/>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c>
          <w:tcPr>
            <w:tcW w:w="2409" w:type="dxa"/>
            <w:gridSpan w:val="2"/>
            <w:vAlign w:val="center"/>
          </w:tcPr>
          <w:p>
            <w:pPr>
              <w:spacing w:before="24" w:beforeLines="10" w:after="24" w:afterLines="10"/>
              <w:jc w:val="left"/>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传真号码</w:t>
            </w:r>
          </w:p>
        </w:tc>
        <w:tc>
          <w:tcPr>
            <w:tcW w:w="1904" w:type="dxa"/>
            <w:vAlign w:val="center"/>
          </w:tcPr>
          <w:p>
            <w:pPr>
              <w:spacing w:before="24" w:beforeLines="10" w:after="24" w:afterLines="10"/>
              <w:ind w:firstLine="360"/>
              <w:jc w:val="left"/>
              <w:rPr>
                <w:rFonts w:ascii="Times New Roman" w:hAnsi="Times New Roman" w:eastAsia="仿宋" w:cs="Times New Roman"/>
                <w:kern w:val="0"/>
                <w:sz w:val="22"/>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Merge w:val="restart"/>
            <w:vAlign w:val="center"/>
          </w:tcPr>
          <w:p>
            <w:pPr>
              <w:jc w:val="left"/>
              <w:rPr>
                <w:rFonts w:ascii="Times New Roman" w:hAnsi="Times New Roman" w:eastAsia="仿宋" w:cs="Times New Roman"/>
                <w:kern w:val="0"/>
                <w:sz w:val="22"/>
              </w:rPr>
            </w:pPr>
            <w:r>
              <w:rPr>
                <w:rFonts w:ascii="Times New Roman" w:hAnsi="Times New Roman" w:eastAsia="仿宋" w:cs="Times New Roman"/>
                <w:kern w:val="0"/>
                <w:sz w:val="22"/>
              </w:rPr>
              <w:t>中央国债登记公司的一级托管账户详情</w:t>
            </w:r>
          </w:p>
        </w:tc>
        <w:tc>
          <w:tcPr>
            <w:tcW w:w="6281" w:type="dxa"/>
            <w:gridSpan w:val="5"/>
          </w:tcPr>
          <w:p>
            <w:pPr>
              <w:spacing w:before="24" w:beforeLines="10" w:after="24" w:afterLines="10"/>
              <w:jc w:val="left"/>
              <w:rPr>
                <w:rFonts w:ascii="Times New Roman" w:hAnsi="Times New Roman" w:eastAsia="仿宋" w:cs="Times New Roman"/>
                <w:kern w:val="0"/>
                <w:sz w:val="22"/>
              </w:rPr>
            </w:pPr>
            <w:r>
              <w:rPr>
                <w:rFonts w:ascii="Times New Roman" w:hAnsi="Times New Roman" w:eastAsia="仿宋" w:cs="Times New Roman"/>
                <w:kern w:val="0"/>
                <w:sz w:val="22"/>
                <w:lang w:eastAsia="en-US"/>
              </w:rPr>
              <w:t>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Merge w:val="continue"/>
            <w:vAlign w:val="center"/>
          </w:tcPr>
          <w:p>
            <w:pPr>
              <w:spacing w:before="24" w:beforeLines="10" w:after="24" w:afterLines="10"/>
              <w:jc w:val="left"/>
              <w:rPr>
                <w:rFonts w:ascii="Times New Roman" w:hAnsi="Times New Roman" w:eastAsia="仿宋" w:cs="Times New Roman"/>
                <w:kern w:val="0"/>
                <w:sz w:val="22"/>
                <w:szCs w:val="21"/>
              </w:rPr>
            </w:pPr>
          </w:p>
        </w:tc>
        <w:tc>
          <w:tcPr>
            <w:tcW w:w="6281" w:type="dxa"/>
            <w:gridSpan w:val="5"/>
          </w:tcPr>
          <w:p>
            <w:pPr>
              <w:spacing w:before="24" w:beforeLines="10" w:after="24" w:afterLines="10"/>
              <w:jc w:val="left"/>
              <w:rPr>
                <w:rFonts w:ascii="Times New Roman" w:hAnsi="Times New Roman" w:eastAsia="仿宋" w:cs="Times New Roman"/>
                <w:kern w:val="0"/>
                <w:sz w:val="22"/>
              </w:rPr>
            </w:pPr>
            <w:r>
              <w:rPr>
                <w:rFonts w:ascii="Times New Roman" w:hAnsi="Times New Roman" w:eastAsia="仿宋" w:cs="Times New Roman"/>
                <w:kern w:val="0"/>
                <w:sz w:val="22"/>
                <w:lang w:eastAsia="en-US"/>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Merge w:val="restart"/>
            <w:vAlign w:val="center"/>
          </w:tcPr>
          <w:p>
            <w:pPr>
              <w:jc w:val="left"/>
              <w:rPr>
                <w:rFonts w:ascii="Times New Roman" w:hAnsi="Times New Roman" w:eastAsia="仿宋" w:cs="Times New Roman"/>
                <w:kern w:val="0"/>
                <w:sz w:val="22"/>
              </w:rPr>
            </w:pPr>
            <w:r>
              <w:rPr>
                <w:rFonts w:ascii="Times New Roman" w:hAnsi="Times New Roman" w:eastAsia="仿宋" w:cs="Times New Roman"/>
                <w:kern w:val="0"/>
                <w:sz w:val="22"/>
              </w:rPr>
              <w:t>中国证券登记公司上海分公司的托管账户详情</w:t>
            </w:r>
          </w:p>
        </w:tc>
        <w:tc>
          <w:tcPr>
            <w:tcW w:w="6281" w:type="dxa"/>
            <w:gridSpan w:val="5"/>
          </w:tcPr>
          <w:p>
            <w:pPr>
              <w:spacing w:before="24" w:beforeLines="10" w:after="24" w:afterLines="10"/>
              <w:jc w:val="left"/>
              <w:rPr>
                <w:rFonts w:ascii="Times New Roman" w:hAnsi="Times New Roman" w:eastAsia="仿宋" w:cs="Times New Roman"/>
                <w:kern w:val="0"/>
                <w:sz w:val="22"/>
              </w:rPr>
            </w:pPr>
            <w:r>
              <w:rPr>
                <w:rFonts w:ascii="Times New Roman" w:hAnsi="Times New Roman" w:eastAsia="仿宋" w:cs="Times New Roman"/>
                <w:kern w:val="0"/>
                <w:sz w:val="22"/>
                <w:lang w:eastAsia="en-US"/>
              </w:rPr>
              <w:t>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1" w:hRule="atLeast"/>
        </w:trPr>
        <w:tc>
          <w:tcPr>
            <w:tcW w:w="2422" w:type="dxa"/>
            <w:gridSpan w:val="2"/>
            <w:vMerge w:val="continue"/>
            <w:vAlign w:val="center"/>
          </w:tcPr>
          <w:p>
            <w:pPr>
              <w:spacing w:before="24" w:beforeLines="10" w:after="24" w:afterLines="10"/>
              <w:jc w:val="left"/>
              <w:rPr>
                <w:rFonts w:ascii="Times New Roman" w:hAnsi="Times New Roman" w:eastAsia="仿宋" w:cs="Times New Roman"/>
                <w:kern w:val="0"/>
                <w:sz w:val="22"/>
                <w:szCs w:val="21"/>
              </w:rPr>
            </w:pPr>
          </w:p>
        </w:tc>
        <w:tc>
          <w:tcPr>
            <w:tcW w:w="6281" w:type="dxa"/>
            <w:gridSpan w:val="5"/>
          </w:tcPr>
          <w:p>
            <w:pPr>
              <w:spacing w:before="24" w:beforeLines="10" w:after="24" w:afterLines="10"/>
              <w:jc w:val="left"/>
              <w:rPr>
                <w:rFonts w:ascii="Times New Roman" w:hAnsi="Times New Roman" w:eastAsia="仿宋" w:cs="Times New Roman"/>
                <w:kern w:val="0"/>
                <w:sz w:val="22"/>
              </w:rPr>
            </w:pPr>
            <w:r>
              <w:rPr>
                <w:rFonts w:ascii="Times New Roman" w:hAnsi="Times New Roman" w:eastAsia="仿宋" w:cs="Times New Roman"/>
                <w:kern w:val="0"/>
                <w:sz w:val="22"/>
                <w:lang w:eastAsia="en-US"/>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 w:hRule="atLeast"/>
        </w:trPr>
        <w:tc>
          <w:tcPr>
            <w:tcW w:w="8703" w:type="dxa"/>
            <w:gridSpan w:val="7"/>
            <w:vAlign w:val="center"/>
          </w:tcPr>
          <w:p>
            <w:pPr>
              <w:jc w:val="left"/>
              <w:rPr>
                <w:rFonts w:ascii="Times New Roman" w:hAnsi="Times New Roman" w:eastAsia="仿宋" w:cs="Times New Roman"/>
                <w:b/>
                <w:kern w:val="0"/>
                <w:sz w:val="22"/>
                <w:szCs w:val="21"/>
              </w:rPr>
            </w:pPr>
            <w:r>
              <w:rPr>
                <w:rFonts w:ascii="Times New Roman" w:hAnsi="Times New Roman" w:eastAsia="仿宋" w:cs="Times New Roman"/>
                <w:b/>
                <w:kern w:val="0"/>
                <w:sz w:val="22"/>
                <w:szCs w:val="21"/>
              </w:rPr>
              <w:t>本单位在此同意并确认：</w:t>
            </w:r>
          </w:p>
          <w:p>
            <w:pPr>
              <w:ind w:firstLine="442" w:firstLineChars="200"/>
              <w:jc w:val="left"/>
              <w:rPr>
                <w:rFonts w:ascii="Times New Roman" w:hAnsi="Times New Roman" w:eastAsia="仿宋" w:cs="Times New Roman"/>
                <w:b/>
                <w:kern w:val="0"/>
                <w:sz w:val="22"/>
                <w:szCs w:val="21"/>
              </w:rPr>
            </w:pPr>
            <w:r>
              <w:rPr>
                <w:rFonts w:ascii="Times New Roman" w:hAnsi="Times New Roman" w:eastAsia="仿宋" w:cs="Times New Roman"/>
                <w:b/>
                <w:kern w:val="0"/>
                <w:sz w:val="22"/>
                <w:szCs w:val="21"/>
              </w:rPr>
              <w:t>对于2022年第一期泸州市龙驰实业集团有限责任公司公司债券：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 w:hRule="atLeast"/>
        </w:trPr>
        <w:tc>
          <w:tcPr>
            <w:tcW w:w="8703" w:type="dxa"/>
            <w:gridSpan w:val="7"/>
            <w:vAlign w:val="center"/>
          </w:tcPr>
          <w:p>
            <w:pPr>
              <w:spacing w:before="26"/>
              <w:ind w:right="1756"/>
              <w:jc w:val="center"/>
              <w:rPr>
                <w:rFonts w:ascii="Times New Roman" w:hAnsi="Times New Roman" w:eastAsia="仿宋" w:cs="Times New Roman"/>
                <w:b/>
                <w:kern w:val="0"/>
                <w:sz w:val="24"/>
              </w:rPr>
            </w:pPr>
            <w:r>
              <w:rPr>
                <w:rFonts w:ascii="Times New Roman" w:hAnsi="Times New Roman" w:eastAsia="仿宋" w:cs="Times New Roman"/>
                <w:b/>
                <w:kern w:val="0"/>
                <w:sz w:val="24"/>
                <w:szCs w:val="22"/>
              </w:rPr>
              <w:t>申购利率及申购金额（申购利率不超过</w:t>
            </w:r>
            <w:r>
              <w:rPr>
                <w:rFonts w:hint="eastAsia" w:ascii="Times New Roman" w:hAnsi="Times New Roman" w:eastAsia="仿宋" w:cs="Times New Roman"/>
                <w:b/>
                <w:kern w:val="0"/>
                <w:sz w:val="24"/>
                <w:szCs w:val="22"/>
                <w:lang w:val="en-US" w:eastAsia="zh-CN"/>
              </w:rPr>
              <w:t>5</w:t>
            </w:r>
            <w:r>
              <w:rPr>
                <w:rFonts w:ascii="Times New Roman" w:hAnsi="Times New Roman" w:eastAsia="仿宋" w:cs="Times New Roman"/>
                <w:b/>
                <w:kern w:val="0"/>
                <w:sz w:val="24"/>
                <w:szCs w:val="22"/>
              </w:rPr>
              <w:t>.</w:t>
            </w:r>
            <w:r>
              <w:rPr>
                <w:rFonts w:hint="eastAsia" w:ascii="Times New Roman" w:hAnsi="Times New Roman" w:eastAsia="仿宋" w:cs="Times New Roman"/>
                <w:b/>
                <w:kern w:val="0"/>
                <w:sz w:val="24"/>
                <w:szCs w:val="22"/>
                <w:lang w:val="en-US" w:eastAsia="zh-CN"/>
              </w:rPr>
              <w:t>8</w:t>
            </w:r>
            <w:r>
              <w:rPr>
                <w:rFonts w:ascii="Times New Roman" w:hAnsi="Times New Roman" w:eastAsia="仿宋" w:cs="Times New Roman"/>
                <w:b/>
                <w:kern w:val="0"/>
                <w:sz w:val="24"/>
                <w:szCs w:val="22"/>
              </w:rPr>
              <w:t>0%</w:t>
            </w:r>
            <w:r>
              <w:rPr>
                <w:rFonts w:hint="eastAsia" w:ascii="Times New Roman" w:hAnsi="Times New Roman" w:eastAsia="仿宋" w:cs="Times New Roman"/>
                <w:b/>
                <w:kern w:val="0"/>
                <w:sz w:val="24"/>
                <w:szCs w:val="22"/>
                <w:lang w:eastAsia="zh-CN"/>
              </w:rPr>
              <w:t>，</w:t>
            </w:r>
            <w:r>
              <w:rPr>
                <w:rFonts w:hint="eastAsia" w:ascii="Times New Roman" w:hAnsi="Times New Roman" w:eastAsia="仿宋" w:cs="Times New Roman"/>
                <w:b/>
                <w:kern w:val="0"/>
                <w:sz w:val="24"/>
                <w:szCs w:val="22"/>
                <w:lang w:val="en-US" w:eastAsia="zh-CN"/>
              </w:rPr>
              <w:t>含5.80%</w:t>
            </w:r>
            <w:r>
              <w:rPr>
                <w:rFonts w:ascii="Times New Roman" w:hAnsi="Times New Roman" w:eastAsia="仿宋" w:cs="Times New Roman"/>
                <w:b/>
                <w:kern w:val="0"/>
                <w:sz w:val="24"/>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 w:hRule="atLeast"/>
        </w:trPr>
        <w:tc>
          <w:tcPr>
            <w:tcW w:w="2175" w:type="dxa"/>
            <w:vMerge w:val="restart"/>
            <w:vAlign w:val="center"/>
          </w:tcPr>
          <w:p>
            <w:pPr>
              <w:spacing w:before="31"/>
              <w:ind w:left="376" w:right="264" w:hanging="240"/>
              <w:jc w:val="center"/>
              <w:rPr>
                <w:rFonts w:ascii="Times New Roman" w:hAnsi="Times New Roman" w:eastAsia="仿宋" w:cs="Times New Roman"/>
                <w:kern w:val="0"/>
                <w:sz w:val="22"/>
                <w:szCs w:val="21"/>
                <w:lang w:eastAsia="en-US"/>
              </w:rPr>
            </w:pPr>
            <w:r>
              <w:rPr>
                <w:rFonts w:ascii="Times New Roman" w:hAnsi="Times New Roman" w:eastAsia="仿宋" w:cs="Times New Roman"/>
                <w:kern w:val="0"/>
                <w:sz w:val="22"/>
                <w:szCs w:val="21"/>
                <w:lang w:eastAsia="en-US"/>
              </w:rPr>
              <w:t>申购利率</w:t>
            </w:r>
            <w:r>
              <w:rPr>
                <w:rFonts w:ascii="Times New Roman" w:hAnsi="Times New Roman" w:eastAsia="仿宋" w:cs="Times New Roman"/>
                <w:kern w:val="0"/>
                <w:sz w:val="22"/>
                <w:szCs w:val="21"/>
              </w:rPr>
              <w:t xml:space="preserve">（%）        </w:t>
            </w:r>
          </w:p>
        </w:tc>
        <w:tc>
          <w:tcPr>
            <w:tcW w:w="2176" w:type="dxa"/>
            <w:gridSpan w:val="2"/>
            <w:vMerge w:val="restart"/>
            <w:vAlign w:val="center"/>
          </w:tcPr>
          <w:p>
            <w:pPr>
              <w:spacing w:before="31"/>
              <w:ind w:left="198" w:right="331"/>
              <w:jc w:val="center"/>
              <w:rPr>
                <w:rFonts w:ascii="Times New Roman" w:hAnsi="Times New Roman" w:eastAsia="仿宋" w:cs="Times New Roman"/>
                <w:kern w:val="0"/>
                <w:sz w:val="22"/>
                <w:szCs w:val="21"/>
              </w:rPr>
            </w:pPr>
            <w:r>
              <w:rPr>
                <w:rFonts w:ascii="Times New Roman" w:hAnsi="Times New Roman" w:eastAsia="仿宋" w:cs="Times New Roman"/>
                <w:kern w:val="0"/>
                <w:sz w:val="22"/>
                <w:szCs w:val="21"/>
              </w:rPr>
              <w:t>申购金额（单位：人民币万元）</w:t>
            </w:r>
          </w:p>
        </w:tc>
        <w:tc>
          <w:tcPr>
            <w:tcW w:w="4352" w:type="dxa"/>
            <w:gridSpan w:val="4"/>
            <w:vAlign w:val="center"/>
          </w:tcPr>
          <w:p>
            <w:pPr>
              <w:spacing w:before="26"/>
              <w:ind w:left="123"/>
              <w:jc w:val="center"/>
              <w:rPr>
                <w:rFonts w:ascii="Times New Roman" w:hAnsi="Times New Roman" w:eastAsia="仿宋" w:cs="Times New Roman"/>
                <w:kern w:val="0"/>
                <w:sz w:val="22"/>
                <w:szCs w:val="21"/>
              </w:rPr>
            </w:pPr>
            <w:r>
              <w:rPr>
                <w:rFonts w:ascii="Times New Roman" w:hAnsi="Times New Roman" w:eastAsia="仿宋" w:cs="Times New Roman"/>
                <w:kern w:val="0"/>
                <w:sz w:val="22"/>
                <w:szCs w:val="21"/>
              </w:rPr>
              <w:t>托管场所选择（不填默认为中央国债登记公司）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trPr>
        <w:tc>
          <w:tcPr>
            <w:tcW w:w="2175" w:type="dxa"/>
            <w:vMerge w:val="continue"/>
            <w:vAlign w:val="center"/>
          </w:tcPr>
          <w:p>
            <w:pPr>
              <w:spacing w:before="26"/>
              <w:ind w:left="1625" w:right="1756"/>
              <w:jc w:val="center"/>
              <w:rPr>
                <w:rFonts w:ascii="Times New Roman" w:hAnsi="Times New Roman" w:eastAsia="仿宋" w:cs="Times New Roman"/>
                <w:b/>
                <w:kern w:val="0"/>
                <w:sz w:val="22"/>
                <w:szCs w:val="21"/>
              </w:rPr>
            </w:pPr>
          </w:p>
        </w:tc>
        <w:tc>
          <w:tcPr>
            <w:tcW w:w="2176" w:type="dxa"/>
            <w:gridSpan w:val="2"/>
            <w:vMerge w:val="continue"/>
            <w:vAlign w:val="center"/>
          </w:tcPr>
          <w:p>
            <w:pPr>
              <w:spacing w:before="26"/>
              <w:ind w:left="1625" w:right="1756"/>
              <w:jc w:val="center"/>
              <w:rPr>
                <w:rFonts w:ascii="Times New Roman" w:hAnsi="Times New Roman" w:eastAsia="仿宋" w:cs="Times New Roman"/>
                <w:b/>
                <w:kern w:val="0"/>
                <w:sz w:val="22"/>
                <w:szCs w:val="21"/>
              </w:rPr>
            </w:pPr>
          </w:p>
        </w:tc>
        <w:tc>
          <w:tcPr>
            <w:tcW w:w="2023" w:type="dxa"/>
            <w:gridSpan w:val="2"/>
            <w:vAlign w:val="center"/>
          </w:tcPr>
          <w:p>
            <w:pPr>
              <w:ind w:left="102" w:right="236"/>
              <w:jc w:val="center"/>
              <w:rPr>
                <w:rFonts w:ascii="Times New Roman" w:hAnsi="Times New Roman" w:eastAsia="仿宋" w:cs="Times New Roman"/>
                <w:b/>
                <w:kern w:val="0"/>
                <w:sz w:val="22"/>
                <w:szCs w:val="21"/>
              </w:rPr>
            </w:pPr>
            <w:r>
              <w:rPr>
                <w:rFonts w:ascii="Times New Roman" w:hAnsi="Times New Roman" w:eastAsia="仿宋" w:cs="Times New Roman"/>
                <w:b/>
                <w:kern w:val="0"/>
                <w:sz w:val="22"/>
                <w:szCs w:val="21"/>
              </w:rPr>
              <w:t xml:space="preserve"> </w:t>
            </w:r>
            <w:r>
              <w:rPr>
                <w:rFonts w:ascii="Times New Roman" w:hAnsi="Times New Roman" w:eastAsia="仿宋" w:cs="Times New Roman"/>
                <w:kern w:val="0"/>
                <w:sz w:val="22"/>
                <w:szCs w:val="21"/>
              </w:rPr>
              <w:t>中央国债登记公司</w:t>
            </w:r>
          </w:p>
        </w:tc>
        <w:tc>
          <w:tcPr>
            <w:tcW w:w="2329" w:type="dxa"/>
            <w:gridSpan w:val="2"/>
            <w:vAlign w:val="center"/>
          </w:tcPr>
          <w:p>
            <w:pPr>
              <w:ind w:left="102" w:right="236"/>
              <w:jc w:val="center"/>
              <w:rPr>
                <w:rFonts w:ascii="Times New Roman" w:hAnsi="Times New Roman" w:eastAsia="仿宋" w:cs="Times New Roman"/>
                <w:kern w:val="0"/>
                <w:sz w:val="22"/>
                <w:szCs w:val="21"/>
              </w:rPr>
            </w:pPr>
            <w:r>
              <w:rPr>
                <w:rFonts w:ascii="Times New Roman" w:hAnsi="Times New Roman" w:eastAsia="仿宋" w:cs="Times New Roman"/>
                <w:kern w:val="0"/>
                <w:sz w:val="22"/>
                <w:szCs w:val="21"/>
              </w:rPr>
              <w:t>中国证券登记结算有限责任公司上海分公司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2175" w:type="dxa"/>
            <w:vAlign w:val="center"/>
          </w:tcPr>
          <w:p>
            <w:pPr>
              <w:spacing w:before="26"/>
              <w:ind w:left="1625" w:right="1756"/>
              <w:jc w:val="center"/>
              <w:rPr>
                <w:rFonts w:ascii="Times New Roman" w:hAnsi="Times New Roman" w:eastAsia="仿宋" w:cs="Times New Roman"/>
                <w:b/>
                <w:kern w:val="0"/>
                <w:sz w:val="24"/>
              </w:rPr>
            </w:pPr>
          </w:p>
        </w:tc>
        <w:tc>
          <w:tcPr>
            <w:tcW w:w="2176" w:type="dxa"/>
            <w:gridSpan w:val="2"/>
            <w:vAlign w:val="center"/>
          </w:tcPr>
          <w:p>
            <w:pPr>
              <w:spacing w:before="26"/>
              <w:ind w:left="1625" w:right="1756"/>
              <w:jc w:val="center"/>
              <w:rPr>
                <w:rFonts w:ascii="Times New Roman" w:hAnsi="Times New Roman" w:eastAsia="仿宋" w:cs="Times New Roman"/>
                <w:b/>
                <w:kern w:val="0"/>
                <w:sz w:val="24"/>
              </w:rPr>
            </w:pPr>
          </w:p>
        </w:tc>
        <w:tc>
          <w:tcPr>
            <w:tcW w:w="2023" w:type="dxa"/>
            <w:gridSpan w:val="2"/>
            <w:vAlign w:val="center"/>
          </w:tcPr>
          <w:p>
            <w:pPr>
              <w:spacing w:before="26"/>
              <w:ind w:left="1625" w:right="1756"/>
              <w:jc w:val="center"/>
              <w:rPr>
                <w:rFonts w:ascii="Times New Roman" w:hAnsi="Times New Roman" w:eastAsia="仿宋" w:cs="Times New Roman"/>
                <w:b/>
                <w:kern w:val="0"/>
                <w:sz w:val="24"/>
              </w:rPr>
            </w:pPr>
          </w:p>
        </w:tc>
        <w:tc>
          <w:tcPr>
            <w:tcW w:w="2329" w:type="dxa"/>
            <w:gridSpan w:val="2"/>
            <w:vAlign w:val="center"/>
          </w:tcPr>
          <w:p>
            <w:pPr>
              <w:spacing w:before="26"/>
              <w:ind w:left="1625" w:right="1756"/>
              <w:jc w:val="center"/>
              <w:rPr>
                <w:rFonts w:ascii="Times New Roman" w:hAnsi="Times New Roman" w:eastAsia="仿宋"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2175" w:type="dxa"/>
            <w:vAlign w:val="center"/>
          </w:tcPr>
          <w:p>
            <w:pPr>
              <w:spacing w:before="26"/>
              <w:ind w:left="1625" w:right="1756"/>
              <w:jc w:val="center"/>
              <w:rPr>
                <w:rFonts w:ascii="Times New Roman" w:hAnsi="Times New Roman" w:eastAsia="仿宋" w:cs="Times New Roman"/>
                <w:b/>
                <w:kern w:val="0"/>
                <w:sz w:val="24"/>
              </w:rPr>
            </w:pPr>
          </w:p>
        </w:tc>
        <w:tc>
          <w:tcPr>
            <w:tcW w:w="2176" w:type="dxa"/>
            <w:gridSpan w:val="2"/>
            <w:vAlign w:val="center"/>
          </w:tcPr>
          <w:p>
            <w:pPr>
              <w:spacing w:before="26"/>
              <w:ind w:left="1625" w:right="1756"/>
              <w:jc w:val="center"/>
              <w:rPr>
                <w:rFonts w:ascii="Times New Roman" w:hAnsi="Times New Roman" w:eastAsia="仿宋" w:cs="Times New Roman"/>
                <w:b/>
                <w:kern w:val="0"/>
                <w:sz w:val="24"/>
              </w:rPr>
            </w:pPr>
          </w:p>
        </w:tc>
        <w:tc>
          <w:tcPr>
            <w:tcW w:w="2023" w:type="dxa"/>
            <w:gridSpan w:val="2"/>
            <w:vAlign w:val="center"/>
          </w:tcPr>
          <w:p>
            <w:pPr>
              <w:spacing w:before="26"/>
              <w:ind w:left="1625" w:right="1756"/>
              <w:jc w:val="center"/>
              <w:rPr>
                <w:rFonts w:ascii="Times New Roman" w:hAnsi="Times New Roman" w:eastAsia="仿宋" w:cs="Times New Roman"/>
                <w:b/>
                <w:kern w:val="0"/>
                <w:sz w:val="24"/>
              </w:rPr>
            </w:pPr>
          </w:p>
        </w:tc>
        <w:tc>
          <w:tcPr>
            <w:tcW w:w="2329" w:type="dxa"/>
            <w:gridSpan w:val="2"/>
            <w:vAlign w:val="center"/>
          </w:tcPr>
          <w:p>
            <w:pPr>
              <w:spacing w:before="26"/>
              <w:ind w:left="1625" w:right="1756"/>
              <w:jc w:val="center"/>
              <w:rPr>
                <w:rFonts w:ascii="Times New Roman" w:hAnsi="Times New Roman" w:eastAsia="仿宋"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2175" w:type="dxa"/>
            <w:vAlign w:val="center"/>
          </w:tcPr>
          <w:p>
            <w:pPr>
              <w:spacing w:before="26"/>
              <w:ind w:left="1625" w:right="1756"/>
              <w:jc w:val="center"/>
              <w:rPr>
                <w:rFonts w:ascii="Times New Roman" w:hAnsi="Times New Roman" w:eastAsia="仿宋" w:cs="Times New Roman"/>
                <w:b/>
                <w:kern w:val="0"/>
                <w:sz w:val="24"/>
              </w:rPr>
            </w:pPr>
          </w:p>
        </w:tc>
        <w:tc>
          <w:tcPr>
            <w:tcW w:w="2176" w:type="dxa"/>
            <w:gridSpan w:val="2"/>
            <w:vAlign w:val="center"/>
          </w:tcPr>
          <w:p>
            <w:pPr>
              <w:spacing w:before="26"/>
              <w:ind w:left="1625" w:right="1756"/>
              <w:jc w:val="center"/>
              <w:rPr>
                <w:rFonts w:ascii="Times New Roman" w:hAnsi="Times New Roman" w:eastAsia="仿宋" w:cs="Times New Roman"/>
                <w:b/>
                <w:kern w:val="0"/>
                <w:sz w:val="24"/>
              </w:rPr>
            </w:pPr>
          </w:p>
        </w:tc>
        <w:tc>
          <w:tcPr>
            <w:tcW w:w="2023" w:type="dxa"/>
            <w:gridSpan w:val="2"/>
            <w:vAlign w:val="center"/>
          </w:tcPr>
          <w:p>
            <w:pPr>
              <w:spacing w:before="26"/>
              <w:ind w:left="1625" w:right="1756"/>
              <w:jc w:val="center"/>
              <w:rPr>
                <w:rFonts w:ascii="Times New Roman" w:hAnsi="Times New Roman" w:eastAsia="仿宋" w:cs="Times New Roman"/>
                <w:b/>
                <w:kern w:val="0"/>
                <w:sz w:val="24"/>
              </w:rPr>
            </w:pPr>
          </w:p>
        </w:tc>
        <w:tc>
          <w:tcPr>
            <w:tcW w:w="2329" w:type="dxa"/>
            <w:gridSpan w:val="2"/>
            <w:vAlign w:val="center"/>
          </w:tcPr>
          <w:p>
            <w:pPr>
              <w:spacing w:before="26"/>
              <w:ind w:left="1625" w:right="1756"/>
              <w:jc w:val="center"/>
              <w:rPr>
                <w:rFonts w:ascii="Times New Roman" w:hAnsi="Times New Roman" w:eastAsia="仿宋"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2175" w:type="dxa"/>
            <w:vAlign w:val="center"/>
          </w:tcPr>
          <w:p>
            <w:pPr>
              <w:spacing w:before="26"/>
              <w:ind w:left="1625" w:right="1756"/>
              <w:jc w:val="center"/>
              <w:rPr>
                <w:rFonts w:ascii="Times New Roman" w:hAnsi="Times New Roman" w:eastAsia="仿宋" w:cs="Times New Roman"/>
                <w:b/>
                <w:kern w:val="0"/>
                <w:sz w:val="24"/>
              </w:rPr>
            </w:pPr>
          </w:p>
        </w:tc>
        <w:tc>
          <w:tcPr>
            <w:tcW w:w="2176" w:type="dxa"/>
            <w:gridSpan w:val="2"/>
            <w:vAlign w:val="center"/>
          </w:tcPr>
          <w:p>
            <w:pPr>
              <w:spacing w:before="26"/>
              <w:ind w:left="1625" w:right="1756"/>
              <w:jc w:val="center"/>
              <w:rPr>
                <w:rFonts w:ascii="Times New Roman" w:hAnsi="Times New Roman" w:eastAsia="仿宋" w:cs="Times New Roman"/>
                <w:b/>
                <w:kern w:val="0"/>
                <w:sz w:val="24"/>
              </w:rPr>
            </w:pPr>
          </w:p>
        </w:tc>
        <w:tc>
          <w:tcPr>
            <w:tcW w:w="2023" w:type="dxa"/>
            <w:gridSpan w:val="2"/>
            <w:vAlign w:val="center"/>
          </w:tcPr>
          <w:p>
            <w:pPr>
              <w:spacing w:before="26"/>
              <w:ind w:left="1625" w:right="1756"/>
              <w:jc w:val="center"/>
              <w:rPr>
                <w:rFonts w:ascii="Times New Roman" w:hAnsi="Times New Roman" w:eastAsia="仿宋" w:cs="Times New Roman"/>
                <w:b/>
                <w:kern w:val="0"/>
                <w:sz w:val="24"/>
              </w:rPr>
            </w:pPr>
          </w:p>
        </w:tc>
        <w:tc>
          <w:tcPr>
            <w:tcW w:w="2329" w:type="dxa"/>
            <w:gridSpan w:val="2"/>
            <w:vAlign w:val="center"/>
          </w:tcPr>
          <w:p>
            <w:pPr>
              <w:spacing w:before="26"/>
              <w:ind w:left="1625" w:right="1756"/>
              <w:jc w:val="center"/>
              <w:rPr>
                <w:rFonts w:ascii="Times New Roman" w:hAnsi="Times New Roman" w:eastAsia="仿宋"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 w:hRule="atLeast"/>
        </w:trPr>
        <w:tc>
          <w:tcPr>
            <w:tcW w:w="2175" w:type="dxa"/>
            <w:vAlign w:val="center"/>
          </w:tcPr>
          <w:p>
            <w:pPr>
              <w:spacing w:before="26"/>
              <w:ind w:left="1625" w:right="1756"/>
              <w:jc w:val="center"/>
              <w:rPr>
                <w:rFonts w:ascii="Times New Roman" w:hAnsi="Times New Roman" w:eastAsia="仿宋" w:cs="Times New Roman"/>
                <w:b/>
                <w:kern w:val="0"/>
                <w:sz w:val="24"/>
              </w:rPr>
            </w:pPr>
          </w:p>
        </w:tc>
        <w:tc>
          <w:tcPr>
            <w:tcW w:w="2176" w:type="dxa"/>
            <w:gridSpan w:val="2"/>
            <w:vAlign w:val="center"/>
          </w:tcPr>
          <w:p>
            <w:pPr>
              <w:spacing w:before="26"/>
              <w:ind w:left="1625" w:right="1756"/>
              <w:jc w:val="center"/>
              <w:rPr>
                <w:rFonts w:ascii="Times New Roman" w:hAnsi="Times New Roman" w:eastAsia="仿宋" w:cs="Times New Roman"/>
                <w:b/>
                <w:kern w:val="0"/>
                <w:sz w:val="24"/>
              </w:rPr>
            </w:pPr>
          </w:p>
        </w:tc>
        <w:tc>
          <w:tcPr>
            <w:tcW w:w="2023" w:type="dxa"/>
            <w:gridSpan w:val="2"/>
            <w:vAlign w:val="center"/>
          </w:tcPr>
          <w:p>
            <w:pPr>
              <w:spacing w:before="26"/>
              <w:ind w:left="1625" w:right="1756"/>
              <w:jc w:val="center"/>
              <w:rPr>
                <w:rFonts w:ascii="Times New Roman" w:hAnsi="Times New Roman" w:eastAsia="仿宋" w:cs="Times New Roman"/>
                <w:b/>
                <w:kern w:val="0"/>
                <w:sz w:val="24"/>
              </w:rPr>
            </w:pPr>
          </w:p>
        </w:tc>
        <w:tc>
          <w:tcPr>
            <w:tcW w:w="2329" w:type="dxa"/>
            <w:gridSpan w:val="2"/>
            <w:vAlign w:val="center"/>
          </w:tcPr>
          <w:p>
            <w:pPr>
              <w:spacing w:before="26"/>
              <w:ind w:left="1625" w:right="1756"/>
              <w:jc w:val="center"/>
              <w:rPr>
                <w:rFonts w:ascii="Times New Roman" w:hAnsi="Times New Roman" w:eastAsia="仿宋" w:cs="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 w:hRule="atLeast"/>
        </w:trPr>
        <w:tc>
          <w:tcPr>
            <w:tcW w:w="8703" w:type="dxa"/>
            <w:gridSpan w:val="7"/>
            <w:vAlign w:val="center"/>
          </w:tcPr>
          <w:p>
            <w:pPr>
              <w:spacing w:before="26"/>
              <w:ind w:right="1756"/>
              <w:jc w:val="left"/>
              <w:rPr>
                <w:rFonts w:ascii="Times New Roman" w:hAnsi="Times New Roman" w:eastAsia="仿宋" w:cs="Times New Roman"/>
                <w:b/>
                <w:kern w:val="0"/>
                <w:sz w:val="24"/>
              </w:rPr>
            </w:pPr>
            <w:r>
              <w:rPr>
                <w:rFonts w:ascii="Times New Roman" w:hAnsi="Times New Roman" w:eastAsia="仿宋" w:cs="Times New Roman"/>
                <w:kern w:val="0"/>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 w:hRule="atLeast"/>
        </w:trPr>
        <w:tc>
          <w:tcPr>
            <w:tcW w:w="8703" w:type="dxa"/>
            <w:gridSpan w:val="7"/>
          </w:tcPr>
          <w:p>
            <w:pPr>
              <w:jc w:val="left"/>
              <w:rPr>
                <w:rFonts w:ascii="Times New Roman" w:hAnsi="Times New Roman" w:eastAsia="仿宋" w:cs="Times New Roman"/>
                <w:b/>
                <w:kern w:val="0"/>
                <w:sz w:val="20"/>
                <w:szCs w:val="21"/>
              </w:rPr>
            </w:pPr>
            <w:r>
              <w:rPr>
                <w:rFonts w:ascii="Times New Roman" w:hAnsi="Times New Roman" w:eastAsia="仿宋" w:cs="Times New Roman"/>
                <w:b/>
                <w:kern w:val="0"/>
                <w:sz w:val="20"/>
                <w:szCs w:val="21"/>
              </w:rPr>
              <w:t>重要提示：</w:t>
            </w:r>
          </w:p>
          <w:p>
            <w:pPr>
              <w:spacing w:before="4"/>
              <w:jc w:val="left"/>
              <w:rPr>
                <w:rFonts w:ascii="Times New Roman" w:hAnsi="Times New Roman" w:eastAsia="仿宋" w:cs="Times New Roman"/>
                <w:kern w:val="0"/>
              </w:rPr>
            </w:pPr>
            <w:r>
              <w:rPr>
                <w:rFonts w:ascii="Times New Roman" w:hAnsi="Times New Roman" w:eastAsia="仿宋" w:cs="Times New Roman"/>
                <w:kern w:val="0"/>
              </w:rPr>
              <w:t>1、本期债券簿记建档利率区间上限为</w:t>
            </w:r>
            <w:r>
              <w:rPr>
                <w:rFonts w:hint="eastAsia" w:ascii="Times New Roman" w:hAnsi="Times New Roman" w:eastAsia="仿宋" w:cs="Times New Roman"/>
                <w:kern w:val="0"/>
                <w:lang w:val="en-US" w:eastAsia="zh-CN"/>
              </w:rPr>
              <w:t>5</w:t>
            </w:r>
            <w:r>
              <w:rPr>
                <w:rFonts w:ascii="Times New Roman" w:hAnsi="Times New Roman" w:eastAsia="仿宋" w:cs="Times New Roman"/>
                <w:kern w:val="0"/>
              </w:rPr>
              <w:t>.</w:t>
            </w:r>
            <w:r>
              <w:rPr>
                <w:rFonts w:hint="eastAsia" w:ascii="Times New Roman" w:hAnsi="Times New Roman" w:eastAsia="仿宋" w:cs="Times New Roman"/>
                <w:kern w:val="0"/>
                <w:lang w:val="en-US" w:eastAsia="zh-CN"/>
              </w:rPr>
              <w:t>8</w:t>
            </w:r>
            <w:r>
              <w:rPr>
                <w:rFonts w:ascii="Times New Roman" w:hAnsi="Times New Roman" w:eastAsia="仿宋" w:cs="Times New Roman"/>
                <w:kern w:val="0"/>
              </w:rPr>
              <w:t>0%</w:t>
            </w:r>
            <w:r>
              <w:rPr>
                <w:rFonts w:hint="eastAsia" w:ascii="Times New Roman" w:hAnsi="Times New Roman" w:eastAsia="仿宋" w:cs="Times New Roman"/>
                <w:kern w:val="0"/>
                <w:lang w:eastAsia="zh-CN"/>
              </w:rPr>
              <w:t>（</w:t>
            </w:r>
            <w:r>
              <w:rPr>
                <w:rFonts w:hint="eastAsia" w:ascii="Times New Roman" w:hAnsi="Times New Roman" w:eastAsia="仿宋" w:cs="Times New Roman"/>
                <w:kern w:val="0"/>
                <w:lang w:val="en-US" w:eastAsia="zh-CN"/>
              </w:rPr>
              <w:t>含5.80%）</w:t>
            </w:r>
            <w:bookmarkStart w:id="1" w:name="_GoBack"/>
            <w:bookmarkEnd w:id="1"/>
            <w:r>
              <w:rPr>
                <w:rFonts w:ascii="Times New Roman" w:hAnsi="Times New Roman" w:eastAsia="仿宋" w:cs="Times New Roman"/>
                <w:kern w:val="0"/>
              </w:rPr>
              <w:t>；</w:t>
            </w:r>
          </w:p>
          <w:p>
            <w:pPr>
              <w:spacing w:before="2"/>
              <w:jc w:val="left"/>
              <w:rPr>
                <w:rFonts w:ascii="Times New Roman" w:hAnsi="Times New Roman" w:eastAsia="仿宋" w:cs="Times New Roman"/>
                <w:kern w:val="0"/>
              </w:rPr>
            </w:pPr>
            <w:r>
              <w:rPr>
                <w:rFonts w:ascii="Times New Roman" w:hAnsi="Times New Roman" w:eastAsia="仿宋" w:cs="Times New Roman"/>
                <w:kern w:val="0"/>
              </w:rPr>
              <w:t>2、申购利率应在簿记建档申购利率区间内由低到高填写，最小变动单位为 0.01%；</w:t>
            </w:r>
          </w:p>
          <w:p>
            <w:pPr>
              <w:spacing w:before="5" w:line="242" w:lineRule="auto"/>
              <w:ind w:right="240"/>
              <w:jc w:val="left"/>
              <w:rPr>
                <w:rFonts w:ascii="Times New Roman" w:hAnsi="Times New Roman" w:eastAsia="仿宋" w:cs="Times New Roman"/>
                <w:kern w:val="0"/>
              </w:rPr>
            </w:pPr>
            <w:r>
              <w:rPr>
                <w:rFonts w:ascii="Times New Roman" w:hAnsi="Times New Roman" w:eastAsia="仿宋" w:cs="Times New Roman"/>
                <w:kern w:val="0"/>
              </w:rPr>
              <w:t>3、每一申购利率对应的申购金额是指当最终确定的发行利率不低于该申购利率时申购人</w:t>
            </w:r>
            <w:r>
              <w:rPr>
                <w:rFonts w:ascii="Times New Roman" w:hAnsi="Times New Roman" w:eastAsia="仿宋" w:cs="Times New Roman"/>
                <w:b/>
                <w:kern w:val="0"/>
                <w:u w:val="single"/>
              </w:rPr>
              <w:t>新增的投资需求，非累计</w:t>
            </w:r>
            <w:r>
              <w:rPr>
                <w:rFonts w:ascii="Times New Roman" w:hAnsi="Times New Roman" w:eastAsia="仿宋" w:cs="Times New Roman"/>
                <w:kern w:val="0"/>
              </w:rPr>
              <w:t>；</w:t>
            </w:r>
          </w:p>
          <w:p>
            <w:pPr>
              <w:spacing w:before="1"/>
              <w:jc w:val="left"/>
              <w:rPr>
                <w:rFonts w:ascii="Times New Roman" w:hAnsi="Times New Roman" w:eastAsia="仿宋" w:cs="Times New Roman"/>
                <w:kern w:val="0"/>
              </w:rPr>
            </w:pPr>
            <w:r>
              <w:rPr>
                <w:rFonts w:ascii="Times New Roman" w:hAnsi="Times New Roman" w:eastAsia="仿宋" w:cs="Times New Roman"/>
                <w:kern w:val="0"/>
              </w:rPr>
              <w:t>4</w:t>
            </w:r>
            <w:r>
              <w:rPr>
                <w:rFonts w:ascii="Times New Roman" w:hAnsi="Times New Roman" w:eastAsia="仿宋" w:cs="Times New Roman"/>
                <w:spacing w:val="-5"/>
                <w:kern w:val="0"/>
              </w:rPr>
              <w:t>、每个申购利率对应的申购金额不得少于</w:t>
            </w:r>
            <w:r>
              <w:rPr>
                <w:rFonts w:ascii="Times New Roman" w:hAnsi="Times New Roman" w:eastAsia="仿宋" w:cs="Times New Roman"/>
                <w:spacing w:val="-53"/>
                <w:kern w:val="0"/>
              </w:rPr>
              <w:t xml:space="preserve"> </w:t>
            </w:r>
            <w:r>
              <w:rPr>
                <w:rFonts w:ascii="Times New Roman" w:hAnsi="Times New Roman" w:eastAsia="仿宋" w:cs="Times New Roman"/>
                <w:kern w:val="0"/>
              </w:rPr>
              <w:t>1</w:t>
            </w:r>
            <w:r>
              <w:rPr>
                <w:rFonts w:ascii="Times New Roman" w:hAnsi="Times New Roman" w:eastAsia="仿宋" w:cs="Times New Roman"/>
                <w:spacing w:val="-3"/>
                <w:kern w:val="0"/>
              </w:rPr>
              <w:t>0</w:t>
            </w:r>
            <w:r>
              <w:rPr>
                <w:rFonts w:ascii="Times New Roman" w:hAnsi="Times New Roman" w:eastAsia="仿宋" w:cs="Times New Roman"/>
                <w:kern w:val="0"/>
              </w:rPr>
              <w:t xml:space="preserve">0 </w:t>
            </w:r>
            <w:r>
              <w:rPr>
                <w:rFonts w:ascii="Times New Roman" w:hAnsi="Times New Roman" w:eastAsia="仿宋" w:cs="Times New Roman"/>
                <w:spacing w:val="-10"/>
                <w:kern w:val="0"/>
              </w:rPr>
              <w:t>万元</w:t>
            </w:r>
            <w:r>
              <w:rPr>
                <w:rFonts w:ascii="Times New Roman" w:hAnsi="Times New Roman" w:eastAsia="仿宋" w:cs="Times New Roman"/>
                <w:spacing w:val="-3"/>
                <w:kern w:val="0"/>
              </w:rPr>
              <w:t>（</w:t>
            </w:r>
            <w:r>
              <w:rPr>
                <w:rFonts w:ascii="Times New Roman" w:hAnsi="Times New Roman" w:eastAsia="仿宋" w:cs="Times New Roman"/>
                <w:kern w:val="0"/>
              </w:rPr>
              <w:t>含</w:t>
            </w:r>
            <w:r>
              <w:rPr>
                <w:rFonts w:ascii="Times New Roman" w:hAnsi="Times New Roman" w:eastAsia="仿宋" w:cs="Times New Roman"/>
                <w:spacing w:val="-53"/>
                <w:kern w:val="0"/>
              </w:rPr>
              <w:t xml:space="preserve"> </w:t>
            </w:r>
            <w:r>
              <w:rPr>
                <w:rFonts w:ascii="Times New Roman" w:hAnsi="Times New Roman" w:eastAsia="仿宋" w:cs="Times New Roman"/>
                <w:kern w:val="0"/>
              </w:rPr>
              <w:t>100</w:t>
            </w:r>
            <w:r>
              <w:rPr>
                <w:rFonts w:ascii="Times New Roman" w:hAnsi="Times New Roman" w:eastAsia="仿宋" w:cs="Times New Roman"/>
                <w:spacing w:val="-3"/>
                <w:kern w:val="0"/>
              </w:rPr>
              <w:t xml:space="preserve"> </w:t>
            </w:r>
            <w:r>
              <w:rPr>
                <w:rFonts w:ascii="Times New Roman" w:hAnsi="Times New Roman" w:eastAsia="仿宋" w:cs="Times New Roman"/>
                <w:kern w:val="0"/>
              </w:rPr>
              <w:t>万元</w:t>
            </w:r>
            <w:r>
              <w:rPr>
                <w:rFonts w:ascii="Times New Roman" w:hAnsi="Times New Roman" w:eastAsia="仿宋" w:cs="Times New Roman"/>
                <w:spacing w:val="-108"/>
                <w:kern w:val="0"/>
              </w:rPr>
              <w:t>）</w:t>
            </w:r>
            <w:r>
              <w:rPr>
                <w:rFonts w:ascii="Times New Roman" w:hAnsi="Times New Roman" w:eastAsia="仿宋" w:cs="Times New Roman"/>
                <w:spacing w:val="-5"/>
                <w:kern w:val="0"/>
              </w:rPr>
              <w:t>，且必须是</w:t>
            </w:r>
            <w:r>
              <w:rPr>
                <w:rFonts w:ascii="Times New Roman" w:hAnsi="Times New Roman" w:eastAsia="仿宋" w:cs="Times New Roman"/>
                <w:spacing w:val="-53"/>
                <w:kern w:val="0"/>
              </w:rPr>
              <w:t xml:space="preserve"> </w:t>
            </w:r>
            <w:r>
              <w:rPr>
                <w:rFonts w:ascii="Times New Roman" w:hAnsi="Times New Roman" w:eastAsia="仿宋" w:cs="Times New Roman"/>
                <w:kern w:val="0"/>
              </w:rPr>
              <w:t>100万</w:t>
            </w:r>
            <w:r>
              <w:rPr>
                <w:rFonts w:ascii="Times New Roman" w:hAnsi="Times New Roman" w:eastAsia="仿宋" w:cs="Times New Roman"/>
                <w:spacing w:val="-3"/>
                <w:kern w:val="0"/>
              </w:rPr>
              <w:t>元的整数倍，并且不超过本期债券的发行总额（</w:t>
            </w:r>
            <w:r>
              <w:rPr>
                <w:rFonts w:ascii="Times New Roman" w:hAnsi="Times New Roman" w:eastAsia="仿宋" w:cs="Times New Roman"/>
                <w:spacing w:val="-28"/>
                <w:kern w:val="0"/>
              </w:rPr>
              <w:t xml:space="preserve">即 </w:t>
            </w:r>
            <w:r>
              <w:rPr>
                <w:rFonts w:ascii="Times New Roman" w:hAnsi="Times New Roman" w:eastAsia="仿宋" w:cs="Times New Roman"/>
                <w:kern w:val="0"/>
              </w:rPr>
              <w:t>3</w:t>
            </w:r>
            <w:r>
              <w:rPr>
                <w:rFonts w:ascii="Times New Roman" w:hAnsi="Times New Roman" w:eastAsia="仿宋" w:cs="Times New Roman"/>
                <w:spacing w:val="-2"/>
                <w:kern w:val="0"/>
              </w:rPr>
              <w:t>亿元</w:t>
            </w:r>
            <w:r>
              <w:rPr>
                <w:rFonts w:ascii="Times New Roman" w:hAnsi="Times New Roman" w:eastAsia="仿宋" w:cs="Times New Roman"/>
                <w:spacing w:val="-106"/>
                <w:kern w:val="0"/>
              </w:rPr>
              <w:t>）；</w:t>
            </w:r>
          </w:p>
          <w:p>
            <w:pPr>
              <w:spacing w:before="5"/>
              <w:jc w:val="left"/>
              <w:rPr>
                <w:rFonts w:ascii="Times New Roman" w:hAnsi="Times New Roman" w:eastAsia="仿宋" w:cs="Times New Roman"/>
                <w:b/>
                <w:kern w:val="0"/>
              </w:rPr>
            </w:pPr>
            <w:r>
              <w:rPr>
                <w:rFonts w:ascii="Times New Roman" w:hAnsi="Times New Roman" w:eastAsia="仿宋" w:cs="Times New Roman"/>
                <w:kern w:val="0"/>
              </w:rPr>
              <w:t>5、</w:t>
            </w:r>
            <w:r>
              <w:rPr>
                <w:rFonts w:ascii="Times New Roman" w:hAnsi="Times New Roman" w:eastAsia="仿宋" w:cs="Times New Roman"/>
                <w:b/>
                <w:kern w:val="0"/>
                <w:u w:val="single"/>
              </w:rPr>
              <w:t>申购传真专线：010-88170902</w:t>
            </w:r>
            <w:r>
              <w:rPr>
                <w:rFonts w:ascii="Times New Roman" w:hAnsi="Times New Roman" w:eastAsia="仿宋" w:cs="Times New Roman"/>
                <w:kern w:val="0"/>
                <w:u w:val="single"/>
              </w:rPr>
              <w:t>；</w:t>
            </w:r>
            <w:r>
              <w:rPr>
                <w:rFonts w:ascii="Times New Roman" w:hAnsi="Times New Roman" w:eastAsia="仿宋" w:cs="Times New Roman"/>
                <w:b/>
                <w:kern w:val="0"/>
                <w:u w:val="single"/>
              </w:rPr>
              <w:t>场内咨询专线：010-88170580</w:t>
            </w:r>
            <w:r>
              <w:rPr>
                <w:rFonts w:ascii="Times New Roman" w:hAnsi="Times New Roman" w:eastAsia="仿宋" w:cs="Times New Roman"/>
                <w:b/>
                <w:kern w:val="0"/>
              </w:rPr>
              <w:t>。</w:t>
            </w:r>
          </w:p>
          <w:p>
            <w:pPr>
              <w:spacing w:before="2"/>
              <w:jc w:val="left"/>
              <w:rPr>
                <w:rFonts w:ascii="Times New Roman" w:hAnsi="Times New Roman" w:eastAsia="仿宋" w:cs="Times New Roman"/>
                <w:kern w:val="0"/>
              </w:rPr>
            </w:pPr>
            <w:r>
              <w:rPr>
                <w:rFonts w:ascii="Times New Roman" w:hAnsi="Times New Roman" w:eastAsia="仿宋" w:cs="Times New Roman"/>
                <w:kern w:val="0"/>
              </w:rPr>
              <w:t>6、簿记建档时间：</w:t>
            </w:r>
            <w:r>
              <w:rPr>
                <w:rFonts w:ascii="Times New Roman" w:hAnsi="Times New Roman" w:eastAsia="仿宋" w:cs="Times New Roman"/>
                <w:spacing w:val="-5"/>
                <w:kern w:val="0"/>
              </w:rPr>
              <w:t>2022年4月22日北京时间 14:00 至 16:00；</w:t>
            </w:r>
          </w:p>
          <w:p>
            <w:pPr>
              <w:spacing w:before="5"/>
              <w:jc w:val="left"/>
              <w:rPr>
                <w:rFonts w:ascii="Times New Roman" w:hAnsi="Times New Roman" w:eastAsia="仿宋" w:cs="Times New Roman"/>
                <w:b/>
                <w:kern w:val="0"/>
              </w:rPr>
            </w:pPr>
            <w:r>
              <w:rPr>
                <w:rFonts w:ascii="Times New Roman" w:hAnsi="Times New Roman" w:eastAsia="仿宋" w:cs="Times New Roman"/>
                <w:b/>
                <w:kern w:val="0"/>
              </w:rPr>
              <w:t>申购人在此承诺：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3" w:hRule="atLeast"/>
        </w:trPr>
        <w:tc>
          <w:tcPr>
            <w:tcW w:w="8703" w:type="dxa"/>
            <w:gridSpan w:val="7"/>
          </w:tcPr>
          <w:p>
            <w:pPr>
              <w:spacing w:before="1" w:line="278" w:lineRule="auto"/>
              <w:ind w:right="91"/>
              <w:rPr>
                <w:rFonts w:ascii="Times New Roman" w:hAnsi="Times New Roman" w:eastAsia="仿宋" w:cs="Times New Roman"/>
                <w:spacing w:val="-4"/>
                <w:kern w:val="0"/>
              </w:rPr>
            </w:pPr>
            <w:r>
              <w:rPr>
                <w:rFonts w:ascii="Times New Roman" w:hAnsi="Times New Roman" w:eastAsia="仿宋" w:cs="Times New Roman"/>
                <w:spacing w:val="-4"/>
                <w:kern w:val="0"/>
              </w:rPr>
              <w:t>1、申购人以上填写的内容真实、完整、准确、有效；投资者应遵循独立、客观、诚信的原则进行合理报价，不得协商报价或者故意压低或抬高价格或利率，获得配售后应严格履行缴款义务。</w:t>
            </w:r>
          </w:p>
          <w:p>
            <w:pPr>
              <w:spacing w:before="1" w:line="278" w:lineRule="auto"/>
              <w:ind w:right="91"/>
              <w:rPr>
                <w:rFonts w:ascii="Times New Roman" w:hAnsi="Times New Roman" w:eastAsia="仿宋" w:cs="Times New Roman"/>
                <w:spacing w:val="-4"/>
                <w:kern w:val="0"/>
              </w:rPr>
            </w:pPr>
            <w:r>
              <w:rPr>
                <w:rFonts w:ascii="Times New Roman" w:hAnsi="Times New Roman" w:eastAsia="仿宋" w:cs="Times New Roman"/>
                <w:spacing w:val="-4"/>
                <w:kern w:val="0"/>
              </w:rPr>
              <w:t>2、申购人申购资格、本次申购行为以及申购款来源均符合有关法律、法规以及中国证监会的有关规定及其他适用于自身的相关法定或合同约定要求，已就此取得所有必要的内外部批准，并在申购本期债券后依法办理必要的手续。</w:t>
            </w:r>
          </w:p>
          <w:p>
            <w:pPr>
              <w:spacing w:before="1" w:line="278" w:lineRule="auto"/>
              <w:ind w:right="91"/>
              <w:rPr>
                <w:rFonts w:ascii="Times New Roman" w:hAnsi="Times New Roman" w:eastAsia="仿宋" w:cs="Times New Roman"/>
                <w:spacing w:val="-4"/>
                <w:kern w:val="0"/>
              </w:rPr>
            </w:pPr>
            <w:r>
              <w:rPr>
                <w:rFonts w:ascii="Times New Roman" w:hAnsi="Times New Roman" w:eastAsia="仿宋" w:cs="Times New Roman"/>
                <w:spacing w:val="-4"/>
                <w:kern w:val="0"/>
              </w:rPr>
              <w:t>3、簿记管理人有权要求本申购人配合其进行投资者适当性核查工作，本申购人将积极配合该核查工作并将如实提供有效证明资料，不得采用提供虚假材料等手段规避投资者适当性管理要求。如本申购人未通过簿记管理人对其进行的投资者适当性核查，则本申购人同意簿记管理人有权拒绝向其配售本期债券，在此情况下，本申购人承诺赔偿簿记管理人因此遭受的一切损失和产生的一切费用。</w:t>
            </w:r>
          </w:p>
          <w:p>
            <w:pPr>
              <w:spacing w:before="26" w:line="278" w:lineRule="auto"/>
              <w:ind w:right="91" w:hanging="1"/>
              <w:rPr>
                <w:rFonts w:ascii="Times New Roman" w:hAnsi="Times New Roman" w:eastAsia="仿宋" w:cs="Times New Roman"/>
                <w:spacing w:val="-4"/>
                <w:kern w:val="0"/>
              </w:rPr>
            </w:pPr>
            <w:r>
              <w:rPr>
                <w:rFonts w:ascii="Times New Roman" w:hAnsi="Times New Roman" w:eastAsia="仿宋" w:cs="Times New Roman"/>
                <w:spacing w:val="-4"/>
                <w:kern w:val="0"/>
              </w:rPr>
              <w:t>4、申购人的申购资格、本次申购行为及本次申购资金来源符合有关法律、法规以及中国证监会的有关规定及其它适用于自身的相关法定或合同约定要求，已就此取得所有必要的内外部批准。</w:t>
            </w:r>
          </w:p>
          <w:p>
            <w:pPr>
              <w:spacing w:before="26" w:line="278" w:lineRule="auto"/>
              <w:ind w:right="91" w:hanging="1"/>
              <w:rPr>
                <w:rFonts w:ascii="Times New Roman" w:hAnsi="Times New Roman" w:eastAsia="仿宋" w:cs="Times New Roman"/>
                <w:spacing w:val="-4"/>
                <w:kern w:val="0"/>
              </w:rPr>
            </w:pPr>
            <w:r>
              <w:rPr>
                <w:rFonts w:ascii="Times New Roman" w:hAnsi="Times New Roman" w:eastAsia="仿宋" w:cs="Times New Roman"/>
                <w:spacing w:val="-4"/>
                <w:kern w:val="0"/>
              </w:rPr>
              <w:t>5、申购人承诺遵循独立、客观、诚信的原则进行合理报价，不存在协商报价、故意压低或抬高利率、违反公平竞争、破坏市场秩序等行为。</w:t>
            </w:r>
          </w:p>
          <w:p>
            <w:pPr>
              <w:spacing w:before="38" w:line="278" w:lineRule="auto"/>
              <w:ind w:right="94" w:hanging="1"/>
              <w:rPr>
                <w:rFonts w:ascii="Times New Roman" w:hAnsi="Times New Roman" w:eastAsia="仿宋" w:cs="Times New Roman"/>
                <w:spacing w:val="-4"/>
                <w:kern w:val="0"/>
              </w:rPr>
            </w:pPr>
            <w:r>
              <w:rPr>
                <w:rFonts w:ascii="Times New Roman" w:hAnsi="Times New Roman" w:eastAsia="仿宋" w:cs="Times New Roman"/>
                <w:spacing w:val="-4"/>
                <w:kern w:val="0"/>
              </w:rPr>
              <w:t>6、申购人在此承诺接受发行人</w:t>
            </w:r>
            <w:r>
              <w:rPr>
                <w:rFonts w:hint="eastAsia" w:ascii="Times New Roman" w:hAnsi="Times New Roman" w:eastAsia="仿宋" w:cs="Times New Roman"/>
                <w:spacing w:val="-4"/>
                <w:kern w:val="0"/>
              </w:rPr>
              <w:t>泸州市龙驰实业集团有限责任公司</w:t>
            </w:r>
            <w:r>
              <w:rPr>
                <w:rFonts w:ascii="Times New Roman" w:hAnsi="Times New Roman" w:eastAsia="仿宋" w:cs="Times New Roman"/>
                <w:spacing w:val="-4"/>
                <w:kern w:val="0"/>
              </w:rPr>
              <w:t>与主承销商制定的申购规则；申购人同意主承销商按照申购申请表的申购金额最终确定其具体配售金额，并接受主承销商所确定的最终配售结果和相关安排；</w:t>
            </w:r>
          </w:p>
          <w:p>
            <w:pPr>
              <w:spacing w:before="4" w:line="278" w:lineRule="auto"/>
              <w:ind w:right="24"/>
              <w:jc w:val="left"/>
              <w:rPr>
                <w:rFonts w:ascii="Times New Roman" w:hAnsi="Times New Roman" w:eastAsia="仿宋" w:cs="Times New Roman"/>
                <w:spacing w:val="-4"/>
                <w:kern w:val="0"/>
              </w:rPr>
            </w:pPr>
            <w:r>
              <w:rPr>
                <w:rFonts w:ascii="Times New Roman" w:hAnsi="Times New Roman" w:eastAsia="仿宋" w:cs="Times New Roman"/>
                <w:spacing w:val="-4"/>
                <w:kern w:val="0"/>
              </w:rPr>
              <w:t>7、申购人理解并接受，如果其获得配售，则有义务按照《配售确认和缴款通知书》规定的时间、金额和方式，将认购款项足额划至簿记管理人指定的划款账户。如果申购人违反此义务，簿记管理人有权处置该违约申购人获配的全部债券，同时，本申购人同意就逾时未划部分按每日万分之五的比例向簿记管理人支付违约金，并赔偿簿记管理人由此遭受的损失；</w:t>
            </w:r>
          </w:p>
          <w:p>
            <w:pPr>
              <w:spacing w:before="5" w:line="278" w:lineRule="auto"/>
              <w:ind w:right="26"/>
              <w:rPr>
                <w:rFonts w:ascii="Times New Roman" w:hAnsi="Times New Roman" w:eastAsia="仿宋" w:cs="Times New Roman"/>
                <w:spacing w:val="-4"/>
                <w:kern w:val="0"/>
              </w:rPr>
            </w:pPr>
            <w:r>
              <w:rPr>
                <w:rFonts w:ascii="Times New Roman" w:hAnsi="Times New Roman" w:eastAsia="仿宋" w:cs="Times New Roman"/>
                <w:spacing w:val="-4"/>
                <w:kern w:val="0"/>
              </w:rPr>
              <w:t xml:space="preserve">8、申购人声明符合相关中国法律法规规定的合格机构投资者的资格条件，申购人所做出的投资决策系在审阅发行人的募集说明书及其他各项公开披露文件及进行其他尽职调查的基础上独立做出的判断，并不依赖监管机关做出的批准或任何其他方的尽职调查结论或意见； </w:t>
            </w:r>
          </w:p>
          <w:p>
            <w:pPr>
              <w:spacing w:before="5" w:line="278" w:lineRule="auto"/>
              <w:ind w:right="26"/>
              <w:rPr>
                <w:rFonts w:ascii="Times New Roman" w:hAnsi="Times New Roman" w:eastAsia="仿宋" w:cs="Times New Roman"/>
                <w:spacing w:val="-4"/>
                <w:kern w:val="0"/>
              </w:rPr>
            </w:pPr>
            <w:r>
              <w:rPr>
                <w:rFonts w:ascii="Times New Roman" w:hAnsi="Times New Roman" w:eastAsia="仿宋" w:cs="Times New Roman"/>
                <w:spacing w:val="-4"/>
                <w:kern w:val="0"/>
              </w:rPr>
              <w:t>9、申购人理解并接受，如果遇不可抗力、监管者要求或其他可能对本次发行造成重大不利影响的情况，在经与主管机关协商后，发行人及主承销商有权暂停或终止本次发行。</w:t>
            </w:r>
          </w:p>
          <w:p>
            <w:pPr>
              <w:jc w:val="left"/>
              <w:rPr>
                <w:rFonts w:ascii="Times New Roman" w:hAnsi="Times New Roman" w:eastAsia="仿宋" w:cs="Times New Roman"/>
                <w:spacing w:val="-4"/>
                <w:kern w:val="0"/>
              </w:rPr>
            </w:pPr>
            <w:r>
              <w:rPr>
                <w:rFonts w:ascii="Times New Roman" w:hAnsi="Times New Roman" w:eastAsia="仿宋" w:cs="Times New Roman"/>
                <w:spacing w:val="-4"/>
                <w:kern w:val="0"/>
              </w:rPr>
              <w:t>10、申购人承诺遵守行业监管要求，本次各配售对象申购金额不超过其所对应的资产规模和资金规模；申购人承诺本次申购的资金来源符合《中华人民共和国反洗钱法》等相关法律法规的规定。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6" w:hRule="atLeast"/>
        </w:trPr>
        <w:tc>
          <w:tcPr>
            <w:tcW w:w="8703" w:type="dxa"/>
            <w:gridSpan w:val="7"/>
          </w:tcPr>
          <w:p>
            <w:pPr>
              <w:ind w:firstLine="440" w:firstLineChars="200"/>
              <w:jc w:val="left"/>
              <w:rPr>
                <w:rFonts w:ascii="Times New Roman" w:hAnsi="Times New Roman" w:eastAsia="仿宋" w:cs="Times New Roman"/>
                <w:kern w:val="0"/>
                <w:sz w:val="22"/>
              </w:rPr>
            </w:pPr>
            <w:r>
              <w:rPr>
                <w:rFonts w:ascii="Times New Roman" w:hAnsi="Times New Roman" w:eastAsia="仿宋" w:cs="Times New Roman"/>
                <w:kern w:val="0"/>
                <w:sz w:val="22"/>
              </w:rPr>
              <w:t>经办人签字（签章）：</w:t>
            </w:r>
          </w:p>
          <w:p>
            <w:pPr>
              <w:ind w:right="420" w:firstLine="440" w:firstLineChars="200"/>
              <w:jc w:val="right"/>
              <w:rPr>
                <w:rFonts w:ascii="Times New Roman" w:hAnsi="Times New Roman" w:eastAsia="仿宋" w:cs="Times New Roman"/>
                <w:kern w:val="0"/>
                <w:sz w:val="22"/>
              </w:rPr>
            </w:pPr>
          </w:p>
          <w:p>
            <w:pPr>
              <w:ind w:right="420" w:firstLine="440" w:firstLineChars="200"/>
              <w:jc w:val="right"/>
              <w:rPr>
                <w:rFonts w:ascii="Times New Roman" w:hAnsi="Times New Roman" w:eastAsia="仿宋" w:cs="Times New Roman"/>
                <w:kern w:val="0"/>
                <w:sz w:val="22"/>
              </w:rPr>
            </w:pPr>
          </w:p>
          <w:p>
            <w:pPr>
              <w:ind w:right="420" w:firstLine="440" w:firstLineChars="200"/>
              <w:jc w:val="right"/>
              <w:rPr>
                <w:rFonts w:ascii="Times New Roman" w:hAnsi="Times New Roman" w:eastAsia="仿宋" w:cs="Times New Roman"/>
                <w:kern w:val="0"/>
                <w:sz w:val="22"/>
              </w:rPr>
            </w:pPr>
          </w:p>
          <w:p>
            <w:pPr>
              <w:spacing w:line="360" w:lineRule="auto"/>
              <w:ind w:right="640" w:firstLine="440" w:firstLineChars="200"/>
              <w:jc w:val="right"/>
              <w:rPr>
                <w:rFonts w:ascii="Times New Roman" w:hAnsi="Times New Roman" w:eastAsia="仿宋" w:cs="Times New Roman"/>
                <w:kern w:val="0"/>
                <w:sz w:val="22"/>
              </w:rPr>
            </w:pPr>
          </w:p>
          <w:p>
            <w:pPr>
              <w:wordWrap w:val="0"/>
              <w:spacing w:line="360" w:lineRule="auto"/>
              <w:ind w:right="870" w:firstLine="440" w:firstLineChars="200"/>
              <w:jc w:val="right"/>
              <w:rPr>
                <w:rFonts w:ascii="Times New Roman" w:hAnsi="Times New Roman" w:eastAsia="仿宋" w:cs="Times New Roman"/>
                <w:kern w:val="0"/>
                <w:sz w:val="22"/>
              </w:rPr>
            </w:pPr>
            <w:r>
              <w:rPr>
                <w:rFonts w:ascii="Times New Roman" w:hAnsi="Times New Roman" w:eastAsia="仿宋" w:cs="Times New Roman"/>
                <w:kern w:val="0"/>
                <w:sz w:val="22"/>
              </w:rPr>
              <w:t>申购机构盖章：</w:t>
            </w:r>
            <w:r>
              <w:rPr>
                <w:rFonts w:hint="eastAsia" w:ascii="Times New Roman" w:hAnsi="Times New Roman" w:eastAsia="仿宋" w:cs="Times New Roman"/>
                <w:kern w:val="0"/>
                <w:sz w:val="22"/>
              </w:rPr>
              <w:t xml:space="preserve"> </w:t>
            </w:r>
            <w:r>
              <w:rPr>
                <w:rFonts w:ascii="Times New Roman" w:hAnsi="Times New Roman" w:eastAsia="仿宋" w:cs="Times New Roman"/>
                <w:kern w:val="0"/>
                <w:sz w:val="22"/>
              </w:rPr>
              <w:t xml:space="preserve">     </w:t>
            </w:r>
          </w:p>
          <w:p>
            <w:pPr>
              <w:spacing w:line="360" w:lineRule="auto"/>
              <w:ind w:right="210" w:firstLine="440" w:firstLineChars="200"/>
              <w:jc w:val="right"/>
              <w:rPr>
                <w:rFonts w:ascii="Times New Roman" w:hAnsi="Times New Roman" w:eastAsia="仿宋" w:cs="Times New Roman"/>
                <w:kern w:val="0"/>
                <w:sz w:val="22"/>
              </w:rPr>
            </w:pPr>
            <w:r>
              <w:rPr>
                <w:rFonts w:ascii="Times New Roman" w:hAnsi="Times New Roman" w:eastAsia="仿宋" w:cs="Times New Roman"/>
                <w:kern w:val="0"/>
                <w:sz w:val="22"/>
              </w:rPr>
              <w:t>2022年    月    日</w:t>
            </w:r>
          </w:p>
        </w:tc>
      </w:tr>
    </w:tbl>
    <w:p>
      <w:pPr>
        <w:tabs>
          <w:tab w:val="left" w:pos="615"/>
        </w:tabs>
        <w:jc w:val="left"/>
        <w:rPr>
          <w:rFonts w:ascii="Times New Roman" w:hAnsi="Times New Roman" w:eastAsia="宋体" w:cs="Times New Roman"/>
          <w:kern w:val="0"/>
          <w:sz w:val="24"/>
        </w:rPr>
        <w:sectPr>
          <w:footerReference r:id="rId3" w:type="default"/>
          <w:footnotePr>
            <w:numFmt w:val="decimalEnclosedCircleChinese"/>
          </w:footnotePr>
          <w:pgSz w:w="11906" w:h="16838"/>
          <w:pgMar w:top="1440" w:right="1797" w:bottom="1440" w:left="1797" w:header="851" w:footer="992" w:gutter="0"/>
          <w:cols w:space="720" w:num="1"/>
          <w:titlePg/>
          <w:docGrid w:linePitch="312" w:charSpace="0"/>
        </w:sectPr>
      </w:pPr>
    </w:p>
    <w:p>
      <w:pPr>
        <w:widowControl/>
        <w:ind w:left="-424" w:leftChars="-202" w:firstLine="482" w:firstLineChars="200"/>
        <w:jc w:val="left"/>
        <w:rPr>
          <w:rFonts w:ascii="Times New Roman" w:hAnsi="Times New Roman" w:eastAsia="宋体" w:cs="Times New Roman"/>
          <w:b/>
          <w:kern w:val="0"/>
          <w:sz w:val="24"/>
          <w:lang w:eastAsia="en-US"/>
        </w:rPr>
      </w:pPr>
      <w:r>
        <w:rPr>
          <w:rFonts w:ascii="Times New Roman" w:hAnsi="Times New Roman" w:eastAsia="宋体" w:cs="Times New Roman"/>
          <w:b/>
          <w:kern w:val="0"/>
          <w:sz w:val="24"/>
          <w:lang w:eastAsia="en-US"/>
        </w:rPr>
        <w:t>附件2：</w:t>
      </w:r>
    </w:p>
    <w:p>
      <w:pPr>
        <w:widowControl/>
        <w:spacing w:after="120" w:afterLines="50"/>
        <w:ind w:left="-424" w:leftChars="-202"/>
        <w:jc w:val="center"/>
        <w:rPr>
          <w:rFonts w:ascii="Times New Roman" w:hAnsi="Times New Roman" w:eastAsia="宋体" w:cs="Times New Roman"/>
          <w:b/>
          <w:kern w:val="0"/>
          <w:sz w:val="24"/>
        </w:rPr>
      </w:pPr>
      <w:r>
        <w:rPr>
          <w:rFonts w:ascii="Times New Roman" w:hAnsi="Times New Roman" w:eastAsia="宋体" w:cs="Times New Roman"/>
          <w:b/>
          <w:kern w:val="0"/>
          <w:sz w:val="24"/>
        </w:rPr>
        <w:t xml:space="preserve">   专业机构投资者债券风险揭示书</w:t>
      </w:r>
    </w:p>
    <w:tbl>
      <w:tblPr>
        <w:tblStyle w:val="8"/>
        <w:tblW w:w="8527" w:type="dxa"/>
        <w:jc w:val="center"/>
        <w:tblLayout w:type="fixed"/>
        <w:tblCellMar>
          <w:top w:w="0" w:type="dxa"/>
          <w:left w:w="0" w:type="dxa"/>
          <w:bottom w:w="0" w:type="dxa"/>
          <w:right w:w="0" w:type="dxa"/>
        </w:tblCellMar>
      </w:tblPr>
      <w:tblGrid>
        <w:gridCol w:w="1188"/>
        <w:gridCol w:w="7339"/>
      </w:tblGrid>
      <w:tr>
        <w:tblPrEx>
          <w:tblCellMar>
            <w:top w:w="0" w:type="dxa"/>
            <w:left w:w="0" w:type="dxa"/>
            <w:bottom w:w="0" w:type="dxa"/>
            <w:right w:w="0" w:type="dxa"/>
          </w:tblCellMar>
        </w:tblPrEx>
        <w:trPr>
          <w:trHeight w:val="9162" w:hRule="exact"/>
          <w:jc w:val="center"/>
        </w:trPr>
        <w:tc>
          <w:tcPr>
            <w:tcW w:w="1188"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spacing w:before="6"/>
              <w:jc w:val="left"/>
              <w:rPr>
                <w:rFonts w:ascii="Times New Roman" w:hAnsi="Times New Roman" w:eastAsia="仿宋" w:cs="Times New Roman"/>
                <w:b/>
                <w:bCs/>
                <w:kern w:val="0"/>
                <w:sz w:val="26"/>
                <w:szCs w:val="26"/>
              </w:rPr>
            </w:pPr>
          </w:p>
          <w:p>
            <w:pPr>
              <w:ind w:left="168"/>
              <w:jc w:val="left"/>
              <w:rPr>
                <w:rFonts w:ascii="Times New Roman" w:hAnsi="Times New Roman" w:eastAsia="仿宋" w:cs="Times New Roman"/>
                <w:kern w:val="0"/>
                <w:sz w:val="22"/>
                <w:szCs w:val="21"/>
                <w:lang w:eastAsia="en-US"/>
              </w:rPr>
            </w:pPr>
            <w:r>
              <w:rPr>
                <w:rFonts w:ascii="Times New Roman" w:hAnsi="Times New Roman" w:eastAsia="仿宋" w:cs="Times New Roman"/>
                <w:b/>
                <w:bCs/>
                <w:kern w:val="0"/>
                <w:sz w:val="22"/>
                <w:szCs w:val="21"/>
                <w:lang w:eastAsia="en-US"/>
              </w:rPr>
              <w:t>风险揭示</w:t>
            </w:r>
          </w:p>
        </w:tc>
        <w:tc>
          <w:tcPr>
            <w:tcW w:w="7339" w:type="dxa"/>
            <w:tcBorders>
              <w:top w:val="single" w:color="000000" w:sz="4" w:space="0"/>
              <w:left w:val="single" w:color="000000" w:sz="4" w:space="0"/>
              <w:bottom w:val="single" w:color="000000" w:sz="4" w:space="0"/>
              <w:right w:val="single" w:color="000000" w:sz="4" w:space="0"/>
            </w:tcBorders>
          </w:tcPr>
          <w:p>
            <w:pPr>
              <w:spacing w:line="273" w:lineRule="auto"/>
              <w:ind w:left="103"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一、【总则】债券投资具有信用风险、市场风险、流动性风险、放大交易风险、质押券价值变动风险、政策风险及其他各类风险。</w:t>
            </w:r>
          </w:p>
          <w:p>
            <w:pPr>
              <w:spacing w:before="8" w:line="273" w:lineRule="auto"/>
              <w:ind w:left="103" w:right="-8"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二、【投资者适当性】投资者应当根据自身的财务状况、投资的资金来源、实际需求、风险承受能力、投资损失后的损失计提、核销等承担损失方式及内部制度（若为机构），审慎决定参与债券交易。</w:t>
            </w:r>
          </w:p>
          <w:p>
            <w:pPr>
              <w:spacing w:before="8" w:line="273" w:lineRule="auto"/>
              <w:ind w:left="103"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三、【信用风险】债券发行人无法按期还本付息的风险。如果投资者购买或持有资信评级较低的信用债，将面临显著的信用风险。</w:t>
            </w:r>
          </w:p>
          <w:p>
            <w:pPr>
              <w:spacing w:before="7" w:line="273" w:lineRule="auto"/>
              <w:ind w:left="103"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四、【市场风险】由于市场环境或供求关系等因素导致的债券价格波动的风险。</w:t>
            </w:r>
          </w:p>
          <w:p>
            <w:pPr>
              <w:spacing w:before="7" w:line="273" w:lineRule="auto"/>
              <w:ind w:left="103"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五、【流动性风险】投资者在短期内无法以合理价格买入或卖出债券，从而遭受损失的风险。</w:t>
            </w:r>
          </w:p>
          <w:p>
            <w:pPr>
              <w:spacing w:before="7" w:line="273" w:lineRule="auto"/>
              <w:ind w:left="103"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六、【放大交易风险】投资人利用现券和回购两个品种进行债券投资的放大操作，从而放大投资损失的风险。</w:t>
            </w:r>
          </w:p>
          <w:p>
            <w:pPr>
              <w:spacing w:before="7" w:line="273" w:lineRule="auto"/>
              <w:ind w:left="102"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七、【质押券价值变动风险】投资者在参与质押式回购业务期间需要保证回购标准券足额。如果回购期间债券价格下跌，标准券折算率相应下调，融资方面临标准券欠库风险。融资方需要及时补充质押券避免标准券不足。投资者在参与质押式协议回购业务期间可能存在质押券价值波动、分期偿还、分期摊还、司法冻结或划扣等情形导致质押券贬值或不足的风险。</w:t>
            </w:r>
          </w:p>
          <w:p>
            <w:pPr>
              <w:spacing w:before="14" w:line="272" w:lineRule="exact"/>
              <w:ind w:left="102"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八、【操作风险】由于投资者操作失误，证券公司或结算代理人未履行职责等原因导致的操作风险。</w:t>
            </w:r>
          </w:p>
          <w:p>
            <w:pPr>
              <w:spacing w:before="1" w:line="272" w:lineRule="exact"/>
              <w:ind w:left="102" w:right="97"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九、【政策风险】由于国家法律、法规、政策、交易所规则的变化、修改等原因，可能会对投资者的交易产生不利影响，甚至造成经济损失。对于因交易所制定、修改业务规则或根据业务规则履行自律监管职责等造成的损失，交易所不承担责任。</w:t>
            </w:r>
          </w:p>
          <w:p>
            <w:pPr>
              <w:spacing w:before="1" w:line="272" w:lineRule="exact"/>
              <w:ind w:left="102" w:right="78" w:firstLine="420"/>
              <w:jc w:val="left"/>
              <w:rPr>
                <w:rFonts w:ascii="Times New Roman" w:hAnsi="Times New Roman" w:eastAsia="仿宋" w:cs="Times New Roman"/>
                <w:kern w:val="0"/>
                <w:sz w:val="18"/>
                <w:szCs w:val="18"/>
              </w:rPr>
            </w:pPr>
            <w:r>
              <w:rPr>
                <w:rFonts w:ascii="Times New Roman" w:hAnsi="Times New Roman" w:eastAsia="仿宋" w:cs="Times New Roman"/>
                <w:kern w:val="0"/>
                <w:sz w:val="18"/>
                <w:szCs w:val="18"/>
              </w:rPr>
              <w:t>十、【不可抗力风险】因出现火灾、地震、瘟疫、社会动乱等不能预见、避免或克服的不可抗力情形给投资者造成的风险。</w:t>
            </w:r>
          </w:p>
          <w:p>
            <w:pPr>
              <w:spacing w:before="2" w:line="272" w:lineRule="exact"/>
              <w:ind w:left="103" w:right="98" w:firstLine="422"/>
              <w:jc w:val="left"/>
              <w:rPr>
                <w:rFonts w:ascii="Times New Roman" w:hAnsi="Times New Roman" w:eastAsia="仿宋" w:cs="Times New Roman"/>
                <w:b/>
                <w:kern w:val="0"/>
                <w:sz w:val="18"/>
                <w:szCs w:val="18"/>
              </w:rPr>
            </w:pPr>
          </w:p>
          <w:p>
            <w:pPr>
              <w:spacing w:before="2" w:line="272" w:lineRule="exact"/>
              <w:ind w:left="103" w:right="98" w:firstLine="422"/>
              <w:jc w:val="left"/>
              <w:rPr>
                <w:rFonts w:ascii="Times New Roman" w:hAnsi="Times New Roman" w:eastAsia="仿宋" w:cs="Times New Roman"/>
                <w:b/>
                <w:kern w:val="0"/>
                <w:sz w:val="20"/>
                <w:szCs w:val="21"/>
              </w:rPr>
            </w:pPr>
            <w:r>
              <w:rPr>
                <w:rFonts w:ascii="Times New Roman" w:hAnsi="Times New Roman" w:eastAsia="仿宋" w:cs="Times New Roman"/>
                <w:b/>
                <w:kern w:val="0"/>
                <w:sz w:val="18"/>
                <w:szCs w:val="18"/>
              </w:rPr>
              <w:t>重要声明：本风险揭示书的揭示事项仅为列举性质，未能详尽列明债券交易的所有风险。投资者在参与债券交易前，应认真阅读债券上市说明书及交易所相关业务规则，并做好风险评估与财务安排，确定自身有足够的风险承受能力，避免因参与债券交易而遭受难以承受的损失。</w:t>
            </w:r>
          </w:p>
        </w:tc>
      </w:tr>
      <w:tr>
        <w:tblPrEx>
          <w:tblCellMar>
            <w:top w:w="0" w:type="dxa"/>
            <w:left w:w="0" w:type="dxa"/>
            <w:bottom w:w="0" w:type="dxa"/>
            <w:right w:w="0" w:type="dxa"/>
          </w:tblCellMar>
        </w:tblPrEx>
        <w:trPr>
          <w:trHeight w:val="3959" w:hRule="exact"/>
          <w:jc w:val="center"/>
        </w:trPr>
        <w:tc>
          <w:tcPr>
            <w:tcW w:w="1188"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jc w:val="left"/>
              <w:rPr>
                <w:rFonts w:ascii="Times New Roman" w:hAnsi="Times New Roman" w:eastAsia="仿宋" w:cs="Times New Roman"/>
                <w:b/>
                <w:bCs/>
                <w:kern w:val="0"/>
                <w:sz w:val="20"/>
                <w:szCs w:val="20"/>
              </w:rPr>
            </w:pPr>
          </w:p>
          <w:p>
            <w:pPr>
              <w:spacing w:before="9"/>
              <w:jc w:val="left"/>
              <w:rPr>
                <w:rFonts w:ascii="Times New Roman" w:hAnsi="Times New Roman" w:eastAsia="仿宋" w:cs="Times New Roman"/>
                <w:b/>
                <w:bCs/>
                <w:kern w:val="0"/>
                <w:sz w:val="22"/>
                <w:szCs w:val="20"/>
              </w:rPr>
            </w:pPr>
          </w:p>
          <w:p>
            <w:pPr>
              <w:ind w:left="482" w:right="163" w:hanging="315"/>
              <w:jc w:val="center"/>
              <w:rPr>
                <w:rFonts w:ascii="Times New Roman" w:hAnsi="Times New Roman" w:eastAsia="仿宋" w:cs="Times New Roman"/>
                <w:b/>
                <w:bCs/>
                <w:kern w:val="0"/>
                <w:sz w:val="22"/>
                <w:szCs w:val="21"/>
                <w:lang w:eastAsia="en-US"/>
              </w:rPr>
            </w:pPr>
            <w:r>
              <w:rPr>
                <w:rFonts w:ascii="Times New Roman" w:hAnsi="Times New Roman" w:eastAsia="仿宋" w:cs="Times New Roman"/>
                <w:b/>
                <w:bCs/>
                <w:kern w:val="0"/>
                <w:sz w:val="22"/>
                <w:szCs w:val="21"/>
                <w:lang w:eastAsia="en-US"/>
              </w:rPr>
              <w:t>投资者</w:t>
            </w:r>
          </w:p>
          <w:p>
            <w:pPr>
              <w:ind w:left="482" w:right="163" w:hanging="315"/>
              <w:jc w:val="center"/>
              <w:rPr>
                <w:rFonts w:ascii="Times New Roman" w:hAnsi="Times New Roman" w:eastAsia="仿宋" w:cs="Times New Roman"/>
                <w:kern w:val="0"/>
                <w:sz w:val="22"/>
                <w:szCs w:val="21"/>
                <w:lang w:eastAsia="en-US"/>
              </w:rPr>
            </w:pPr>
            <w:r>
              <w:rPr>
                <w:rFonts w:ascii="Times New Roman" w:hAnsi="Times New Roman" w:eastAsia="仿宋" w:cs="Times New Roman"/>
                <w:b/>
                <w:bCs/>
                <w:kern w:val="0"/>
                <w:sz w:val="22"/>
                <w:szCs w:val="21"/>
                <w:lang w:eastAsia="en-US"/>
              </w:rPr>
              <w:t>确认</w:t>
            </w:r>
          </w:p>
        </w:tc>
        <w:tc>
          <w:tcPr>
            <w:tcW w:w="7339" w:type="dxa"/>
            <w:tcBorders>
              <w:top w:val="single" w:color="000000" w:sz="4" w:space="0"/>
              <w:left w:val="single" w:color="000000" w:sz="4" w:space="0"/>
              <w:bottom w:val="single" w:color="000000" w:sz="4" w:space="0"/>
              <w:right w:val="single" w:color="000000" w:sz="4" w:space="0"/>
            </w:tcBorders>
          </w:tcPr>
          <w:p>
            <w:pPr>
              <w:spacing w:before="6"/>
              <w:jc w:val="left"/>
              <w:rPr>
                <w:rFonts w:ascii="Times New Roman" w:hAnsi="Times New Roman" w:eastAsia="仿宋" w:cs="Times New Roman"/>
                <w:b/>
                <w:bCs/>
                <w:kern w:val="0"/>
                <w:sz w:val="20"/>
                <w:szCs w:val="16"/>
              </w:rPr>
            </w:pPr>
          </w:p>
          <w:p>
            <w:pPr>
              <w:spacing w:line="230" w:lineRule="auto"/>
              <w:ind w:left="103" w:right="97" w:firstLine="419"/>
              <w:jc w:val="left"/>
              <w:rPr>
                <w:rFonts w:ascii="Times New Roman" w:hAnsi="Times New Roman" w:eastAsia="仿宋" w:cs="Times New Roman"/>
                <w:b/>
                <w:kern w:val="0"/>
                <w:sz w:val="18"/>
                <w:szCs w:val="18"/>
              </w:rPr>
            </w:pPr>
            <w:r>
              <w:rPr>
                <w:rFonts w:ascii="Times New Roman" w:hAnsi="Times New Roman" w:eastAsia="仿宋" w:cs="Times New Roman"/>
                <w:b/>
                <w:kern w:val="0"/>
                <w:sz w:val="18"/>
                <w:szCs w:val="18"/>
              </w:rPr>
              <w:t>本人/本机构已阅读并完全理解以上《专业机构投资者债券风险揭示书》，且具备专业机构投资者资格，知悉债券认购及交易风险，愿意承担债券市场的各种风险和损失。</w:t>
            </w:r>
          </w:p>
          <w:p>
            <w:pPr>
              <w:spacing w:before="13"/>
              <w:jc w:val="left"/>
              <w:rPr>
                <w:rFonts w:ascii="Times New Roman" w:hAnsi="Times New Roman" w:eastAsia="仿宋" w:cs="Times New Roman"/>
                <w:b/>
                <w:kern w:val="0"/>
                <w:sz w:val="18"/>
                <w:szCs w:val="18"/>
              </w:rPr>
            </w:pPr>
          </w:p>
          <w:p>
            <w:pPr>
              <w:ind w:right="880" w:firstLine="3960" w:firstLineChars="1800"/>
              <w:jc w:val="left"/>
              <w:rPr>
                <w:rFonts w:ascii="Times New Roman" w:hAnsi="Times New Roman" w:eastAsia="仿宋" w:cs="Times New Roman"/>
                <w:kern w:val="0"/>
                <w:sz w:val="22"/>
                <w:szCs w:val="20"/>
              </w:rPr>
            </w:pPr>
          </w:p>
          <w:p>
            <w:pPr>
              <w:ind w:firstLine="440" w:firstLineChars="200"/>
              <w:jc w:val="left"/>
              <w:rPr>
                <w:rFonts w:ascii="Times New Roman" w:hAnsi="Times New Roman" w:eastAsia="仿宋" w:cs="Times New Roman"/>
                <w:kern w:val="0"/>
                <w:sz w:val="22"/>
                <w:szCs w:val="20"/>
              </w:rPr>
            </w:pPr>
            <w:r>
              <w:rPr>
                <w:rFonts w:ascii="Times New Roman" w:hAnsi="Times New Roman" w:eastAsia="仿宋" w:cs="Times New Roman"/>
                <w:kern w:val="0"/>
                <w:sz w:val="22"/>
                <w:szCs w:val="20"/>
              </w:rPr>
              <w:t>经办人签字（签章）：</w:t>
            </w:r>
          </w:p>
          <w:p>
            <w:pPr>
              <w:ind w:right="420" w:firstLine="440" w:firstLineChars="200"/>
              <w:jc w:val="right"/>
              <w:rPr>
                <w:rFonts w:ascii="Times New Roman" w:hAnsi="Times New Roman" w:eastAsia="仿宋" w:cs="Times New Roman"/>
                <w:kern w:val="0"/>
                <w:sz w:val="22"/>
                <w:szCs w:val="20"/>
              </w:rPr>
            </w:pPr>
          </w:p>
          <w:p>
            <w:pPr>
              <w:ind w:right="420" w:firstLine="440" w:firstLineChars="200"/>
              <w:jc w:val="right"/>
              <w:rPr>
                <w:rFonts w:ascii="Times New Roman" w:hAnsi="Times New Roman" w:eastAsia="仿宋" w:cs="Times New Roman"/>
                <w:kern w:val="0"/>
                <w:sz w:val="22"/>
                <w:szCs w:val="20"/>
              </w:rPr>
            </w:pPr>
          </w:p>
          <w:p>
            <w:pPr>
              <w:ind w:right="420" w:firstLine="440" w:firstLineChars="200"/>
              <w:jc w:val="right"/>
              <w:rPr>
                <w:rFonts w:ascii="Times New Roman" w:hAnsi="Times New Roman" w:eastAsia="仿宋" w:cs="Times New Roman"/>
                <w:kern w:val="0"/>
                <w:sz w:val="22"/>
                <w:szCs w:val="20"/>
              </w:rPr>
            </w:pPr>
          </w:p>
          <w:p>
            <w:pPr>
              <w:spacing w:line="360" w:lineRule="auto"/>
              <w:ind w:right="640" w:firstLine="440" w:firstLineChars="200"/>
              <w:jc w:val="right"/>
              <w:rPr>
                <w:rFonts w:ascii="Times New Roman" w:hAnsi="Times New Roman" w:eastAsia="仿宋" w:cs="Times New Roman"/>
                <w:kern w:val="0"/>
                <w:sz w:val="22"/>
                <w:szCs w:val="20"/>
              </w:rPr>
            </w:pPr>
          </w:p>
          <w:p>
            <w:pPr>
              <w:spacing w:line="360" w:lineRule="auto"/>
              <w:ind w:right="1090" w:firstLine="4400" w:firstLineChars="2000"/>
              <w:jc w:val="left"/>
              <w:rPr>
                <w:rFonts w:ascii="Times New Roman" w:hAnsi="Times New Roman" w:eastAsia="仿宋" w:cs="Times New Roman"/>
                <w:kern w:val="0"/>
                <w:sz w:val="22"/>
                <w:szCs w:val="20"/>
              </w:rPr>
            </w:pPr>
            <w:r>
              <w:rPr>
                <w:rFonts w:ascii="Times New Roman" w:hAnsi="Times New Roman" w:eastAsia="仿宋" w:cs="Times New Roman"/>
                <w:kern w:val="0"/>
                <w:sz w:val="22"/>
                <w:szCs w:val="20"/>
              </w:rPr>
              <w:t>申购机构盖章</w:t>
            </w:r>
          </w:p>
          <w:p>
            <w:pPr>
              <w:ind w:right="880" w:firstLine="3960" w:firstLineChars="1800"/>
              <w:jc w:val="left"/>
              <w:rPr>
                <w:rFonts w:ascii="Times New Roman" w:hAnsi="Times New Roman" w:eastAsia="仿宋" w:cs="Times New Roman"/>
                <w:kern w:val="0"/>
                <w:sz w:val="22"/>
                <w:szCs w:val="20"/>
              </w:rPr>
            </w:pPr>
            <w:r>
              <w:rPr>
                <w:rFonts w:ascii="Times New Roman" w:hAnsi="Times New Roman" w:eastAsia="仿宋" w:cs="Times New Roman"/>
                <w:kern w:val="0"/>
                <w:sz w:val="22"/>
                <w:szCs w:val="20"/>
              </w:rPr>
              <w:t>2022年      月      日</w:t>
            </w:r>
          </w:p>
        </w:tc>
      </w:tr>
    </w:tbl>
    <w:p>
      <w:pPr>
        <w:widowControl/>
        <w:ind w:left="-424" w:leftChars="-202" w:firstLine="482" w:firstLineChars="200"/>
        <w:jc w:val="left"/>
        <w:rPr>
          <w:rFonts w:ascii="Times New Roman" w:hAnsi="Times New Roman" w:eastAsia="宋体" w:cs="Times New Roman"/>
          <w:b/>
          <w:kern w:val="0"/>
          <w:sz w:val="24"/>
        </w:rPr>
      </w:pPr>
    </w:p>
    <w:p>
      <w:pPr>
        <w:widowControl/>
        <w:ind w:left="-424" w:leftChars="-202" w:firstLine="482" w:firstLineChars="200"/>
        <w:jc w:val="left"/>
        <w:rPr>
          <w:rFonts w:ascii="Times New Roman" w:hAnsi="Times New Roman" w:eastAsia="宋体" w:cs="Times New Roman"/>
          <w:b/>
          <w:kern w:val="0"/>
          <w:sz w:val="24"/>
        </w:rPr>
      </w:pPr>
    </w:p>
    <w:p>
      <w:pPr>
        <w:widowControl/>
        <w:ind w:left="-424" w:leftChars="-202" w:firstLine="482" w:firstLineChars="200"/>
        <w:jc w:val="left"/>
        <w:rPr>
          <w:rFonts w:ascii="Times New Roman" w:hAnsi="Times New Roman" w:eastAsia="宋体" w:cs="Times New Roman"/>
          <w:b/>
          <w:kern w:val="0"/>
          <w:sz w:val="24"/>
        </w:rPr>
      </w:pPr>
      <w:r>
        <w:rPr>
          <w:rFonts w:ascii="Times New Roman" w:hAnsi="Times New Roman" w:eastAsia="宋体" w:cs="Times New Roman"/>
          <w:b/>
          <w:kern w:val="0"/>
          <w:sz w:val="24"/>
        </w:rPr>
        <w:t>附件3:</w:t>
      </w:r>
    </w:p>
    <w:p>
      <w:pPr>
        <w:widowControl/>
        <w:spacing w:after="120" w:afterLines="50"/>
        <w:ind w:left="-424" w:leftChars="-202"/>
        <w:jc w:val="center"/>
        <w:rPr>
          <w:rFonts w:ascii="Times New Roman" w:hAnsi="Times New Roman" w:eastAsia="宋体" w:cs="Times New Roman"/>
          <w:b/>
          <w:kern w:val="0"/>
          <w:sz w:val="24"/>
        </w:rPr>
      </w:pPr>
      <w:r>
        <w:rPr>
          <w:rFonts w:ascii="Times New Roman" w:hAnsi="Times New Roman" w:eastAsia="宋体" w:cs="Times New Roman"/>
          <w:b/>
          <w:kern w:val="0"/>
          <w:sz w:val="24"/>
        </w:rPr>
        <w:t>专业机构投资者资格确认表</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46"/>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2"/>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根据《公司债券发行与交易管理办法》第十四条及《上海证券交易所债券市场投资者适当性管理办法》/《深圳证券交易所债券市场投资者适当性管理办法》第六条之规定，本机构/本人为：</w:t>
            </w:r>
          </w:p>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（请在右栏相应表格中勾选）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经有关金融监管部门批准设立的金融机构，包括证券公司、期货公司、基金管理公司及其子公司、商业银行、保险公司、信托公司、财务公司等；经行业协会备案或者登记的证券公司子公司、期货公司子公司、私募基金管理人</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前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Pr>
                <w:rFonts w:ascii="Segoe UI Symbol" w:hAnsi="Segoe UI Symbol" w:eastAsia="仿宋" w:cs="Segoe UI Symbol"/>
                <w:kern w:val="0"/>
                <w:szCs w:val="21"/>
              </w:rPr>
              <w:t>★</w:t>
            </w:r>
            <w:r>
              <w:rPr>
                <w:rFonts w:ascii="Times New Roman" w:hAnsi="Times New Roman" w:eastAsia="仿宋" w:cs="Times New Roman"/>
                <w:kern w:val="0"/>
                <w:szCs w:val="21"/>
              </w:rPr>
              <w:t>项）</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社会保障基金、企业年金等养老基金，慈善基金等社会公益基金，合格境外机构投资者（QFII）、人民币合格境外机构投资者（RQFII）</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同时符合下列条件的法人或者其他组织：</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1.最近1年末净资产不低于 2000 万元；</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2.最近 1 年末金融资产不低于 1000 万元；</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3.具有 2 年以上证券、基金、期货、黄金、外汇等投资经历。</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（如为合伙企业且拟将主要资产投向单一债券，请同时勾选</w:t>
            </w:r>
            <w:r>
              <w:rPr>
                <w:rFonts w:ascii="Segoe UI Symbol" w:hAnsi="Segoe UI Symbol" w:eastAsia="仿宋" w:cs="Segoe UI Symbol"/>
                <w:kern w:val="0"/>
                <w:szCs w:val="21"/>
              </w:rPr>
              <w:t>★</w:t>
            </w:r>
            <w:r>
              <w:rPr>
                <w:rFonts w:ascii="Times New Roman" w:hAnsi="Times New Roman" w:eastAsia="仿宋" w:cs="Times New Roman"/>
                <w:kern w:val="0"/>
                <w:szCs w:val="21"/>
              </w:rPr>
              <w:t>项）</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同时符合下列条件的个人：</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1.申请资格认定前 20 个交易日名下金融资产日均不低于 500 万元，或者最近 3 年个人年均收入不低于 50 万元；</w:t>
            </w:r>
            <w:r>
              <w:rPr>
                <w:rFonts w:ascii="Times New Roman" w:hAnsi="Times New Roman" w:eastAsia="仿宋" w:cs="Times New Roman"/>
                <w:kern w:val="0"/>
                <w:szCs w:val="21"/>
              </w:rPr>
              <w:br w:type="textWrapping"/>
            </w:r>
            <w:r>
              <w:rPr>
                <w:rFonts w:ascii="Times New Roman" w:hAnsi="Times New Roman" w:eastAsia="仿宋" w:cs="Times New Roman"/>
                <w:kern w:val="0"/>
                <w:szCs w:val="21"/>
              </w:rPr>
              <w:t>2.具有 2 年以上证券、基金、期货、黄金、外汇等投资经历，或者具有 2 年以上金融产品设计、投资、风险管理及相关工作经历，或者属于前述机构的高级管理人员、获得职业资格认证的从事金融相关业务的注册会计师和律师。</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经中国证监会认可的其他专业机构投资者。请说明具体类型并附上相关证明文件（如有）</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04" w:type="pct"/>
          </w:tcPr>
          <w:p>
            <w:pPr>
              <w:widowControl/>
              <w:jc w:val="left"/>
              <w:rPr>
                <w:rFonts w:ascii="Times New Roman" w:hAnsi="Times New Roman" w:eastAsia="仿宋" w:cs="Times New Roman"/>
                <w:kern w:val="0"/>
                <w:szCs w:val="21"/>
              </w:rPr>
            </w:pPr>
            <w:r>
              <w:rPr>
                <w:rFonts w:ascii="Segoe UI Symbol" w:hAnsi="Segoe UI Symbol" w:eastAsia="仿宋" w:cs="Segoe UI Symbol"/>
                <w:kern w:val="0"/>
                <w:szCs w:val="21"/>
              </w:rPr>
              <w:t>★</w:t>
            </w:r>
            <w:r>
              <w:rPr>
                <w:rFonts w:ascii="Times New Roman" w:hAnsi="Times New Roman" w:eastAsia="仿宋" w:cs="Times New Roman"/>
                <w:kern w:val="0"/>
                <w:szCs w:val="21"/>
              </w:rPr>
              <w:t>如理财产品、合伙企业拟将主要资产投向单一债券，根据穿透原则（《公司债券发行与交易管理办法》第十四条之规定）核查最终投资者为符合基金业协会标准所规定的专业机构投资者。</w:t>
            </w:r>
          </w:p>
        </w:tc>
        <w:tc>
          <w:tcPr>
            <w:tcW w:w="696" w:type="pct"/>
          </w:tcPr>
          <w:p>
            <w:pPr>
              <w:widowControl/>
              <w:jc w:val="left"/>
              <w:rPr>
                <w:rFonts w:ascii="Times New Roman" w:hAnsi="Times New Roman" w:eastAsia="仿宋"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7" w:hRule="atLeast"/>
        </w:trPr>
        <w:tc>
          <w:tcPr>
            <w:tcW w:w="5000" w:type="pct"/>
            <w:gridSpan w:val="2"/>
          </w:tcPr>
          <w:p>
            <w:pPr>
              <w:widowControl/>
              <w:jc w:val="left"/>
              <w:rPr>
                <w:rFonts w:ascii="Times New Roman" w:hAnsi="Times New Roman" w:eastAsia="仿宋" w:cs="Times New Roman"/>
                <w:kern w:val="0"/>
                <w:szCs w:val="21"/>
              </w:rPr>
            </w:pPr>
            <w:r>
              <w:rPr>
                <w:rFonts w:ascii="Times New Roman" w:hAnsi="Times New Roman" w:eastAsia="仿宋" w:cs="Times New Roman"/>
                <w:kern w:val="0"/>
                <w:szCs w:val="21"/>
              </w:rPr>
              <w:t>本机构/本人已阅知《专业机构投资者资格确认表》并确认本机构/本人为符合《公司债券发行与交易管理办法》及沪深证券交易所《债券市场投资者适当性管理办法》规定并拥有中国证券登记结算有限责任公司上海/深圳分公司 A 股证券账户的专业机构投资者，且在申购本次债券前，依据上海/深圳证券交易所相关规定签订过《专业机构投资者债券风险揭示书》，投资账户具有相应交易权限，并已经做好风险评估，确定自身有足够的风险承受能力，并自行承担参与认购的相应风险。</w:t>
            </w:r>
          </w:p>
          <w:p>
            <w:pPr>
              <w:widowControl/>
              <w:jc w:val="left"/>
              <w:rPr>
                <w:rFonts w:ascii="Times New Roman" w:hAnsi="Times New Roman" w:eastAsia="仿宋" w:cs="Times New Roman"/>
                <w:kern w:val="0"/>
                <w:szCs w:val="21"/>
              </w:rPr>
            </w:pPr>
          </w:p>
          <w:p>
            <w:pPr>
              <w:widowControl/>
              <w:ind w:firstLine="440" w:firstLineChars="200"/>
              <w:jc w:val="left"/>
              <w:rPr>
                <w:rFonts w:ascii="Times New Roman" w:hAnsi="Times New Roman" w:eastAsia="仿宋" w:cs="Times New Roman"/>
                <w:kern w:val="0"/>
                <w:sz w:val="22"/>
                <w:szCs w:val="20"/>
              </w:rPr>
            </w:pPr>
            <w:r>
              <w:rPr>
                <w:rFonts w:ascii="Times New Roman" w:hAnsi="Times New Roman" w:eastAsia="仿宋" w:cs="Times New Roman"/>
                <w:kern w:val="0"/>
                <w:sz w:val="22"/>
                <w:szCs w:val="20"/>
              </w:rPr>
              <w:t>经办人签字（签章）：</w:t>
            </w:r>
          </w:p>
          <w:p>
            <w:pPr>
              <w:widowControl/>
              <w:ind w:right="420" w:firstLine="440" w:firstLineChars="200"/>
              <w:jc w:val="right"/>
              <w:rPr>
                <w:rFonts w:ascii="Times New Roman" w:hAnsi="Times New Roman" w:eastAsia="仿宋" w:cs="Times New Roman"/>
                <w:kern w:val="0"/>
                <w:sz w:val="22"/>
                <w:szCs w:val="20"/>
              </w:rPr>
            </w:pPr>
          </w:p>
          <w:p>
            <w:pPr>
              <w:widowControl/>
              <w:ind w:right="420" w:firstLine="440" w:firstLineChars="200"/>
              <w:jc w:val="right"/>
              <w:rPr>
                <w:rFonts w:ascii="Times New Roman" w:hAnsi="Times New Roman" w:eastAsia="仿宋" w:cs="Times New Roman"/>
                <w:kern w:val="0"/>
                <w:sz w:val="22"/>
                <w:szCs w:val="20"/>
              </w:rPr>
            </w:pPr>
          </w:p>
          <w:p>
            <w:pPr>
              <w:widowControl/>
              <w:spacing w:line="360" w:lineRule="auto"/>
              <w:ind w:right="430" w:firstLine="440" w:firstLineChars="200"/>
              <w:jc w:val="right"/>
              <w:rPr>
                <w:rFonts w:ascii="Times New Roman" w:hAnsi="Times New Roman" w:eastAsia="仿宋" w:cs="Times New Roman"/>
                <w:kern w:val="0"/>
                <w:sz w:val="22"/>
                <w:szCs w:val="20"/>
              </w:rPr>
            </w:pPr>
            <w:r>
              <w:rPr>
                <w:rFonts w:ascii="Times New Roman" w:hAnsi="Times New Roman" w:eastAsia="仿宋" w:cs="Times New Roman"/>
                <w:kern w:val="0"/>
                <w:sz w:val="22"/>
                <w:szCs w:val="20"/>
              </w:rPr>
              <w:t>申购机构盖章</w:t>
            </w:r>
          </w:p>
          <w:p>
            <w:pPr>
              <w:widowControl/>
              <w:jc w:val="right"/>
              <w:rPr>
                <w:rFonts w:ascii="Times New Roman" w:hAnsi="Times New Roman" w:eastAsia="仿宋" w:cs="Times New Roman"/>
                <w:kern w:val="0"/>
                <w:sz w:val="22"/>
                <w:szCs w:val="20"/>
              </w:rPr>
            </w:pPr>
            <w:r>
              <w:rPr>
                <w:rFonts w:ascii="Times New Roman" w:hAnsi="Times New Roman" w:eastAsia="仿宋" w:cs="Times New Roman"/>
                <w:kern w:val="0"/>
                <w:sz w:val="22"/>
                <w:szCs w:val="20"/>
              </w:rPr>
              <w:t>2022年    月    日</w:t>
            </w:r>
          </w:p>
          <w:p>
            <w:pPr>
              <w:widowControl/>
              <w:jc w:val="right"/>
              <w:rPr>
                <w:rFonts w:ascii="Times New Roman" w:hAnsi="Times New Roman" w:eastAsia="仿宋" w:cs="Times New Roman"/>
                <w:kern w:val="0"/>
                <w:sz w:val="22"/>
                <w:szCs w:val="20"/>
              </w:rPr>
            </w:pPr>
          </w:p>
          <w:p>
            <w:pPr>
              <w:widowControl/>
              <w:jc w:val="right"/>
              <w:rPr>
                <w:rFonts w:ascii="Times New Roman" w:hAnsi="Times New Roman" w:eastAsia="仿宋" w:cs="Times New Roman"/>
                <w:kern w:val="0"/>
                <w:szCs w:val="21"/>
              </w:rPr>
            </w:pPr>
          </w:p>
        </w:tc>
      </w:tr>
    </w:tbl>
    <w:p>
      <w:pPr>
        <w:widowControl/>
        <w:jc w:val="left"/>
        <w:rPr>
          <w:rFonts w:ascii="Times New Roman" w:hAnsi="Times New Roman" w:eastAsia="宋体" w:cs="Times New Roman"/>
          <w:kern w:val="0"/>
          <w:sz w:val="24"/>
          <w:lang w:eastAsia="en-US"/>
        </w:rPr>
      </w:pPr>
    </w:p>
    <w:p>
      <w:pPr>
        <w:snapToGrid w:val="0"/>
        <w:spacing w:line="360" w:lineRule="auto"/>
        <w:jc w:val="left"/>
        <w:rPr>
          <w:rFonts w:ascii="Times New Roman" w:hAnsi="Times New Roman" w:eastAsia="宋体" w:cs="Times New Roman"/>
          <w:kern w:val="0"/>
          <w:sz w:val="24"/>
          <w:lang w:eastAsia="en-US"/>
        </w:rPr>
      </w:pPr>
    </w:p>
    <w:p>
      <w:pPr>
        <w:snapToGrid w:val="0"/>
        <w:spacing w:line="360" w:lineRule="auto"/>
        <w:jc w:val="left"/>
        <w:rPr>
          <w:rFonts w:ascii="Times New Roman" w:hAnsi="Times New Roman" w:eastAsia="宋体" w:cs="Times New Roman"/>
          <w:kern w:val="0"/>
          <w:sz w:val="24"/>
          <w:lang w:eastAsia="en-US"/>
        </w:rPr>
      </w:pPr>
    </w:p>
    <w:p>
      <w:pPr>
        <w:snapToGrid w:val="0"/>
        <w:spacing w:line="360" w:lineRule="auto"/>
        <w:jc w:val="left"/>
        <w:rPr>
          <w:rFonts w:ascii="Times New Roman" w:hAnsi="Times New Roman" w:eastAsia="宋体" w:cs="Times New Roman"/>
          <w:kern w:val="0"/>
          <w:sz w:val="24"/>
          <w:lang w:eastAsia="en-US"/>
        </w:rPr>
      </w:pPr>
    </w:p>
    <w:p>
      <w:pPr>
        <w:snapToGrid w:val="0"/>
        <w:spacing w:line="360" w:lineRule="auto"/>
        <w:jc w:val="left"/>
        <w:rPr>
          <w:rFonts w:ascii="Times New Roman" w:hAnsi="Times New Roman" w:eastAsia="宋体" w:cs="Times New Roman"/>
          <w:kern w:val="0"/>
          <w:sz w:val="24"/>
          <w:lang w:eastAsia="en-US"/>
        </w:rPr>
      </w:pPr>
    </w:p>
    <w:p>
      <w:pPr>
        <w:spacing w:before="1"/>
        <w:ind w:left="120" w:right="12"/>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附件4：</w:t>
      </w:r>
    </w:p>
    <w:p>
      <w:pPr>
        <w:spacing w:before="9"/>
        <w:jc w:val="left"/>
        <w:rPr>
          <w:rFonts w:ascii="Times New Roman" w:hAnsi="Times New Roman" w:eastAsia="宋体" w:cs="Times New Roman"/>
          <w:b/>
          <w:bCs/>
          <w:kern w:val="0"/>
          <w:sz w:val="25"/>
          <w:szCs w:val="25"/>
        </w:rPr>
      </w:pPr>
    </w:p>
    <w:p>
      <w:pPr>
        <w:spacing w:line="273" w:lineRule="auto"/>
        <w:ind w:left="120" w:right="12"/>
        <w:jc w:val="left"/>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声明及提示：以下示例中的利率和金额均为虚设，不含有任何暗示，请投资者</w:t>
      </w:r>
      <w:r>
        <w:rPr>
          <w:rFonts w:ascii="Times New Roman" w:hAnsi="Times New Roman" w:eastAsia="宋体" w:cs="Times New Roman"/>
          <w:b/>
          <w:bCs/>
          <w:w w:val="99"/>
          <w:kern w:val="0"/>
          <w:sz w:val="24"/>
          <w:szCs w:val="24"/>
        </w:rPr>
        <w:t xml:space="preserve"> </w:t>
      </w:r>
      <w:r>
        <w:rPr>
          <w:rFonts w:ascii="Times New Roman" w:hAnsi="Times New Roman" w:eastAsia="宋体" w:cs="Times New Roman"/>
          <w:b/>
          <w:bCs/>
          <w:kern w:val="0"/>
          <w:sz w:val="24"/>
          <w:szCs w:val="24"/>
        </w:rPr>
        <w:t>根据自己的判断填写。投资者向簿记室提交申购意向函时不必传真本填报说明。</w:t>
      </w:r>
    </w:p>
    <w:p>
      <w:pPr>
        <w:snapToGrid w:val="0"/>
        <w:spacing w:line="360" w:lineRule="auto"/>
        <w:jc w:val="center"/>
        <w:rPr>
          <w:rFonts w:ascii="Times New Roman" w:hAnsi="Times New Roman" w:eastAsia="宋体" w:cs="Times New Roman"/>
          <w:b/>
          <w:bCs/>
          <w:kern w:val="0"/>
          <w:sz w:val="28"/>
          <w:szCs w:val="28"/>
        </w:rPr>
      </w:pPr>
      <w:bookmarkStart w:id="0" w:name="_Hlk70235043"/>
      <w:r>
        <w:rPr>
          <w:rFonts w:ascii="Times New Roman" w:hAnsi="Times New Roman" w:eastAsia="宋体" w:cs="Times New Roman"/>
          <w:b/>
          <w:bCs/>
          <w:kern w:val="0"/>
          <w:sz w:val="28"/>
          <w:szCs w:val="28"/>
        </w:rPr>
        <w:t>2022年第一期泸州市龙驰实业集团有限责任公司公司债券</w:t>
      </w:r>
    </w:p>
    <w:p>
      <w:pPr>
        <w:snapToGrid w:val="0"/>
        <w:spacing w:line="360" w:lineRule="auto"/>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填表说明</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填报说明填表说明：以下内容不需传真至薄记管理人处，但应被视为本申购意向函不可分割的部分，填表前请仔细阅读：</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1、企业营业执照注册号填写：一般法人填写其营业执照中的注册号，证券投资基金填写“基金简称”+“证基”+“中国证监会同意设立证券投资基金的批文号码”，全国社保基金填写“全国社保基金”+“投资组合号码”，企业年金基金填写“劳动保障部门企业年金基金监管机构出具的企业年金计划确认函中的登记号”。</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2、有关票面利率和申购金额的限制规定，请参阅申购和配售办法说明相关内容。</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3、票面利率应在询价利率区间内由低到高填写，最小变动单位为0.01%。</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4、每一申购利率对应的申购金额是指:当最终确定的票面利率不低于该申购利率时投资者的最大投资需求。</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5、</w:t>
      </w:r>
      <w:r>
        <w:rPr>
          <w:rFonts w:ascii="Times New Roman" w:hAnsi="Times New Roman" w:eastAsia="仿宋" w:cs="Times New Roman"/>
          <w:bCs/>
          <w:kern w:val="0"/>
          <w:sz w:val="24"/>
        </w:rPr>
        <w:t>每个品种最多可填写3档票面利率及对应的申购金额，询价利率可不连续。</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6、</w:t>
      </w:r>
      <w:r>
        <w:rPr>
          <w:rFonts w:ascii="Times New Roman" w:hAnsi="Times New Roman" w:eastAsia="仿宋" w:cs="Times New Roman"/>
          <w:bCs/>
          <w:kern w:val="0"/>
          <w:sz w:val="24"/>
        </w:rPr>
        <w:t>每个询价利率上的申购金额不得少于100万元（含100万元），并为100万元的整数倍</w:t>
      </w:r>
      <w:r>
        <w:rPr>
          <w:rFonts w:ascii="Times New Roman" w:hAnsi="Times New Roman" w:eastAsia="仿宋" w:cs="Times New Roman"/>
          <w:kern w:val="0"/>
          <w:sz w:val="24"/>
        </w:rPr>
        <w:t>。</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7、票面利率及申购金额填写示例（声明：本示例数据为虚设，不含任何暗示，请投资者根据自己的判断填写）。</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假设本期债券票面利率的询价区间为不超6.4%。某投资者拟在不同票面利率分别申购不同的金额，其可做出如下填写：</w:t>
      </w:r>
    </w:p>
    <w:tbl>
      <w:tblPr>
        <w:tblStyle w:val="4"/>
        <w:tblW w:w="8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68"/>
        <w:gridCol w:w="4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068" w:type="dxa"/>
            <w:vAlign w:val="center"/>
          </w:tcPr>
          <w:p>
            <w:pPr>
              <w:snapToGrid w:val="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票面利率</w:t>
            </w:r>
          </w:p>
        </w:tc>
        <w:tc>
          <w:tcPr>
            <w:tcW w:w="4538" w:type="dxa"/>
            <w:vAlign w:val="center"/>
          </w:tcPr>
          <w:p>
            <w:pPr>
              <w:snapToGrid w:val="0"/>
              <w:jc w:val="center"/>
              <w:rPr>
                <w:rFonts w:ascii="Times New Roman" w:hAnsi="Times New Roman" w:eastAsia="仿宋" w:cs="Times New Roman"/>
                <w:b/>
                <w:bCs/>
                <w:kern w:val="0"/>
                <w:sz w:val="24"/>
              </w:rPr>
            </w:pPr>
            <w:r>
              <w:rPr>
                <w:rFonts w:ascii="Times New Roman" w:hAnsi="Times New Roman" w:eastAsia="仿宋" w:cs="Times New Roman"/>
                <w:b/>
                <w:bCs/>
                <w:kern w:val="0"/>
                <w:sz w:val="24"/>
              </w:rPr>
              <w:t>申购金额（万元）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06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6.0%</w:t>
            </w:r>
          </w:p>
        </w:tc>
        <w:tc>
          <w:tcPr>
            <w:tcW w:w="453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406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6.3%</w:t>
            </w:r>
          </w:p>
        </w:tc>
        <w:tc>
          <w:tcPr>
            <w:tcW w:w="453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406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6.4%</w:t>
            </w:r>
          </w:p>
        </w:tc>
        <w:tc>
          <w:tcPr>
            <w:tcW w:w="4538" w:type="dxa"/>
            <w:vAlign w:val="center"/>
          </w:tcPr>
          <w:p>
            <w:pPr>
              <w:snapToGrid w:val="0"/>
              <w:jc w:val="center"/>
              <w:rPr>
                <w:rFonts w:ascii="Times New Roman" w:hAnsi="Times New Roman" w:eastAsia="仿宋" w:cs="Times New Roman"/>
                <w:kern w:val="0"/>
                <w:sz w:val="24"/>
              </w:rPr>
            </w:pPr>
            <w:r>
              <w:rPr>
                <w:rFonts w:ascii="Times New Roman" w:hAnsi="Times New Roman" w:eastAsia="仿宋" w:cs="Times New Roman"/>
                <w:kern w:val="0"/>
                <w:sz w:val="24"/>
              </w:rPr>
              <w:t>3,000</w:t>
            </w:r>
          </w:p>
        </w:tc>
      </w:tr>
    </w:tbl>
    <w:p>
      <w:pPr>
        <w:snapToGrid w:val="0"/>
        <w:spacing w:line="360" w:lineRule="auto"/>
        <w:ind w:firstLine="480" w:firstLineChars="200"/>
        <w:jc w:val="left"/>
        <w:rPr>
          <w:rFonts w:ascii="Times New Roman" w:hAnsi="Times New Roman" w:eastAsia="仿宋" w:cs="Times New Roman"/>
          <w:kern w:val="0"/>
          <w:sz w:val="24"/>
          <w:lang w:eastAsia="en-US"/>
        </w:rPr>
      </w:pPr>
      <w:r>
        <w:rPr>
          <w:rFonts w:ascii="Times New Roman" w:hAnsi="Times New Roman" w:eastAsia="仿宋" w:cs="Times New Roman"/>
          <w:kern w:val="0"/>
          <w:sz w:val="24"/>
          <w:lang w:eastAsia="en-US"/>
        </w:rPr>
        <w:t>上述报价的含义如下：</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 当最终确定的票面利率高于或等于6.4%时，有效申购金额为6,000万元；</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 当最终确定的票面利率低于6.4%，但高于或等于6.3%时，有效申购金额3,000万元；</w:t>
      </w:r>
    </w:p>
    <w:p>
      <w:pPr>
        <w:snapToGrid w:val="0"/>
        <w:spacing w:line="360" w:lineRule="auto"/>
        <w:ind w:firstLine="480" w:firstLineChars="200"/>
        <w:jc w:val="left"/>
        <w:rPr>
          <w:rFonts w:ascii="Times New Roman" w:hAnsi="Times New Roman" w:eastAsia="仿宋" w:cs="Times New Roman"/>
          <w:kern w:val="0"/>
          <w:sz w:val="24"/>
        </w:rPr>
      </w:pPr>
      <w:r>
        <w:rPr>
          <w:rFonts w:ascii="Times New Roman" w:hAnsi="Times New Roman" w:eastAsia="仿宋" w:cs="Times New Roman"/>
          <w:kern w:val="0"/>
          <w:sz w:val="24"/>
        </w:rPr>
        <w:t>● 当最终确定的票面利率低于6.3%，但高于或等于6.0%时，有效申购金额1,000万元；</w:t>
      </w:r>
    </w:p>
    <w:p>
      <w:pPr>
        <w:snapToGrid w:val="0"/>
        <w:spacing w:line="360" w:lineRule="auto"/>
        <w:ind w:firstLine="520" w:firstLineChars="217"/>
        <w:jc w:val="left"/>
        <w:rPr>
          <w:rFonts w:ascii="Times New Roman" w:hAnsi="Times New Roman" w:eastAsia="仿宋" w:cs="Times New Roman"/>
          <w:kern w:val="0"/>
          <w:sz w:val="24"/>
        </w:rPr>
      </w:pPr>
      <w:r>
        <w:rPr>
          <w:rFonts w:ascii="Times New Roman" w:hAnsi="Times New Roman" w:eastAsia="仿宋" w:cs="Times New Roman"/>
          <w:kern w:val="0"/>
          <w:sz w:val="24"/>
        </w:rPr>
        <w:t>8、参与网下利率询价的机构投资者请将附件1、附件2、附件3 填妥签章并加盖单位公章或业务专用章后，在申购意向函要求的时间内连同有效的企业法人营业执照（副本）复印件（加盖单位公章或业务专用章）或其他有效的法人资格证明文件复印件（加盖单位公章或业务专用章）、经办人身份证复印件（加盖单位公章或业务专用章）传真至薄记管理人处。</w:t>
      </w:r>
    </w:p>
    <w:p>
      <w:pPr>
        <w:snapToGrid w:val="0"/>
        <w:spacing w:line="360" w:lineRule="auto"/>
        <w:ind w:left="1" w:firstLine="520" w:firstLineChars="217"/>
        <w:jc w:val="left"/>
        <w:rPr>
          <w:rFonts w:ascii="Times New Roman" w:hAnsi="Times New Roman" w:eastAsia="仿宋" w:cs="Times New Roman"/>
          <w:kern w:val="0"/>
          <w:sz w:val="24"/>
        </w:rPr>
      </w:pPr>
      <w:r>
        <w:rPr>
          <w:rFonts w:ascii="Times New Roman" w:hAnsi="Times New Roman" w:eastAsia="仿宋" w:cs="Times New Roman"/>
          <w:kern w:val="0"/>
          <w:sz w:val="24"/>
        </w:rPr>
        <w:t>9、附件1经申购人完整填写，且由经办人签章及加盖单位公章或业务专用章后传真至薄记管理人处后，即对申购人具有法律约束力，不可撤销。若因申购人填写缺漏或填写错误而直接或间接导致预约申购无效或产生其他后果，由申购人自行负责。</w:t>
      </w:r>
    </w:p>
    <w:p>
      <w:pPr>
        <w:tabs>
          <w:tab w:val="left" w:pos="3420"/>
        </w:tabs>
        <w:snapToGrid w:val="0"/>
        <w:spacing w:line="360" w:lineRule="auto"/>
        <w:ind w:firstLine="520" w:firstLineChars="217"/>
        <w:jc w:val="left"/>
        <w:rPr>
          <w:rFonts w:hint="eastAsia" w:ascii="Times New Roman" w:hAnsi="Times New Roman" w:eastAsia="仿宋" w:cs="Times New Roman"/>
          <w:bCs/>
          <w:kern w:val="0"/>
          <w:sz w:val="24"/>
        </w:rPr>
      </w:pPr>
      <w:r>
        <w:rPr>
          <w:rFonts w:ascii="Times New Roman" w:hAnsi="Times New Roman" w:eastAsia="仿宋" w:cs="Times New Roman"/>
          <w:bCs/>
          <w:kern w:val="0"/>
          <w:sz w:val="24"/>
        </w:rPr>
        <w:t>10、参与利率询价与申购的投资者应遵守有关法律法规的规定，自行承担法律责任。证券投资基金及基金管理公司申购本期债券应按相关法律法规及中国证监会的有关规定执行，并自行承担相应的法律责任。</w:t>
      </w:r>
      <w:bookmarkEnd w:id="0"/>
    </w:p>
    <w:sectPr>
      <w:footerReference r:id="rId4" w:type="default"/>
      <w:type w:val="continuous"/>
      <w:pgSz w:w="11910" w:h="16840"/>
      <w:pgMar w:top="1460" w:right="1680" w:bottom="90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Text Box 2" o:spid="_x0000_s1028" o:spt="202" type="#_x0000_t202" style="position:absolute;left:0pt;margin-left:298.5pt;margin-top:781pt;height:14pt;width:26.25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">
          <v:path/>
          <v:fill on="f" focussize="0,0"/>
          <v:stroke on="f" joinstyle="miter"/>
          <v:imagedata o:title=""/>
          <o:lock v:ext="edit"/>
          <v:textbox inset="0mm,0mm,0mm,0mm">
            <w:txbxContent>
              <w:p>
                <w:pPr>
                  <w:spacing w:line="245" w:lineRule="exact"/>
                  <w:ind w:left="40"/>
                  <w:rPr>
                    <w:rFonts w:ascii="Times New Roman" w:hAnsi="Times New Roman" w:eastAsia="Times New Roman" w:cs="Times New Roman"/>
                  </w:rPr>
                </w:pPr>
                <w:r>
                  <w:fldChar w:fldCharType="begin"/>
                </w:r>
                <w:r>
                  <w:rPr>
                    <w:rFonts w:ascii="Times New Roman"/>
                    <w:color w:val="606067"/>
                    <w:w w:val="104"/>
                  </w:rPr>
                  <w:instrText xml:space="preserve"> PAGE </w:instrText>
                </w:r>
                <w:r>
                  <w:fldChar w:fldCharType="separate"/>
                </w:r>
                <w:r>
                  <w:rPr>
                    <w:rFonts w:ascii="Times New Roman"/>
                    <w:color w:val="606067"/>
                    <w:w w:val="104"/>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Text Box 1" o:spid="_x0000_s1027" o:spt="202" type="#_x0000_t202" style="position:absolute;left:0pt;margin-left:290.3pt;margin-top:796.3pt;height:12.6pt;width:14.6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">
          <v:path/>
          <v:fill on="f" focussize="0,0"/>
          <v:stroke on="f" joinstyle="miter"/>
          <v:imagedata o:title=""/>
          <o:lock v:ext="edit"/>
          <v:textbox inset="0mm,0mm,0mm,0mm">
            <w:txbxContent>
              <w:p>
                <w:pPr>
                  <w:spacing w:line="235" w:lineRule="exact"/>
                  <w:ind w:left="40"/>
                  <w:rPr>
                    <w:rFonts w:ascii="Times New Roman" w:hAnsi="Times New Roman" w:eastAsia="Times New Roman" w:cs="Times New Roman"/>
                    <w:szCs w:val="21"/>
                  </w:rPr>
                </w:pPr>
                <w:r>
                  <w:fldChar w:fldCharType="begin"/>
                </w:r>
                <w:r>
                  <w:rPr>
                    <w:rFonts w:ascii="Times New Roman"/>
                  </w:rPr>
                  <w:instrText xml:space="preserve"> PAGE </w:instrText>
                </w:r>
                <w:r>
                  <w:fldChar w:fldCharType="separate"/>
                </w:r>
                <w:r>
                  <w:rPr>
                    <w:rFonts w:ascii="Times New Roman"/>
                  </w:rP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hdrShapeDefaults>
    <o:shapelayout v:ext="edit">
      <o:idmap v:ext="edit" data="1"/>
    </o:shapelayout>
  </w:hdrShapeDefaults>
  <w:footnotePr>
    <w:numFmt w:val="decimalEnclosedCircleChinese"/>
  </w:footnotePr>
  <w:compat>
    <w:useFELayout/>
    <w:compatSetting w:name="compatibilityMode" w:uri="http://schemas.microsoft.com/office/word" w:val="12"/>
  </w:compat>
  <w:rsids>
    <w:rsidRoot w:val="003C4CD0"/>
    <w:rsid w:val="00014C19"/>
    <w:rsid w:val="0003135F"/>
    <w:rsid w:val="000F3732"/>
    <w:rsid w:val="002C19E8"/>
    <w:rsid w:val="0037550A"/>
    <w:rsid w:val="003C4CD0"/>
    <w:rsid w:val="0049106F"/>
    <w:rsid w:val="004E4F23"/>
    <w:rsid w:val="0050719D"/>
    <w:rsid w:val="005D4D55"/>
    <w:rsid w:val="00685A7F"/>
    <w:rsid w:val="0074055B"/>
    <w:rsid w:val="00786802"/>
    <w:rsid w:val="00800B07"/>
    <w:rsid w:val="00892E43"/>
    <w:rsid w:val="008D4EBB"/>
    <w:rsid w:val="008E2E0F"/>
    <w:rsid w:val="00961461"/>
    <w:rsid w:val="009A71CD"/>
    <w:rsid w:val="009C4B9B"/>
    <w:rsid w:val="009D2AE3"/>
    <w:rsid w:val="009E1E01"/>
    <w:rsid w:val="00A4278D"/>
    <w:rsid w:val="00A85C1E"/>
    <w:rsid w:val="00AA010A"/>
    <w:rsid w:val="00B0289D"/>
    <w:rsid w:val="00B221FB"/>
    <w:rsid w:val="00B96A0E"/>
    <w:rsid w:val="00D534BF"/>
    <w:rsid w:val="00D91B82"/>
    <w:rsid w:val="00E60E84"/>
    <w:rsid w:val="00E65AE1"/>
    <w:rsid w:val="00E87DB9"/>
    <w:rsid w:val="00F0761C"/>
    <w:rsid w:val="00FB72ED"/>
    <w:rsid w:val="00FF7984"/>
    <w:rsid w:val="389A373F"/>
    <w:rsid w:val="3A3B574A"/>
    <w:rsid w:val="7A87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table" w:customStyle="1" w:styleId="8">
    <w:name w:val="Table Normal1"/>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9">
    <w:name w:val="网格型1"/>
    <w:basedOn w:val="4"/>
    <w:uiPriority w:val="59"/>
    <w:rPr>
      <w:rFonts w:ascii="Calibri" w:hAnsi="Calibri" w:eastAsia="宋体" w:cs="Times New Roman"/>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4717</Words>
  <Characters>4882</Characters>
  <Lines>36</Lines>
  <Paragraphs>10</Paragraphs>
  <TotalTime>3</TotalTime>
  <ScaleCrop>false</ScaleCrop>
  <LinksUpToDate>false</LinksUpToDate>
  <CharactersWithSpaces>4972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2022-04-15T09:05:00Z</dcterms:created>
  <dc:creator>F 梭梭林</dc:creator>
  <cp:lastModifiedBy>ssl</cp:lastModifiedBy>
  <dcterms:modified xsi:type="dcterms:W3CDTF">2022-04-18T12:20:14Z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C1094265CDDC474D8C57F6CEE3DE119F</vt:lpwstr>
  </property>
</Properties>
</file>