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textAlignment w:val="center"/>
        <w:rPr>
          <w:rFonts w:ascii="黑体" w:hAnsi="黑体" w:eastAsia="黑体"/>
          <w:color w:val="000000"/>
          <w:sz w:val="32"/>
        </w:rPr>
      </w:pPr>
      <w:r>
        <w:rPr>
          <w:sz w:val="32"/>
        </w:rPr>
        <w:pict>
          <v:rect id="KGD_5EAA4247$01$29$00011" o:spid="_x0000_s1040" o:spt="1" alt="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" style="position:absolute;left:0pt;margin-left:-85.15pt;margin-top:-89.5pt;height:5pt;width:5pt;visibility:hidden;z-index:251668480;mso-width-relative:page;mso-height-relative:page;" fillcolor="#FFFFFF" filled="t" stroked="t" coordsize="21600,21600">
            <v:path/>
            <v:fill on="t" focussize="0,0"/>
            <v:stroke color="#000000"/>
            <v:imagedata o:title=""/>
            <o:lock v:ext="edit" aspectratio="f"/>
          </v:rect>
        </w:pict>
      </w:r>
      <w:r>
        <w:rPr>
          <w:sz w:val="32"/>
        </w:rPr>
        <w:pict>
          <v:rect id="KGD_KG_Seal_18" o:spid="_x0000_s1039" o:spt="1" alt="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" style="position:absolute;left:0pt;margin-left:-85.15pt;margin-top:-89.5pt;height:5pt;width:5pt;visibility:hidden;z-index:251667456;mso-width-relative:page;mso-height-relative:page;" fillcolor="#FFFFFF" filled="t" stroked="t" coordsize="21600,21600">
            <v:path/>
            <v:fill on="t" focussize="0,0"/>
            <v:stroke color="#000000"/>
            <v:imagedata o:title=""/>
            <o:lock v:ext="edit" aspectratio="f"/>
          </v:rect>
        </w:pict>
      </w:r>
      <w:r>
        <w:rPr>
          <w:sz w:val="32"/>
        </w:rPr>
        <w:pict>
          <v:rect id="KGD_KG_Seal_17" o:spid="_x0000_s1038" o:spt="1" alt="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" style="position:absolute;left:0pt;margin-left:-85.15pt;margin-top:-89.5pt;height:5pt;width:5pt;visibility:hidden;z-index:251666432;mso-width-relative:page;mso-height-relative:page;" fillcolor="#FFFFFF" filled="t" stroked="t" coordsize="21600,21600">
            <v:path/>
            <v:fill on="t" focussize="0,0"/>
            <v:stroke color="#000000"/>
            <v:imagedata o:title=""/>
            <o:lock v:ext="edit" aspectratio="f"/>
          </v:rect>
        </w:pict>
      </w:r>
      <w:r>
        <w:rPr>
          <w:sz w:val="32"/>
        </w:rPr>
        <w:pict>
          <v:rect id="KGD_KG_Seal_16" o:spid="_x0000_s1037" o:spt="1" alt="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" style="position:absolute;left:0pt;margin-left:-85.15pt;margin-top:-89.5pt;height:5pt;width:5pt;visibility:hidden;z-index:251665408;mso-width-relative:page;mso-height-relative:page;" fillcolor="#FFFFFF" filled="t" stroked="t" coordsize="21600,21600">
            <v:path/>
            <v:fill on="t" focussize="0,0"/>
            <v:stroke color="#000000"/>
            <v:imagedata o:title=""/>
            <o:lock v:ext="edit" aspectratio="f"/>
          </v:rect>
        </w:pict>
      </w:r>
      <w:r>
        <w:rPr>
          <w:sz w:val="32"/>
        </w:rPr>
        <w:pict>
          <v:rect id="KGD_KG_Seal_15" o:spid="_x0000_s1036" o:spt="1" alt="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" style="position:absolute;left:0pt;margin-left:-85.15pt;margin-top:-89.5pt;height:5pt;width:5pt;visibility:hidden;z-index:251664384;mso-width-relative:page;mso-height-relative:page;" fillcolor="#FFFFFF" filled="t" stroked="t" coordsize="21600,21600">
            <v:path/>
            <v:fill on="t" focussize="0,0"/>
            <v:stroke color="#000000"/>
            <v:imagedata o:title=""/>
            <o:lock v:ext="edit" aspectratio="f"/>
          </v:rect>
        </w:pict>
      </w:r>
      <w:r>
        <w:rPr>
          <w:sz w:val="32"/>
        </w:rPr>
        <w:pict>
          <v:rect id="KGD_KG_Seal_14" o:spid="_x0000_s1035" o:spt="1" alt="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" style="position:absolute;left:0pt;margin-left:-85.15pt;margin-top:-89.5pt;height:5pt;width:5pt;visibility:hidden;z-index:251663360;mso-width-relative:page;mso-height-relative:page;" fillcolor="#FFFFFF" filled="t" stroked="t" coordsize="21600,21600">
            <v:path/>
            <v:fill on="t" focussize="0,0"/>
            <v:stroke color="#000000"/>
            <v:imagedata o:title=""/>
            <o:lock v:ext="edit" aspectratio="f"/>
          </v:rect>
        </w:pict>
      </w:r>
      <w:r>
        <w:rPr>
          <w:sz w:val="32"/>
        </w:rPr>
        <w:pict>
          <v:rect id="KGD_KG_Seal_13" o:spid="_x0000_s1034" o:spt="1" alt="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" style="position:absolute;left:0pt;margin-left:-85.15pt;margin-top:-89.5pt;height:5pt;width:5pt;visibility:hidden;z-index:251662336;mso-width-relative:page;mso-height-relative:page;" fillcolor="#FFFFFF" filled="t" stroked="t" coordsize="21600,21600">
            <v:path/>
            <v:fill on="t" focussize="0,0"/>
            <v:stroke color="#000000"/>
            <v:imagedata o:title=""/>
            <o:lock v:ext="edit" aspectratio="f"/>
          </v:rect>
        </w:pict>
      </w:r>
      <w:r>
        <w:rPr>
          <w:sz w:val="32"/>
        </w:rPr>
        <w:pict>
          <v:rect id="KGD_KG_Seal_12" o:spid="_x0000_s1033" o:spt="1" alt="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" style="position:absolute;left:0pt;margin-left:-85.15pt;margin-top:-89.5pt;height:5pt;width:5pt;visibility:hidden;z-index:251661312;mso-width-relative:page;mso-height-relative:page;" fillcolor="#FFFFFF" filled="t" stroked="t" coordsize="21600,21600">
            <v:path/>
            <v:fill on="t" focussize="0,0"/>
            <v:stroke color="#000000"/>
            <v:imagedata o:title=""/>
            <o:lock v:ext="edit" aspectratio="f"/>
          </v:rect>
        </w:pict>
      </w:r>
      <w:r>
        <w:rPr>
          <w:sz w:val="32"/>
        </w:rPr>
        <w:pict>
          <v:rect id="KGD_KG_Seal_11" o:spid="_x0000_s1032" o:spt="1" alt="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" style="position:absolute;left:0pt;margin-left:-85.15pt;margin-top:-89.5pt;height:5pt;width:5pt;visibility:hidden;z-index:251660288;mso-width-relative:page;mso-height-relative:page;" fillcolor="#FFFFFF" filled="t" stroked="t" coordsize="21600,21600">
            <v:path/>
            <v:fill on="t" focussize="0,0"/>
            <v:stroke color="#000000"/>
            <v:imagedata o:title=""/>
            <o:lock v:ext="edit" aspectratio="f"/>
          </v:rect>
        </w:pict>
      </w:r>
      <w:r>
        <w:rPr>
          <w:sz w:val="32"/>
        </w:rPr>
        <w:pict>
          <v:rect id="KGD_Gobal1" o:spid="_x0000_s1031" o:spt="1" alt="lskY7P30+39SSS2ze3CC/JEZajd5cw24mSdBFsLFVq37SQlqoo5IXjhq9I7gx51s4Qd2j9SeuHZl7lc/BQ7y7Rrl5MYFSXa7ttK+ZBj84h0AFP6udbvWZEtG1kcXWMEP7G5F5xharqwU0MN9osYIbqVzaNIOM1uDrj7fU5Z9a+WfYh8wm9kuzfkxhL/BUUYUkeVluEBWn559wc/2hW0Gs2vCwbc0/zLNlVJ4KjjRL2V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kfJqjAZ5bLvkwR4/o83rplDU5D54LCj/eDe44qkoVNg/NaGDP0cUERjdd74v/fHAdo7rCM25BNeof+A8ywNdecul4gkntVgQMOwbXO1IjOmMQ4QG4rXkeC8Bk48ExpqGIbx9OXJ51XBxxSO+24OSgJ+EtbDh+lJ7rWwf9fXE/nFRPYI5Yih7Wt71csy/oIgEIqIA0+m1nvTkucAK1eCUFplLG1nZLsLcRuKp2Fm06VXTY56pLk0Owwu26isBqzvCPmN7UN3e+IR2xHXvlKOq3Rl2lyCcQXD3FLf2xodDn4OZyV773gYpwV6iPuL+WvmCRve5owA3FeRDMundO9tIuKK778NKtNszfEBGjj3NZWw+CAE/E+KMqIj9hw5JuboU" style="position:absolute;left:0pt;margin-left:-85.15pt;margin-top:-89.5pt;height:5pt;width:5pt;visibility:hidden;z-index:251659264;mso-width-relative:page;mso-height-relative:page;" fillcolor="#FFFFFF" filled="t" stroked="t" coordsize="21600,21600">
            <v:path/>
            <v:fill on="t" focussize="0,0"/>
            <v:stroke color="#000000"/>
            <v:imagedata o:title=""/>
            <o:lock v:ext="edit" aspectratio="f"/>
          </v:rect>
        </w:pict>
      </w:r>
    </w:p>
    <w:p>
      <w:pPr>
        <w:spacing w:line="700" w:lineRule="exact"/>
        <w:textAlignment w:val="center"/>
        <w:rPr>
          <w:rFonts w:ascii="黑体" w:hAnsi="黑体" w:eastAsia="黑体"/>
          <w:color w:val="000000"/>
          <w:sz w:val="32"/>
        </w:rPr>
      </w:pPr>
    </w:p>
    <w:p>
      <w:pPr>
        <w:spacing w:line="700" w:lineRule="exact"/>
        <w:textAlignment w:val="center"/>
        <w:rPr>
          <w:rFonts w:ascii="黑体" w:hAnsi="黑体" w:eastAsia="黑体"/>
          <w:color w:val="000000"/>
          <w:sz w:val="32"/>
        </w:rPr>
      </w:pPr>
    </w:p>
    <w:p>
      <w:pPr>
        <w:adjustRightInd w:val="0"/>
        <w:snapToGrid w:val="0"/>
        <w:textAlignment w:val="center"/>
        <w:rPr>
          <w:rFonts w:ascii="黑体" w:hAnsi="黑体" w:eastAsia="黑体"/>
          <w:color w:val="000000"/>
          <w:sz w:val="32"/>
        </w:rPr>
      </w:pPr>
      <w:r>
        <w:pict>
          <v:shape id="_x0000_i1025" o:spt="75" type="#_x0000_t75" style="height:93.75pt;width:446.25pt;" filled="f" o:preferrelative="t" stroked="f" coordsize="21600,21600">
            <v:path/>
            <v:fill on="f" focussize="0,0"/>
            <v:stroke on="f" joinstyle="miter"/>
            <v:imagedata r:id="rId8" o:title=""/>
            <o:lock v:ext="edit" aspectratio="t"/>
            <w10:wrap type="none"/>
            <w10:anchorlock/>
          </v:shape>
        </w:pict>
      </w:r>
    </w:p>
    <w:tbl>
      <w:tblPr>
        <w:tblStyle w:val="6"/>
        <w:tblW w:w="8843" w:type="dxa"/>
        <w:jc w:val="center"/>
        <w:tblInd w:w="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
      <w:tblGrid>
        <w:gridCol w:w="8843"/>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PrEx>
        <w:trPr>
          <w:jc w:val="center"/>
        </w:trPr>
        <w:tc>
          <w:tcPr>
            <w:tcW w:w="8843" w:type="dxa"/>
          </w:tcPr>
          <w:p>
            <w:pPr>
              <w:spacing w:line="60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PrEx>
        <w:trPr>
          <w:jc w:val="center"/>
        </w:trPr>
        <w:tc>
          <w:tcPr>
            <w:tcW w:w="8843" w:type="dxa"/>
          </w:tcPr>
          <w:p>
            <w:pPr>
              <w:spacing w:line="60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PrEx>
        <w:trPr>
          <w:jc w:val="center"/>
        </w:trPr>
        <w:tc>
          <w:tcPr>
            <w:tcW w:w="8843" w:type="dxa"/>
          </w:tcPr>
          <w:p>
            <w:pPr>
              <w:spacing w:line="600" w:lineRule="exact"/>
              <w:jc w:val="center"/>
              <w:textAlignment w:val="center"/>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DOCPROPERTY  发文编号  \* MERGEFORMAT</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藏财债〔</w:t>
            </w:r>
            <w:r>
              <w:rPr>
                <w:rFonts w:ascii="仿宋" w:hAnsi="仿宋" w:eastAsia="仿宋"/>
                <w:sz w:val="32"/>
                <w:szCs w:val="32"/>
              </w:rPr>
              <w:t>2020〕31号</w:t>
            </w:r>
            <w:r>
              <w:rPr>
                <w:rFonts w:ascii="仿宋" w:hAnsi="仿宋" w:eastAsia="仿宋"/>
                <w:sz w:val="32"/>
                <w:szCs w:val="32"/>
              </w:rPr>
              <w:fldChar w:fldCharType="end"/>
            </w:r>
          </w:p>
        </w:tc>
      </w:tr>
    </w:tbl>
    <w:p>
      <w:pPr>
        <w:spacing w:line="700" w:lineRule="exact"/>
        <w:jc w:val="center"/>
        <w:textAlignment w:val="center"/>
        <w:rPr>
          <w:rFonts w:ascii="方正小标宋简体" w:hAnsi="宋体" w:eastAsia="方正小标宋简体"/>
          <w:sz w:val="44"/>
          <w:szCs w:val="44"/>
        </w:rPr>
      </w:pPr>
    </w:p>
    <w:p>
      <w:pPr>
        <w:spacing w:line="660" w:lineRule="exact"/>
        <w:jc w:val="center"/>
        <w:textAlignment w:val="center"/>
        <w:rPr>
          <w:rFonts w:ascii="方正小标宋简体" w:hAnsi="宋体" w:eastAsia="方正小标宋简体"/>
          <w:sz w:val="44"/>
          <w:szCs w:val="44"/>
        </w:rPr>
      </w:pPr>
      <w:bookmarkStart w:id="0" w:name="Subject"/>
      <w:r>
        <w:rPr>
          <w:rFonts w:hint="eastAsia" w:ascii="方正小标宋简体" w:hAnsi="宋体" w:eastAsia="方正小标宋简体"/>
          <w:sz w:val="44"/>
          <w:szCs w:val="44"/>
        </w:rPr>
        <w:t>西藏自治区财政厅</w:t>
      </w:r>
    </w:p>
    <w:p>
      <w:pPr>
        <w:spacing w:line="660" w:lineRule="exact"/>
        <w:jc w:val="center"/>
        <w:textAlignment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关于印发《西藏自治区政府</w:t>
      </w:r>
    </w:p>
    <w:p>
      <w:pPr>
        <w:spacing w:line="660" w:lineRule="exact"/>
        <w:jc w:val="center"/>
        <w:textAlignment w:val="center"/>
        <w:rPr>
          <w:rFonts w:ascii="方正小标宋简体" w:hAnsi="方正小标宋简体" w:eastAsia="方正小标宋简体"/>
          <w:sz w:val="44"/>
          <w:szCs w:val="44"/>
        </w:rPr>
      </w:pPr>
      <w:r>
        <w:rPr>
          <w:rFonts w:hint="eastAsia" w:ascii="方正小标宋简体" w:hAnsi="宋体" w:eastAsia="方正小标宋简体"/>
          <w:sz w:val="44"/>
          <w:szCs w:val="44"/>
        </w:rPr>
        <w:t>债券承销团组建及管理办法》的通知</w:t>
      </w:r>
      <w:bookmarkEnd w:id="0"/>
    </w:p>
    <w:p>
      <w:pPr>
        <w:spacing w:line="540" w:lineRule="exact"/>
        <w:textAlignment w:val="center"/>
        <w:rPr>
          <w:rFonts w:ascii="仿宋" w:hAnsi="仿宋" w:eastAsia="仿宋"/>
          <w:color w:val="000000"/>
          <w:sz w:val="32"/>
          <w:szCs w:val="32"/>
        </w:rPr>
      </w:pPr>
      <w:bookmarkStart w:id="1" w:name="todepartment"/>
    </w:p>
    <w:bookmarkEnd w:id="1"/>
    <w:p>
      <w:pPr>
        <w:spacing w:line="540" w:lineRule="exact"/>
        <w:textAlignment w:val="center"/>
        <w:rPr>
          <w:rFonts w:ascii="仿宋" w:hAnsi="仿宋" w:eastAsia="仿宋"/>
          <w:bCs/>
          <w:color w:val="000000"/>
          <w:sz w:val="32"/>
          <w:szCs w:val="32"/>
        </w:rPr>
      </w:pPr>
      <w:r>
        <w:rPr>
          <w:rFonts w:hint="eastAsia" w:ascii="仿宋" w:hAnsi="仿宋" w:eastAsia="仿宋"/>
          <w:color w:val="000000"/>
          <w:sz w:val="32"/>
          <w:szCs w:val="32"/>
        </w:rPr>
        <w:t>各金融机构</w:t>
      </w:r>
      <w:r>
        <w:rPr>
          <w:rFonts w:hint="eastAsia" w:ascii="仿宋" w:hAnsi="仿宋" w:eastAsia="仿宋"/>
          <w:bCs/>
          <w:color w:val="000000"/>
          <w:sz w:val="32"/>
          <w:szCs w:val="32"/>
        </w:rPr>
        <w:t>：</w:t>
      </w:r>
    </w:p>
    <w:p>
      <w:pPr>
        <w:spacing w:line="540" w:lineRule="exact"/>
        <w:ind w:firstLine="640" w:firstLineChars="200"/>
        <w:textAlignment w:val="center"/>
        <w:rPr>
          <w:rFonts w:ascii="仿宋" w:hAnsi="仿宋" w:eastAsia="仿宋"/>
          <w:color w:val="000000"/>
          <w:sz w:val="32"/>
          <w:szCs w:val="32"/>
        </w:rPr>
      </w:pPr>
      <w:r>
        <w:rPr>
          <w:rFonts w:hint="eastAsia" w:ascii="仿宋" w:hAnsi="仿宋" w:eastAsia="仿宋"/>
          <w:color w:val="000000"/>
          <w:sz w:val="32"/>
          <w:szCs w:val="32"/>
        </w:rPr>
        <w:t>根据财政部有关规定，结合我区实际，我们制定了《西藏自治区政府债券承销团组建及管理办法》，现予以印发，请遵照执行。</w:t>
      </w:r>
    </w:p>
    <w:p>
      <w:pPr>
        <w:spacing w:line="540" w:lineRule="exact"/>
        <w:ind w:firstLine="640" w:firstLineChars="200"/>
        <w:textAlignment w:val="center"/>
        <w:rPr>
          <w:rFonts w:ascii="仿宋" w:hAnsi="仿宋" w:eastAsia="仿宋"/>
          <w:color w:val="000000"/>
          <w:sz w:val="32"/>
          <w:szCs w:val="32"/>
        </w:rPr>
      </w:pPr>
    </w:p>
    <w:p>
      <w:pPr>
        <w:spacing w:line="540" w:lineRule="exact"/>
        <w:ind w:firstLine="640" w:firstLineChars="200"/>
        <w:textAlignment w:val="center"/>
        <w:rPr>
          <w:rFonts w:ascii="仿宋" w:hAnsi="仿宋" w:eastAsia="仿宋"/>
          <w:color w:val="000000"/>
          <w:sz w:val="32"/>
          <w:szCs w:val="32"/>
        </w:rPr>
      </w:pPr>
      <w:r>
        <w:rPr>
          <w:sz w:val="32"/>
        </w:rPr>
        <w:pict>
          <v:rect id="KG_Shd_1" o:spid="_x0000_s1030" o:spt="1" style="position:absolute;left:0pt;margin-left:-297.65pt;margin-top:-420.95pt;height:1683.8pt;width:1190.6pt;z-index:251669504;mso-width-relative:page;mso-height-relative:page;" fillcolor="#FFFFFF" filled="t" stroked="t" coordsize="21600,21600">
            <v:path/>
            <v:fill on="t" opacity="0f" focussize="0,0"/>
            <v:stroke color="#FFFFFF" opacity="0f"/>
            <v:imagedata o:title=""/>
            <o:lock v:ext="edit" aspectratio="f"/>
          </v:rect>
        </w:pict>
      </w:r>
      <w:r>
        <w:rPr>
          <w:rFonts w:hint="eastAsia" w:ascii="仿宋" w:hAnsi="仿宋" w:eastAsia="仿宋"/>
          <w:color w:val="000000"/>
          <w:sz w:val="32"/>
          <w:szCs w:val="32"/>
        </w:rPr>
        <w:t xml:space="preserve">                          西藏自治</w:t>
      </w:r>
      <w:bookmarkStart w:id="2" w:name="_GoBack"/>
      <w:bookmarkEnd w:id="2"/>
      <w:r>
        <w:rPr>
          <w:sz w:val="32"/>
        </w:rPr>
        <w:pict>
          <v:shape id="KG_5EAA4247$01$29$0001$N$000100" o:spid="_x0000_s1029" o:spt="75" alt="Seal" type="#_x0000_t75" style="position:absolute;left:0pt;margin-left:319.2pt;margin-top:660.5pt;height:119.05pt;width:119.05pt;mso-position-horizontal-relative:page;mso-position-vertical-relative:page;z-index:-251660288;mso-width-relative:page;mso-height-relative:page;" filled="f" o:preferrelative="t" stroked="f" coordsize="21600,21600">
            <v:path/>
            <v:fill on="f" focussize="0,0"/>
            <v:stroke on="f"/>
            <v:imagedata r:id="rId9" o:title="Seal"/>
            <o:lock v:ext="edit" aspectratio="t"/>
            <w10:anchorlock/>
          </v:shape>
        </w:pict>
      </w:r>
      <w:r>
        <w:rPr>
          <w:rFonts w:hint="eastAsia" w:ascii="仿宋" w:hAnsi="仿宋" w:eastAsia="仿宋"/>
          <w:color w:val="000000"/>
          <w:sz w:val="32"/>
          <w:szCs w:val="32"/>
        </w:rPr>
        <w:t>区财政厅</w:t>
      </w:r>
    </w:p>
    <w:p>
      <w:pPr>
        <w:spacing w:line="540" w:lineRule="exact"/>
        <w:ind w:firstLine="640" w:firstLineChars="200"/>
        <w:textAlignment w:val="center"/>
        <w:rPr>
          <w:rFonts w:ascii="仿宋" w:hAnsi="仿宋" w:eastAsia="仿宋"/>
          <w:bCs/>
          <w:color w:val="000000"/>
          <w:sz w:val="32"/>
          <w:szCs w:val="32"/>
        </w:rPr>
      </w:pPr>
      <w:r>
        <w:rPr>
          <w:rFonts w:hint="eastAsia" w:ascii="仿宋" w:hAnsi="仿宋" w:eastAsia="仿宋"/>
          <w:color w:val="000000"/>
          <w:sz w:val="32"/>
          <w:szCs w:val="32"/>
        </w:rPr>
        <w:t xml:space="preserve">                          2020年4月30日</w:t>
      </w:r>
    </w:p>
    <w:p>
      <w:pPr>
        <w:spacing w:line="600" w:lineRule="exact"/>
        <w:jc w:val="center"/>
        <w:textAlignment w:val="center"/>
        <w:rPr>
          <w:rFonts w:ascii="方正小标宋简体" w:hAnsi="方正小标宋简体" w:eastAsia="方正小标宋简体" w:cs="MS-Mincho,Bold"/>
          <w:kern w:val="0"/>
          <w:sz w:val="44"/>
          <w:szCs w:val="36"/>
        </w:rPr>
      </w:pPr>
      <w:r>
        <w:rPr>
          <w:rFonts w:hint="eastAsia" w:ascii="方正小标宋简体" w:hAnsi="方正小标宋简体" w:eastAsia="方正小标宋简体" w:cs="MS-Mincho,Bold"/>
          <w:kern w:val="0"/>
          <w:sz w:val="44"/>
          <w:szCs w:val="36"/>
        </w:rPr>
        <w:t>西藏自治区政府债券承销团</w:t>
      </w:r>
    </w:p>
    <w:p>
      <w:pPr>
        <w:autoSpaceDE w:val="0"/>
        <w:autoSpaceDN w:val="0"/>
        <w:adjustRightInd w:val="0"/>
        <w:spacing w:line="600" w:lineRule="exact"/>
        <w:jc w:val="center"/>
        <w:textAlignment w:val="center"/>
        <w:rPr>
          <w:rFonts w:ascii="方正小标宋简体" w:hAnsi="方正小标宋简体" w:eastAsia="方正小标宋简体" w:cs="MS-Mincho,Bold"/>
          <w:kern w:val="0"/>
          <w:sz w:val="44"/>
          <w:szCs w:val="36"/>
        </w:rPr>
      </w:pPr>
      <w:r>
        <w:rPr>
          <w:rFonts w:hint="eastAsia" w:ascii="方正小标宋简体" w:hAnsi="方正小标宋简体" w:eastAsia="方正小标宋简体" w:cs="MS-Mincho,Bold"/>
          <w:kern w:val="0"/>
          <w:sz w:val="44"/>
          <w:szCs w:val="36"/>
        </w:rPr>
        <w:t>组建及管理办法</w:t>
      </w:r>
    </w:p>
    <w:p>
      <w:pPr>
        <w:autoSpaceDE w:val="0"/>
        <w:autoSpaceDN w:val="0"/>
        <w:adjustRightInd w:val="0"/>
        <w:spacing w:line="600" w:lineRule="exact"/>
        <w:jc w:val="center"/>
        <w:textAlignment w:val="center"/>
        <w:rPr>
          <w:rFonts w:ascii="宋体" w:hAnsi="宋体" w:eastAsia="等线" w:cs="PMingLiU,Bold"/>
          <w:kern w:val="0"/>
          <w:sz w:val="36"/>
          <w:szCs w:val="36"/>
        </w:rPr>
      </w:pPr>
    </w:p>
    <w:p>
      <w:pPr>
        <w:spacing w:line="59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则</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ascii="仿宋" w:hAnsi="仿宋" w:eastAsia="仿宋"/>
          <w:sz w:val="32"/>
          <w:szCs w:val="32"/>
        </w:rPr>
        <w:t xml:space="preserve"> 为促进西藏自治区政府债券顺利发行，保护申请人和债券承销团成员的合法权益，根据财政部关于地方政府债券发行事宜的有关规定，并结合西藏自治区实际，制定本办法。</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第二条</w:t>
      </w:r>
      <w:r>
        <w:rPr>
          <w:rFonts w:ascii="仿宋" w:hAnsi="仿宋" w:eastAsia="仿宋"/>
          <w:sz w:val="32"/>
          <w:szCs w:val="32"/>
        </w:rPr>
        <w:t xml:space="preserve"> 西藏自治区政府债券承销团成员组建及管理适用本办法。</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第三条</w:t>
      </w:r>
      <w:r>
        <w:rPr>
          <w:rFonts w:ascii="仿宋" w:hAnsi="仿宋" w:eastAsia="仿宋"/>
          <w:sz w:val="32"/>
          <w:szCs w:val="32"/>
        </w:rPr>
        <w:t xml:space="preserve"> 本办法所称地方政府债券，是指在国务院确定的限额内，西藏自治区财政厅代表西藏自治区人民政府在中国境内发行的记账式固定利率附息债券。</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第四条</w:t>
      </w:r>
      <w:r>
        <w:rPr>
          <w:rFonts w:ascii="仿宋" w:hAnsi="仿宋" w:eastAsia="仿宋"/>
          <w:sz w:val="32"/>
          <w:szCs w:val="32"/>
        </w:rPr>
        <w:t xml:space="preserve"> 本办法所称申请人，是指在中国境内依法成立，具备一定资格条件并经批准从事债券承销业务的金融机构。</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第五条</w:t>
      </w:r>
      <w:r>
        <w:rPr>
          <w:rFonts w:ascii="仿宋" w:hAnsi="仿宋" w:eastAsia="仿宋"/>
          <w:sz w:val="32"/>
          <w:szCs w:val="32"/>
        </w:rPr>
        <w:t xml:space="preserve"> 承销团的组建遵循公开、公平、公正的市场化原则。西藏自治区财政厅根据市场环境和西藏自治区政府债券公开发行规模，确定承销团成员数量。</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第六条</w:t>
      </w:r>
      <w:r>
        <w:rPr>
          <w:rFonts w:ascii="仿宋" w:hAnsi="仿宋" w:eastAsia="仿宋"/>
          <w:sz w:val="32"/>
          <w:szCs w:val="32"/>
        </w:rPr>
        <w:t xml:space="preserve"> 承销团成员按年度实行取消、退出、增补机制，主承销商根据承销西藏自治区政府债券情况进行动态调整。</w:t>
      </w:r>
    </w:p>
    <w:p>
      <w:pPr>
        <w:spacing w:line="59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资格条件</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第七条</w:t>
      </w:r>
      <w:r>
        <w:rPr>
          <w:rFonts w:ascii="仿宋" w:hAnsi="仿宋" w:eastAsia="仿宋"/>
          <w:sz w:val="32"/>
          <w:szCs w:val="32"/>
        </w:rPr>
        <w:t xml:space="preserve"> 申请人应当具备下列基本条件：</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（一）依法开展经营活动，近</w:t>
      </w:r>
      <w:r>
        <w:rPr>
          <w:rFonts w:ascii="仿宋" w:hAnsi="仿宋" w:eastAsia="仿宋"/>
          <w:sz w:val="32"/>
          <w:szCs w:val="32"/>
        </w:rPr>
        <w:t>3年内在经营活动中没有重大</w:t>
      </w:r>
      <w:r>
        <w:rPr>
          <w:rFonts w:hint="eastAsia" w:ascii="仿宋" w:hAnsi="仿宋" w:eastAsia="仿宋"/>
          <w:sz w:val="32"/>
          <w:szCs w:val="32"/>
        </w:rPr>
        <w:t>违法记录，信誉良好；</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（二）财务稳健，资本充足率、偿付能力或者净资产状况等指标达到监管标准，具有较强的风险控制能力；</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（三）具有负责债券业务的专（兼）职部门和健全的债券投资与风险管理制度；</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（四）信息化管理程度较高；</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（五）有能力且自愿履行本办法第五章规定的各项义务；</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（六）截至西藏自治区财政厅发布承销团组建公告之日，前两年内未被西藏自治区财政厅取消承销团成员资格或主动退出西藏自治区政府债券承销团。</w:t>
      </w:r>
    </w:p>
    <w:p>
      <w:pPr>
        <w:spacing w:line="59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申请与组建</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第八条</w:t>
      </w:r>
      <w:r>
        <w:rPr>
          <w:rFonts w:ascii="仿宋" w:hAnsi="仿宋" w:eastAsia="仿宋"/>
          <w:sz w:val="32"/>
          <w:szCs w:val="32"/>
        </w:rPr>
        <w:t xml:space="preserve"> 申请人应当在申请截止日期以前提出申请，并提交下列申请材料：</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（一）申请书（由申请机构或授权其下属机构递交）；</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（二）西藏自治区地方政府债券承销团成员信息及意愿表；</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（三）法人营业执照和金融业务许可证复印件；</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（四）西藏自治区财政厅要求提供的总机构授权书等其他资料。</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第九条</w:t>
      </w:r>
      <w:r>
        <w:rPr>
          <w:rFonts w:ascii="仿宋" w:hAnsi="仿宋" w:eastAsia="仿宋"/>
          <w:sz w:val="32"/>
          <w:szCs w:val="32"/>
        </w:rPr>
        <w:t xml:space="preserve"> 西藏自治区财政厅根据申请材料对申请人进行综合评分。综合评分指标包括承销意愿、承销能力、资本经营和风险防控状况、其他因素等四类指标。指标得分满分为100分，按照银行类、券商类报名机构分别排名计分，由高到低确定承销团成</w:t>
      </w:r>
      <w:r>
        <w:rPr>
          <w:rFonts w:hint="eastAsia" w:ascii="仿宋" w:hAnsi="仿宋" w:eastAsia="仿宋"/>
          <w:sz w:val="32"/>
          <w:szCs w:val="32"/>
        </w:rPr>
        <w:t>员。各项指标权重、计分方法详见附表。</w:t>
      </w:r>
      <w:r>
        <w:rPr>
          <w:rFonts w:ascii="仿宋" w:hAnsi="仿宋" w:eastAsia="仿宋"/>
          <w:sz w:val="32"/>
          <w:szCs w:val="32"/>
        </w:rPr>
        <w:t xml:space="preserve"> </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第十条</w:t>
      </w:r>
      <w:r>
        <w:rPr>
          <w:rFonts w:ascii="仿宋" w:hAnsi="仿宋" w:eastAsia="仿宋"/>
          <w:sz w:val="32"/>
          <w:szCs w:val="32"/>
        </w:rPr>
        <w:t xml:space="preserve"> 承销团成员分为主承销商和一般承销成员。其中主承销从提出申请的一般承销成员中产生，原则上不超过5家。西藏自治区财政厅根据西藏自治区政府债券发行需要，按照申请人近3年累计承销的西藏自治区政府债券规模确定主承销商组成。</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第十一条</w:t>
      </w:r>
      <w:r>
        <w:rPr>
          <w:rFonts w:ascii="仿宋" w:hAnsi="仿宋" w:eastAsia="仿宋"/>
          <w:sz w:val="32"/>
          <w:szCs w:val="32"/>
        </w:rPr>
        <w:t xml:space="preserve"> 西藏自治区财政厅对确定作为债券承销团成员和主承销商的申请人予以书面通知并向社会公布。</w:t>
      </w:r>
    </w:p>
    <w:p>
      <w:pPr>
        <w:spacing w:line="59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承销团成员的取消、退出与增补</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第十二条</w:t>
      </w:r>
      <w:r>
        <w:rPr>
          <w:rFonts w:ascii="仿宋" w:hAnsi="仿宋" w:eastAsia="仿宋"/>
          <w:sz w:val="32"/>
          <w:szCs w:val="32"/>
        </w:rPr>
        <w:t xml:space="preserve"> 承销团组建后每年可增补符合申请条件的金融机构。</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第十三条</w:t>
      </w:r>
      <w:r>
        <w:rPr>
          <w:rFonts w:ascii="仿宋" w:hAnsi="仿宋" w:eastAsia="仿宋"/>
          <w:sz w:val="32"/>
          <w:szCs w:val="32"/>
        </w:rPr>
        <w:t xml:space="preserve"> 承销团成员在年度内累计承销西藏自治区政府债券为零的，西藏自治区财政厅有权取消其下年度债券承销团成员资格。主承销商在年度内承销量未达到规定比例的，或累计3期承销西藏自治区政府债券金额为零的，西藏自治区财政厅有权取消其主承销商资格，自动变为一般承销成员。</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第十四条</w:t>
      </w:r>
      <w:r>
        <w:rPr>
          <w:rFonts w:ascii="仿宋" w:hAnsi="仿宋" w:eastAsia="仿宋"/>
          <w:sz w:val="32"/>
          <w:szCs w:val="32"/>
        </w:rPr>
        <w:t xml:space="preserve"> 承销团成员出现以下行为的，应当主动退出承销团，或由西藏自治区财政厅根据承销协议的约定通知其退出承销团。</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（一）以欺骗、利益输送等不正当手段加入承销团的；</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（二）财务状况恶化，难以继续履行债券承销团成员义务的；</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（三）年度内投标量为零或连续</w:t>
      </w:r>
      <w:r>
        <w:rPr>
          <w:rFonts w:ascii="仿宋" w:hAnsi="仿宋" w:eastAsia="仿宋"/>
          <w:sz w:val="32"/>
          <w:szCs w:val="32"/>
        </w:rPr>
        <w:t>3期投标量为零的；</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四）严重不正当投标行为、操纵二级市场行为；超承销额度分销，违规向承销团其他成员分销；出现伪造西藏自治区政府债券账务记录，发布关于西藏自治区政府债券虚假信息等重大违法行为或者严重违反西藏自治区政府债券相关管理政策规定行为的；</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（五）严重违反承销协议其他相关约定的。</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第十五条</w:t>
      </w:r>
      <w:r>
        <w:rPr>
          <w:rFonts w:ascii="仿宋" w:hAnsi="仿宋" w:eastAsia="仿宋"/>
          <w:sz w:val="32"/>
          <w:szCs w:val="32"/>
        </w:rPr>
        <w:t xml:space="preserve"> 承销团成员退出债券承销团的，西藏自治区财政厅将终止与其签订的债券承销协议。退出债券承销团的机构，自退出之日起两年内不得申请加入西藏自治区地方政府债券承销团。</w:t>
      </w:r>
    </w:p>
    <w:p>
      <w:pPr>
        <w:spacing w:line="59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债券承销团成员的权利与义务</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第十六条</w:t>
      </w:r>
      <w:r>
        <w:rPr>
          <w:rFonts w:ascii="仿宋" w:hAnsi="仿宋" w:eastAsia="仿宋"/>
          <w:sz w:val="32"/>
          <w:szCs w:val="32"/>
        </w:rPr>
        <w:t xml:space="preserve"> 债券承销团成员享有下列基本权利：</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（一）与西藏自治区财政厅商定债券承销协议的条款内容；</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（二）对债券发行方式和管理办法提出意见和建议；</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（三）参加债券发行活动，直接承销地方政府债券；</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（四）按照债券发行文件规定，获取债券发行费收入；</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（五）通过规定渠道及时获取债券发行信息；</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（六）参加西藏自治区政府专项债券项目前期评审工作。</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第十七条</w:t>
      </w:r>
      <w:r>
        <w:rPr>
          <w:rFonts w:ascii="仿宋" w:hAnsi="仿宋" w:eastAsia="仿宋"/>
          <w:sz w:val="32"/>
          <w:szCs w:val="32"/>
        </w:rPr>
        <w:t xml:space="preserve"> 债券承销团成员应当履行下列基本义务：</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（一）积极参加债券发行活动，按时足额向西藏自治区财政厅缴纳债券发行款；</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（二）做好债券宣传和分销工作，维护西藏自治区地方政府债券信誉；</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（三）及时报送债券发行和销售情况；</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（四）遵守国家法律法规和行业自律规范，接受债券业务监管部门的监督检查，及时报告本机构出现的重大违法行为或者财务状况恶化等情况；</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（五）开通财政部政府债券发行系统、财政部上海证券交易所政府债券发行系统、财政部深圳证券交易所政府债券发行系统相联的专用通讯线路；</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（六）参加债券招投标活动，在合理的价格区间内进行理性投标，维护债券发行活动的正常秩序；</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（七）在债券承销协议规定的比例范围内，负责债券的投标和承销。</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第十八条</w:t>
      </w:r>
      <w:r>
        <w:rPr>
          <w:rFonts w:ascii="仿宋" w:hAnsi="仿宋" w:eastAsia="仿宋"/>
          <w:sz w:val="32"/>
          <w:szCs w:val="32"/>
        </w:rPr>
        <w:t xml:space="preserve"> 债券承销团主承销商应当履行下列义务：</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（一）本办法第十七条规定的义务；</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（二）提供债券的发行价格走势、登记托管、上市交易等咨询服务；</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（三）不定期报送债券市场运行分析报告，并就改进地方政府债券发行工作和促进债券市场发展提出建议；</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（四）在特定承销环境下，如确有需要，主承销商有义务对部分发行额度进行包销。</w:t>
      </w:r>
    </w:p>
    <w:p>
      <w:pPr>
        <w:spacing w:line="590" w:lineRule="exact"/>
        <w:ind w:firstLine="640"/>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监督检查与处理</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第十九条</w:t>
      </w:r>
      <w:r>
        <w:rPr>
          <w:rFonts w:ascii="仿宋" w:hAnsi="仿宋" w:eastAsia="仿宋"/>
          <w:sz w:val="32"/>
          <w:szCs w:val="32"/>
        </w:rPr>
        <w:t xml:space="preserve"> 西藏自治区财政厅负责对债券承销团成员资格申请以及债券承销团成员开展西藏地方政府债券业务有关活动进</w:t>
      </w:r>
      <w:r>
        <w:rPr>
          <w:rFonts w:hint="eastAsia" w:ascii="仿宋" w:hAnsi="仿宋" w:eastAsia="仿宋"/>
          <w:sz w:val="32"/>
          <w:szCs w:val="32"/>
        </w:rPr>
        <w:t>行监督。</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第二十条</w:t>
      </w:r>
      <w:r>
        <w:rPr>
          <w:rFonts w:ascii="仿宋" w:hAnsi="仿宋" w:eastAsia="仿宋"/>
          <w:sz w:val="32"/>
          <w:szCs w:val="32"/>
        </w:rPr>
        <w:t xml:space="preserve"> 债券承销团成员出现其他违规行为的，西藏自治区财政厅根据债券承销团协议约定通知其退出债券承销团。</w:t>
      </w:r>
    </w:p>
    <w:p>
      <w:pPr>
        <w:spacing w:line="590" w:lineRule="exact"/>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第二十一条</w:t>
      </w:r>
      <w:r>
        <w:rPr>
          <w:rFonts w:ascii="仿宋" w:hAnsi="仿宋" w:eastAsia="仿宋"/>
          <w:sz w:val="32"/>
          <w:szCs w:val="32"/>
        </w:rPr>
        <w:t xml:space="preserve"> 本办法由西藏自治区财政厅负责解释。</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第二十二条</w:t>
      </w:r>
      <w:r>
        <w:rPr>
          <w:rFonts w:ascii="仿宋" w:hAnsi="仿宋" w:eastAsia="仿宋"/>
          <w:sz w:val="32"/>
          <w:szCs w:val="32"/>
        </w:rPr>
        <w:t xml:space="preserve"> 本办法自发布之日起施行。</w:t>
      </w:r>
    </w:p>
    <w:p>
      <w:pPr>
        <w:spacing w:line="590" w:lineRule="exact"/>
        <w:ind w:firstLine="640" w:firstLineChars="200"/>
        <w:rPr>
          <w:rFonts w:ascii="仿宋" w:hAnsi="仿宋" w:eastAsia="仿宋"/>
          <w:sz w:val="32"/>
          <w:szCs w:val="32"/>
        </w:rPr>
      </w:pPr>
    </w:p>
    <w:p>
      <w:pPr>
        <w:spacing w:line="590" w:lineRule="exact"/>
        <w:textAlignment w:val="center"/>
        <w:rPr>
          <w:rFonts w:ascii="仿宋" w:hAnsi="仿宋" w:eastAsia="仿宋"/>
          <w:sz w:val="32"/>
          <w:szCs w:val="32"/>
        </w:rPr>
      </w:pPr>
    </w:p>
    <w:p>
      <w:pPr>
        <w:spacing w:line="590" w:lineRule="exact"/>
        <w:textAlignment w:val="center"/>
        <w:rPr>
          <w:rFonts w:ascii="仿宋" w:hAnsi="仿宋" w:eastAsia="仿宋"/>
          <w:sz w:val="32"/>
          <w:szCs w:val="32"/>
        </w:rPr>
      </w:pPr>
    </w:p>
    <w:p>
      <w:pPr>
        <w:spacing w:line="590" w:lineRule="exact"/>
        <w:textAlignment w:val="center"/>
        <w:rPr>
          <w:rFonts w:ascii="仿宋" w:hAnsi="仿宋" w:eastAsia="仿宋"/>
          <w:sz w:val="32"/>
          <w:szCs w:val="32"/>
        </w:rPr>
      </w:pPr>
    </w:p>
    <w:p>
      <w:pPr>
        <w:spacing w:line="590" w:lineRule="exact"/>
        <w:textAlignment w:val="center"/>
        <w:rPr>
          <w:rFonts w:ascii="仿宋" w:hAnsi="仿宋" w:eastAsia="仿宋"/>
          <w:sz w:val="32"/>
          <w:szCs w:val="32"/>
        </w:rPr>
      </w:pPr>
    </w:p>
    <w:p>
      <w:pPr>
        <w:spacing w:line="590" w:lineRule="exact"/>
        <w:textAlignment w:val="center"/>
        <w:rPr>
          <w:rFonts w:ascii="仿宋" w:hAnsi="仿宋" w:eastAsia="仿宋"/>
          <w:sz w:val="32"/>
          <w:szCs w:val="32"/>
        </w:rPr>
      </w:pPr>
    </w:p>
    <w:p>
      <w:pPr>
        <w:spacing w:line="590" w:lineRule="exact"/>
        <w:rPr>
          <w:rFonts w:ascii="等线" w:hAnsi="等线" w:eastAsia="等线"/>
        </w:rPr>
      </w:pPr>
    </w:p>
    <w:p>
      <w:pPr>
        <w:spacing w:line="590" w:lineRule="exact"/>
        <w:ind w:firstLine="640" w:firstLineChars="200"/>
        <w:rPr>
          <w:rFonts w:ascii="仿宋" w:hAnsi="仿宋" w:eastAsia="仿宋"/>
          <w:sz w:val="32"/>
          <w:szCs w:val="32"/>
        </w:rPr>
      </w:pPr>
    </w:p>
    <w:p>
      <w:pPr>
        <w:spacing w:line="590" w:lineRule="exact"/>
        <w:ind w:left="420" w:firstLine="640" w:firstLineChars="200"/>
        <w:rPr>
          <w:rFonts w:ascii="仿宋" w:hAnsi="仿宋" w:eastAsia="仿宋"/>
          <w:sz w:val="32"/>
          <w:szCs w:val="32"/>
        </w:rPr>
      </w:pPr>
    </w:p>
    <w:p>
      <w:pPr>
        <w:spacing w:line="590" w:lineRule="exact"/>
        <w:rPr>
          <w:rFonts w:ascii="等线" w:hAnsi="等线" w:eastAsia="等线"/>
        </w:rPr>
      </w:pPr>
    </w:p>
    <w:p>
      <w:pPr>
        <w:spacing w:line="590" w:lineRule="exact"/>
        <w:rPr>
          <w:rFonts w:ascii="方正小标宋简体" w:hAnsi="仿宋" w:eastAsia="方正小标宋简体"/>
          <w:sz w:val="36"/>
          <w:szCs w:val="36"/>
        </w:rPr>
      </w:pPr>
    </w:p>
    <w:p>
      <w:pPr>
        <w:spacing w:line="590" w:lineRule="exact"/>
        <w:rPr>
          <w:rFonts w:ascii="方正小标宋简体" w:hAnsi="仿宋" w:eastAsia="方正小标宋简体"/>
          <w:sz w:val="36"/>
          <w:szCs w:val="36"/>
        </w:rPr>
      </w:pPr>
    </w:p>
    <w:p>
      <w:pPr>
        <w:spacing w:line="590" w:lineRule="exact"/>
        <w:rPr>
          <w:rFonts w:ascii="方正小标宋简体" w:hAnsi="仿宋" w:eastAsia="方正小标宋简体"/>
          <w:sz w:val="36"/>
          <w:szCs w:val="36"/>
        </w:rPr>
      </w:pPr>
    </w:p>
    <w:p>
      <w:pPr>
        <w:spacing w:line="590" w:lineRule="exact"/>
        <w:rPr>
          <w:rFonts w:ascii="方正小标宋简体" w:hAnsi="仿宋" w:eastAsia="方正小标宋简体"/>
          <w:sz w:val="36"/>
          <w:szCs w:val="36"/>
        </w:rPr>
      </w:pPr>
    </w:p>
    <w:p>
      <w:pPr>
        <w:spacing w:line="590" w:lineRule="exact"/>
        <w:rPr>
          <w:rFonts w:ascii="方正小标宋简体" w:hAnsi="仿宋" w:eastAsia="方正小标宋简体"/>
          <w:sz w:val="36"/>
          <w:szCs w:val="36"/>
        </w:rPr>
      </w:pPr>
    </w:p>
    <w:p>
      <w:pPr>
        <w:spacing w:line="590" w:lineRule="exact"/>
        <w:rPr>
          <w:rFonts w:ascii="黑体" w:hAnsi="黑体" w:eastAsia="黑体" w:cs="黑体"/>
          <w:sz w:val="32"/>
          <w:szCs w:val="32"/>
        </w:rPr>
      </w:pPr>
    </w:p>
    <w:p>
      <w:pPr>
        <w:spacing w:line="680" w:lineRule="exact"/>
        <w:jc w:val="left"/>
        <w:rPr>
          <w:rFonts w:ascii="黑体" w:hAnsi="黑体" w:eastAsia="黑体" w:cs="黑体"/>
          <w:sz w:val="32"/>
          <w:szCs w:val="32"/>
        </w:rPr>
      </w:pPr>
      <w:r>
        <w:rPr>
          <w:rFonts w:hint="eastAsia" w:ascii="黑体" w:hAnsi="黑体" w:eastAsia="黑体" w:cs="黑体"/>
          <w:sz w:val="32"/>
          <w:szCs w:val="32"/>
        </w:rPr>
        <w:t>附表</w:t>
      </w:r>
    </w:p>
    <w:tbl>
      <w:tblPr>
        <w:tblStyle w:val="6"/>
        <w:tblW w:w="9116" w:type="dxa"/>
        <w:jc w:val="center"/>
        <w:tblInd w:w="0" w:type="dxa"/>
        <w:tblLayout w:type="fixed"/>
        <w:tblCellMar>
          <w:top w:w="0" w:type="dxa"/>
          <w:left w:w="108" w:type="dxa"/>
          <w:bottom w:w="0" w:type="dxa"/>
          <w:right w:w="108" w:type="dxa"/>
        </w:tblCellMar>
      </w:tblPr>
      <w:tblGrid>
        <w:gridCol w:w="1156"/>
        <w:gridCol w:w="2202"/>
        <w:gridCol w:w="5758"/>
      </w:tblGrid>
      <w:tr>
        <w:tblPrEx>
          <w:tblLayout w:type="fixed"/>
          <w:tblCellMar>
            <w:top w:w="0" w:type="dxa"/>
            <w:left w:w="108" w:type="dxa"/>
            <w:bottom w:w="0" w:type="dxa"/>
            <w:right w:w="108" w:type="dxa"/>
          </w:tblCellMar>
        </w:tblPrEx>
        <w:trPr>
          <w:trHeight w:val="560" w:hRule="atLeast"/>
          <w:jc w:val="center"/>
        </w:trPr>
        <w:tc>
          <w:tcPr>
            <w:tcW w:w="9116" w:type="dxa"/>
            <w:gridSpan w:val="3"/>
            <w:vAlign w:val="center"/>
          </w:tcPr>
          <w:p>
            <w:pPr>
              <w:widowControl/>
              <w:snapToGrid w:val="0"/>
              <w:jc w:val="center"/>
              <w:rPr>
                <w:rFonts w:ascii="方正小标宋简体" w:hAnsi="宋体" w:eastAsia="方正小标宋简体"/>
                <w:bCs/>
                <w:kern w:val="0"/>
                <w:sz w:val="32"/>
                <w:szCs w:val="32"/>
              </w:rPr>
            </w:pPr>
            <w:r>
              <w:rPr>
                <w:rFonts w:hint="eastAsia" w:ascii="方正小标宋简体" w:hAnsi="宋体" w:eastAsia="方正小标宋简体"/>
                <w:bCs/>
                <w:kern w:val="0"/>
                <w:sz w:val="32"/>
                <w:szCs w:val="32"/>
              </w:rPr>
              <w:t>西藏自治区政府债券承销团评分指标及计分方法</w:t>
            </w:r>
          </w:p>
        </w:tc>
      </w:tr>
      <w:tr>
        <w:tblPrEx>
          <w:tblLayout w:type="fixed"/>
          <w:tblCellMar>
            <w:top w:w="0" w:type="dxa"/>
            <w:left w:w="108" w:type="dxa"/>
            <w:bottom w:w="0" w:type="dxa"/>
            <w:right w:w="108" w:type="dxa"/>
          </w:tblCellMar>
        </w:tblPrEx>
        <w:trPr>
          <w:trHeight w:val="569" w:hRule="atLeast"/>
          <w:jc w:val="center"/>
        </w:trPr>
        <w:tc>
          <w:tcPr>
            <w:tcW w:w="115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b/>
                <w:bCs/>
                <w:kern w:val="0"/>
                <w:szCs w:val="21"/>
              </w:rPr>
            </w:pPr>
            <w:r>
              <w:rPr>
                <w:rFonts w:hint="eastAsia" w:ascii="仿宋" w:hAnsi="仿宋" w:eastAsia="仿宋"/>
                <w:b/>
                <w:bCs/>
                <w:kern w:val="0"/>
                <w:szCs w:val="21"/>
              </w:rPr>
              <w:t>一级指标</w:t>
            </w:r>
          </w:p>
        </w:tc>
        <w:tc>
          <w:tcPr>
            <w:tcW w:w="220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 w:hAnsi="仿宋" w:eastAsia="仿宋"/>
                <w:b/>
                <w:bCs/>
                <w:kern w:val="0"/>
                <w:szCs w:val="21"/>
              </w:rPr>
            </w:pPr>
            <w:r>
              <w:rPr>
                <w:rFonts w:hint="eastAsia" w:ascii="仿宋" w:hAnsi="仿宋" w:eastAsia="仿宋"/>
                <w:b/>
                <w:bCs/>
                <w:kern w:val="0"/>
                <w:szCs w:val="21"/>
              </w:rPr>
              <w:t>二级指标</w:t>
            </w:r>
          </w:p>
        </w:tc>
        <w:tc>
          <w:tcPr>
            <w:tcW w:w="5758"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 w:hAnsi="仿宋" w:eastAsia="仿宋"/>
                <w:b/>
                <w:bCs/>
                <w:kern w:val="0"/>
                <w:szCs w:val="21"/>
              </w:rPr>
            </w:pPr>
            <w:r>
              <w:rPr>
                <w:rFonts w:hint="eastAsia" w:ascii="仿宋" w:hAnsi="仿宋" w:eastAsia="仿宋"/>
                <w:b/>
                <w:bCs/>
                <w:kern w:val="0"/>
                <w:szCs w:val="21"/>
              </w:rPr>
              <w:t>计分方法</w:t>
            </w:r>
          </w:p>
        </w:tc>
      </w:tr>
      <w:tr>
        <w:tblPrEx>
          <w:tblLayout w:type="fixed"/>
          <w:tblCellMar>
            <w:top w:w="0" w:type="dxa"/>
            <w:left w:w="108" w:type="dxa"/>
            <w:bottom w:w="0" w:type="dxa"/>
            <w:right w:w="108" w:type="dxa"/>
          </w:tblCellMar>
        </w:tblPrEx>
        <w:trPr>
          <w:trHeight w:val="991" w:hRule="atLeast"/>
          <w:jc w:val="center"/>
        </w:trPr>
        <w:tc>
          <w:tcPr>
            <w:tcW w:w="1156" w:type="dxa"/>
            <w:tcBorders>
              <w:top w:val="nil"/>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承销意愿</w:t>
            </w:r>
          </w:p>
          <w:p>
            <w:pPr>
              <w:widowControl/>
              <w:snapToGrid w:val="0"/>
              <w:jc w:val="center"/>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20分）</w:t>
            </w:r>
          </w:p>
        </w:tc>
        <w:tc>
          <w:tcPr>
            <w:tcW w:w="2202" w:type="dxa"/>
            <w:tcBorders>
              <w:top w:val="nil"/>
              <w:left w:val="nil"/>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西藏自治区政府债券承销意愿（</w:t>
            </w:r>
            <w:r>
              <w:rPr>
                <w:rFonts w:ascii="仿宋" w:hAnsi="仿宋" w:eastAsia="仿宋"/>
                <w:kern w:val="0"/>
                <w:szCs w:val="21"/>
              </w:rPr>
              <w:t>20分）</w:t>
            </w:r>
          </w:p>
        </w:tc>
        <w:tc>
          <w:tcPr>
            <w:tcW w:w="5758" w:type="dxa"/>
            <w:tcBorders>
              <w:top w:val="nil"/>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根据报名机构填报的对于西藏自治区政府债券的意愿承销规模，从高到低排名，排名第</w:t>
            </w:r>
            <w:r>
              <w:rPr>
                <w:rFonts w:ascii="仿宋" w:hAnsi="仿宋" w:eastAsia="仿宋"/>
                <w:kern w:val="0"/>
                <w:szCs w:val="21"/>
              </w:rPr>
              <w:t>1的得满分，其余按照20*</w:t>
            </w:r>
            <w:r>
              <w:rPr>
                <w:rFonts w:hint="eastAsia" w:ascii="仿宋" w:hAnsi="仿宋" w:eastAsia="仿宋" w:cs="仿宋_GB2312"/>
                <w:kern w:val="0"/>
                <w:szCs w:val="21"/>
              </w:rPr>
              <w:t>〔</w:t>
            </w:r>
            <w:r>
              <w:rPr>
                <w:rFonts w:ascii="仿宋" w:hAnsi="仿宋" w:eastAsia="仿宋"/>
                <w:kern w:val="0"/>
                <w:szCs w:val="21"/>
              </w:rPr>
              <w:t>1-（排名-1）/符合条件的银行类或券商类报名机构总数</w:t>
            </w:r>
            <w:r>
              <w:rPr>
                <w:rFonts w:hint="eastAsia" w:ascii="仿宋" w:hAnsi="仿宋" w:eastAsia="仿宋" w:cs="仿宋_GB2312"/>
                <w:kern w:val="0"/>
                <w:szCs w:val="21"/>
              </w:rPr>
              <w:t>〕</w:t>
            </w:r>
            <w:r>
              <w:rPr>
                <w:rFonts w:hint="eastAsia" w:ascii="仿宋" w:hAnsi="仿宋" w:eastAsia="仿宋"/>
                <w:kern w:val="0"/>
                <w:szCs w:val="21"/>
              </w:rPr>
              <w:t>计算得分。（按银行类、券商类报名机构分别排名计分，得分四舍五入保留</w:t>
            </w:r>
            <w:r>
              <w:rPr>
                <w:rFonts w:ascii="仿宋" w:hAnsi="仿宋" w:eastAsia="仿宋"/>
                <w:kern w:val="0"/>
                <w:szCs w:val="21"/>
              </w:rPr>
              <w:t>1位小数，下同）</w:t>
            </w:r>
          </w:p>
        </w:tc>
      </w:tr>
      <w:tr>
        <w:tblPrEx>
          <w:tblLayout w:type="fixed"/>
          <w:tblCellMar>
            <w:top w:w="0" w:type="dxa"/>
            <w:left w:w="108" w:type="dxa"/>
            <w:bottom w:w="0" w:type="dxa"/>
            <w:right w:w="108" w:type="dxa"/>
          </w:tblCellMar>
        </w:tblPrEx>
        <w:trPr>
          <w:cantSplit/>
          <w:trHeight w:val="626" w:hRule="atLeast"/>
          <w:jc w:val="center"/>
        </w:trPr>
        <w:tc>
          <w:tcPr>
            <w:tcW w:w="1156"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承销能力</w:t>
            </w:r>
          </w:p>
          <w:p>
            <w:pPr>
              <w:widowControl/>
              <w:snapToGrid w:val="0"/>
              <w:jc w:val="center"/>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50分）</w:t>
            </w: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记账式附息国债承销量（</w:t>
            </w:r>
            <w:r>
              <w:rPr>
                <w:rFonts w:ascii="仿宋" w:hAnsi="仿宋" w:eastAsia="仿宋"/>
                <w:kern w:val="0"/>
                <w:szCs w:val="21"/>
              </w:rPr>
              <w:t>10分）</w:t>
            </w:r>
          </w:p>
        </w:tc>
        <w:tc>
          <w:tcPr>
            <w:tcW w:w="5758" w:type="dxa"/>
            <w:tcBorders>
              <w:top w:val="nil"/>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根据报名机构的近</w:t>
            </w:r>
            <w:r>
              <w:rPr>
                <w:rFonts w:ascii="仿宋" w:hAnsi="仿宋" w:eastAsia="仿宋"/>
                <w:kern w:val="0"/>
                <w:szCs w:val="21"/>
              </w:rPr>
              <w:t>3年记账式附息国债承销规模，从高到低排名，排名第1的得满分，其余按与第1名的占比计算得分。</w:t>
            </w:r>
          </w:p>
        </w:tc>
      </w:tr>
      <w:tr>
        <w:tblPrEx>
          <w:tblLayout w:type="fixed"/>
          <w:tblCellMar>
            <w:top w:w="0" w:type="dxa"/>
            <w:left w:w="108" w:type="dxa"/>
            <w:bottom w:w="0" w:type="dxa"/>
            <w:right w:w="108" w:type="dxa"/>
          </w:tblCellMar>
        </w:tblPrEx>
        <w:trPr>
          <w:cantSplit/>
          <w:trHeight w:val="79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全国地方政府债券承销量（</w:t>
            </w:r>
            <w:r>
              <w:rPr>
                <w:rFonts w:ascii="仿宋" w:hAnsi="仿宋" w:eastAsia="仿宋"/>
                <w:kern w:val="0"/>
                <w:szCs w:val="21"/>
              </w:rPr>
              <w:t>20分）</w:t>
            </w:r>
          </w:p>
        </w:tc>
        <w:tc>
          <w:tcPr>
            <w:tcW w:w="5758" w:type="dxa"/>
            <w:tcBorders>
              <w:top w:val="nil"/>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根据报名机构的近</w:t>
            </w:r>
            <w:r>
              <w:rPr>
                <w:rFonts w:ascii="仿宋" w:hAnsi="仿宋" w:eastAsia="仿宋"/>
                <w:kern w:val="0"/>
                <w:szCs w:val="21"/>
              </w:rPr>
              <w:t>3年全国地方政府债券承销规模，从高到低排名，排名第1的得满分，其余按与第1名的占比计算得分。</w:t>
            </w:r>
          </w:p>
        </w:tc>
      </w:tr>
      <w:tr>
        <w:tblPrEx>
          <w:tblLayout w:type="fixed"/>
          <w:tblCellMar>
            <w:top w:w="0" w:type="dxa"/>
            <w:left w:w="108" w:type="dxa"/>
            <w:bottom w:w="0" w:type="dxa"/>
            <w:right w:w="108" w:type="dxa"/>
          </w:tblCellMar>
        </w:tblPrEx>
        <w:trPr>
          <w:cantSplit/>
          <w:trHeight w:val="701"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西藏自治区政府债券承销量（</w:t>
            </w:r>
            <w:r>
              <w:rPr>
                <w:rFonts w:ascii="仿宋" w:hAnsi="仿宋" w:eastAsia="仿宋"/>
                <w:kern w:val="0"/>
                <w:szCs w:val="21"/>
              </w:rPr>
              <w:t>20分）</w:t>
            </w:r>
          </w:p>
        </w:tc>
        <w:tc>
          <w:tcPr>
            <w:tcW w:w="5758" w:type="dxa"/>
            <w:tcBorders>
              <w:top w:val="nil"/>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根据报名机构的近</w:t>
            </w:r>
            <w:r>
              <w:rPr>
                <w:rFonts w:ascii="仿宋" w:hAnsi="仿宋" w:eastAsia="仿宋"/>
                <w:kern w:val="0"/>
                <w:szCs w:val="21"/>
              </w:rPr>
              <w:t>3年西藏自治区政府债券承销规模，从高到低排名，排名第1的得满分，其余按与第1名的占比计算得分。</w:t>
            </w:r>
          </w:p>
        </w:tc>
      </w:tr>
      <w:tr>
        <w:tblPrEx>
          <w:tblLayout w:type="fixed"/>
          <w:tblCellMar>
            <w:top w:w="0" w:type="dxa"/>
            <w:left w:w="108" w:type="dxa"/>
            <w:bottom w:w="0" w:type="dxa"/>
            <w:right w:w="108" w:type="dxa"/>
          </w:tblCellMar>
        </w:tblPrEx>
        <w:trPr>
          <w:cantSplit/>
          <w:trHeight w:val="714" w:hRule="atLeast"/>
          <w:jc w:val="center"/>
        </w:trPr>
        <w:tc>
          <w:tcPr>
            <w:tcW w:w="1156"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kern w:val="0"/>
                <w:szCs w:val="21"/>
              </w:rPr>
            </w:pPr>
            <w:r>
              <w:rPr>
                <w:rFonts w:hint="eastAsia" w:ascii="仿宋" w:hAnsi="仿宋" w:eastAsia="仿宋"/>
                <w:kern w:val="0"/>
                <w:szCs w:val="21"/>
              </w:rPr>
              <w:t>资本经营及风险防控状况（</w:t>
            </w:r>
            <w:r>
              <w:rPr>
                <w:rFonts w:ascii="仿宋" w:hAnsi="仿宋" w:eastAsia="仿宋"/>
                <w:kern w:val="0"/>
                <w:szCs w:val="21"/>
              </w:rPr>
              <w:t>18分）</w:t>
            </w: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净资产（</w:t>
            </w:r>
            <w:r>
              <w:rPr>
                <w:rFonts w:ascii="仿宋" w:hAnsi="仿宋" w:eastAsia="仿宋"/>
                <w:kern w:val="0"/>
                <w:szCs w:val="21"/>
              </w:rPr>
              <w:t>3分）</w:t>
            </w:r>
          </w:p>
        </w:tc>
        <w:tc>
          <w:tcPr>
            <w:tcW w:w="5758" w:type="dxa"/>
            <w:tcBorders>
              <w:top w:val="nil"/>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根据报名机构的净资产规模，从高到低排名，排名第</w:t>
            </w:r>
            <w:r>
              <w:rPr>
                <w:rFonts w:ascii="仿宋" w:hAnsi="仿宋" w:eastAsia="仿宋"/>
                <w:kern w:val="0"/>
                <w:szCs w:val="21"/>
              </w:rPr>
              <w:t>1的得满分，其余按与第1名的占比计算得分。</w:t>
            </w:r>
          </w:p>
        </w:tc>
      </w:tr>
      <w:tr>
        <w:tblPrEx>
          <w:tblLayout w:type="fixed"/>
          <w:tblCellMar>
            <w:top w:w="0" w:type="dxa"/>
            <w:left w:w="108" w:type="dxa"/>
            <w:bottom w:w="0" w:type="dxa"/>
            <w:right w:w="108" w:type="dxa"/>
          </w:tblCellMar>
        </w:tblPrEx>
        <w:trPr>
          <w:cantSplit/>
          <w:trHeight w:val="598"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szCs w:val="21"/>
              </w:rPr>
            </w:pPr>
            <w:r>
              <w:rPr>
                <w:rFonts w:hint="eastAsia" w:ascii="仿宋" w:hAnsi="仿宋" w:eastAsia="仿宋"/>
                <w:kern w:val="0"/>
                <w:szCs w:val="21"/>
              </w:rPr>
              <w:t>利润总额（</w:t>
            </w:r>
            <w:r>
              <w:rPr>
                <w:rFonts w:ascii="仿宋" w:hAnsi="仿宋" w:eastAsia="仿宋"/>
                <w:kern w:val="0"/>
                <w:szCs w:val="21"/>
              </w:rPr>
              <w:t>3分）</w:t>
            </w:r>
          </w:p>
        </w:tc>
        <w:tc>
          <w:tcPr>
            <w:tcW w:w="5758" w:type="dxa"/>
            <w:tcBorders>
              <w:top w:val="nil"/>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根据报名机构的利润总额，从高到低排名，排名第</w:t>
            </w:r>
            <w:r>
              <w:rPr>
                <w:rFonts w:ascii="仿宋" w:hAnsi="仿宋" w:eastAsia="仿宋"/>
                <w:kern w:val="0"/>
                <w:szCs w:val="21"/>
              </w:rPr>
              <w:t>1的得满分，其余按与第1名的占比计算得分。</w:t>
            </w:r>
          </w:p>
        </w:tc>
      </w:tr>
      <w:tr>
        <w:tblPrEx>
          <w:tblLayout w:type="fixed"/>
          <w:tblCellMar>
            <w:top w:w="0" w:type="dxa"/>
            <w:left w:w="108" w:type="dxa"/>
            <w:bottom w:w="0" w:type="dxa"/>
            <w:right w:w="108" w:type="dxa"/>
          </w:tblCellMar>
        </w:tblPrEx>
        <w:trPr>
          <w:cantSplit/>
          <w:trHeight w:val="378"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960" w:type="dxa"/>
            <w:gridSpan w:val="2"/>
            <w:tcBorders>
              <w:top w:val="single" w:color="000000" w:sz="4" w:space="0"/>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报名机构为银行，按以下</w:t>
            </w:r>
            <w:r>
              <w:rPr>
                <w:rFonts w:ascii="仿宋" w:hAnsi="仿宋" w:eastAsia="仿宋"/>
                <w:kern w:val="0"/>
                <w:szCs w:val="21"/>
              </w:rPr>
              <w:t>3项指标评分</w:t>
            </w:r>
          </w:p>
        </w:tc>
      </w:tr>
      <w:tr>
        <w:tblPrEx>
          <w:tblLayout w:type="fixed"/>
          <w:tblCellMar>
            <w:top w:w="0" w:type="dxa"/>
            <w:left w:w="108" w:type="dxa"/>
            <w:bottom w:w="0" w:type="dxa"/>
            <w:right w:w="108" w:type="dxa"/>
          </w:tblCellMar>
        </w:tblPrEx>
        <w:trPr>
          <w:cantSplit/>
          <w:trHeight w:val="876"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资本充足率（</w:t>
            </w:r>
            <w:r>
              <w:rPr>
                <w:rFonts w:ascii="仿宋" w:hAnsi="仿宋" w:eastAsia="仿宋"/>
                <w:kern w:val="0"/>
                <w:szCs w:val="21"/>
              </w:rPr>
              <w:t>4分）</w:t>
            </w:r>
          </w:p>
        </w:tc>
        <w:tc>
          <w:tcPr>
            <w:tcW w:w="5758" w:type="dxa"/>
            <w:tcBorders>
              <w:top w:val="single" w:color="000000" w:sz="4" w:space="0"/>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根据报名机构的资本充足率评分，从高到低排名，排名第</w:t>
            </w:r>
            <w:r>
              <w:rPr>
                <w:rFonts w:ascii="仿宋" w:hAnsi="仿宋" w:eastAsia="仿宋"/>
                <w:kern w:val="0"/>
                <w:szCs w:val="21"/>
              </w:rPr>
              <w:t>1的得满分，其余按照4*</w:t>
            </w:r>
            <w:r>
              <w:rPr>
                <w:rFonts w:hint="eastAsia" w:ascii="仿宋" w:hAnsi="仿宋" w:eastAsia="仿宋" w:cs="仿宋_GB2312"/>
                <w:kern w:val="0"/>
                <w:szCs w:val="21"/>
              </w:rPr>
              <w:t>〔</w:t>
            </w:r>
            <w:r>
              <w:rPr>
                <w:rFonts w:ascii="仿宋" w:hAnsi="仿宋" w:eastAsia="仿宋"/>
                <w:kern w:val="0"/>
                <w:szCs w:val="21"/>
              </w:rPr>
              <w:t>1-（排名-1）/符合条件的银行类报名机构总数</w:t>
            </w:r>
            <w:r>
              <w:rPr>
                <w:rFonts w:hint="eastAsia" w:ascii="仿宋" w:hAnsi="仿宋" w:eastAsia="仿宋" w:cs="仿宋_GB2312"/>
                <w:kern w:val="0"/>
                <w:szCs w:val="21"/>
              </w:rPr>
              <w:t>〕</w:t>
            </w:r>
            <w:r>
              <w:rPr>
                <w:rFonts w:hint="eastAsia" w:ascii="仿宋" w:hAnsi="仿宋" w:eastAsia="仿宋"/>
                <w:kern w:val="0"/>
                <w:szCs w:val="21"/>
              </w:rPr>
              <w:t>计算得分。</w:t>
            </w:r>
          </w:p>
        </w:tc>
      </w:tr>
      <w:tr>
        <w:tblPrEx>
          <w:tblLayout w:type="fixed"/>
          <w:tblCellMar>
            <w:top w:w="0" w:type="dxa"/>
            <w:left w:w="108" w:type="dxa"/>
            <w:bottom w:w="0" w:type="dxa"/>
            <w:right w:w="108" w:type="dxa"/>
          </w:tblCellMar>
        </w:tblPrEx>
        <w:trPr>
          <w:cantSplit/>
          <w:trHeight w:val="685"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不良贷款率（</w:t>
            </w:r>
            <w:r>
              <w:rPr>
                <w:rFonts w:ascii="仿宋" w:hAnsi="仿宋" w:eastAsia="仿宋"/>
                <w:kern w:val="0"/>
                <w:szCs w:val="21"/>
              </w:rPr>
              <w:t>4分）</w:t>
            </w:r>
          </w:p>
        </w:tc>
        <w:tc>
          <w:tcPr>
            <w:tcW w:w="5758" w:type="dxa"/>
            <w:tcBorders>
              <w:top w:val="single" w:color="000000" w:sz="4" w:space="0"/>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根据报名机构的不良贷款率评分，从低到高排名，排名第</w:t>
            </w:r>
            <w:r>
              <w:rPr>
                <w:rFonts w:ascii="仿宋" w:hAnsi="仿宋" w:eastAsia="仿宋"/>
                <w:kern w:val="0"/>
                <w:szCs w:val="21"/>
              </w:rPr>
              <w:t>1的得满分，其余按照4*</w:t>
            </w:r>
            <w:r>
              <w:rPr>
                <w:rFonts w:hint="eastAsia" w:ascii="仿宋" w:hAnsi="仿宋" w:eastAsia="仿宋" w:cs="仿宋_GB2312"/>
                <w:kern w:val="0"/>
                <w:szCs w:val="21"/>
              </w:rPr>
              <w:t>〔</w:t>
            </w:r>
            <w:r>
              <w:rPr>
                <w:rFonts w:ascii="仿宋" w:hAnsi="仿宋" w:eastAsia="仿宋"/>
                <w:kern w:val="0"/>
                <w:szCs w:val="21"/>
              </w:rPr>
              <w:t>1-（排名-1）/符合条件的银行类报名机构总数</w:t>
            </w:r>
            <w:r>
              <w:rPr>
                <w:rFonts w:hint="eastAsia" w:ascii="仿宋" w:hAnsi="仿宋" w:eastAsia="仿宋" w:cs="仿宋_GB2312"/>
                <w:kern w:val="0"/>
                <w:szCs w:val="21"/>
              </w:rPr>
              <w:t>〕</w:t>
            </w:r>
            <w:r>
              <w:rPr>
                <w:rFonts w:hint="eastAsia" w:ascii="仿宋" w:hAnsi="仿宋" w:eastAsia="仿宋"/>
                <w:kern w:val="0"/>
                <w:szCs w:val="21"/>
              </w:rPr>
              <w:t>计算得分。</w:t>
            </w:r>
          </w:p>
        </w:tc>
      </w:tr>
      <w:tr>
        <w:tblPrEx>
          <w:tblLayout w:type="fixed"/>
          <w:tblCellMar>
            <w:top w:w="0" w:type="dxa"/>
            <w:left w:w="108" w:type="dxa"/>
            <w:bottom w:w="0" w:type="dxa"/>
            <w:right w:w="108" w:type="dxa"/>
          </w:tblCellMar>
        </w:tblPrEx>
        <w:trPr>
          <w:cantSplit/>
          <w:trHeight w:val="769"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拨备覆盖率（</w:t>
            </w:r>
            <w:r>
              <w:rPr>
                <w:rFonts w:ascii="仿宋" w:hAnsi="仿宋" w:eastAsia="仿宋"/>
                <w:kern w:val="0"/>
                <w:szCs w:val="21"/>
              </w:rPr>
              <w:t>4分）</w:t>
            </w:r>
          </w:p>
        </w:tc>
        <w:tc>
          <w:tcPr>
            <w:tcW w:w="5758" w:type="dxa"/>
            <w:tcBorders>
              <w:top w:val="single" w:color="000000" w:sz="4" w:space="0"/>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根据报名机构的拨备覆盖率评分，从高到低排名，排名第</w:t>
            </w:r>
            <w:r>
              <w:rPr>
                <w:rFonts w:ascii="仿宋" w:hAnsi="仿宋" w:eastAsia="仿宋"/>
                <w:kern w:val="0"/>
                <w:szCs w:val="21"/>
              </w:rPr>
              <w:t>1的得满分，其余按照4*</w:t>
            </w:r>
            <w:r>
              <w:rPr>
                <w:rFonts w:hint="eastAsia" w:ascii="仿宋" w:hAnsi="仿宋" w:eastAsia="仿宋" w:cs="仿宋_GB2312"/>
                <w:kern w:val="0"/>
                <w:szCs w:val="21"/>
              </w:rPr>
              <w:t>〔</w:t>
            </w:r>
            <w:r>
              <w:rPr>
                <w:rFonts w:ascii="仿宋" w:hAnsi="仿宋" w:eastAsia="仿宋"/>
                <w:kern w:val="0"/>
                <w:szCs w:val="21"/>
              </w:rPr>
              <w:t>1-（排名-1）/符合条件的银行类报名机构总数</w:t>
            </w:r>
            <w:r>
              <w:rPr>
                <w:rFonts w:hint="eastAsia" w:ascii="仿宋" w:hAnsi="仿宋" w:eastAsia="仿宋" w:cs="仿宋_GB2312"/>
                <w:kern w:val="0"/>
                <w:szCs w:val="21"/>
              </w:rPr>
              <w:t>〕</w:t>
            </w:r>
            <w:r>
              <w:rPr>
                <w:rFonts w:hint="eastAsia" w:ascii="仿宋" w:hAnsi="仿宋" w:eastAsia="仿宋"/>
                <w:kern w:val="0"/>
                <w:szCs w:val="21"/>
              </w:rPr>
              <w:t>计算得分。</w:t>
            </w:r>
          </w:p>
        </w:tc>
      </w:tr>
      <w:tr>
        <w:tblPrEx>
          <w:tblLayout w:type="fixed"/>
          <w:tblCellMar>
            <w:top w:w="0" w:type="dxa"/>
            <w:left w:w="108" w:type="dxa"/>
            <w:bottom w:w="0" w:type="dxa"/>
            <w:right w:w="108" w:type="dxa"/>
          </w:tblCellMar>
        </w:tblPrEx>
        <w:trPr>
          <w:cantSplit/>
          <w:trHeight w:val="454"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7960" w:type="dxa"/>
            <w:gridSpan w:val="2"/>
            <w:tcBorders>
              <w:top w:val="single" w:color="000000" w:sz="4" w:space="0"/>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报名机构为证券公司，按以下</w:t>
            </w:r>
            <w:r>
              <w:rPr>
                <w:rFonts w:ascii="仿宋" w:hAnsi="仿宋" w:eastAsia="仿宋"/>
                <w:kern w:val="0"/>
                <w:szCs w:val="21"/>
              </w:rPr>
              <w:t>2项指标评分</w:t>
            </w:r>
          </w:p>
        </w:tc>
      </w:tr>
      <w:tr>
        <w:tblPrEx>
          <w:tblLayout w:type="fixed"/>
          <w:tblCellMar>
            <w:top w:w="0" w:type="dxa"/>
            <w:left w:w="108" w:type="dxa"/>
            <w:bottom w:w="0" w:type="dxa"/>
            <w:right w:w="108" w:type="dxa"/>
          </w:tblCellMar>
        </w:tblPrEx>
        <w:trPr>
          <w:cantSplit/>
          <w:trHeight w:val="605"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lang w:bidi="ar"/>
              </w:rPr>
              <w:t>资本杠杆率</w:t>
            </w:r>
            <w:r>
              <w:rPr>
                <w:rFonts w:hint="eastAsia" w:ascii="仿宋" w:hAnsi="仿宋" w:eastAsia="仿宋"/>
                <w:kern w:val="0"/>
                <w:szCs w:val="21"/>
              </w:rPr>
              <w:t>（</w:t>
            </w:r>
            <w:r>
              <w:rPr>
                <w:rFonts w:ascii="仿宋" w:hAnsi="仿宋" w:eastAsia="仿宋"/>
                <w:kern w:val="0"/>
                <w:szCs w:val="21"/>
              </w:rPr>
              <w:t>6分）</w:t>
            </w:r>
          </w:p>
        </w:tc>
        <w:tc>
          <w:tcPr>
            <w:tcW w:w="5758" w:type="dxa"/>
            <w:tcBorders>
              <w:top w:val="single" w:color="000000" w:sz="4" w:space="0"/>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根据报名机构的资本杠杆率评分，从高到低排名，排名第</w:t>
            </w:r>
            <w:r>
              <w:rPr>
                <w:rFonts w:ascii="仿宋" w:hAnsi="仿宋" w:eastAsia="仿宋"/>
                <w:kern w:val="0"/>
                <w:szCs w:val="21"/>
              </w:rPr>
              <w:t>1的得满分，其余按照6*</w:t>
            </w:r>
            <w:r>
              <w:rPr>
                <w:rFonts w:hint="eastAsia" w:ascii="仿宋" w:hAnsi="仿宋" w:eastAsia="仿宋" w:cs="仿宋_GB2312"/>
                <w:kern w:val="0"/>
                <w:szCs w:val="21"/>
              </w:rPr>
              <w:t>〔</w:t>
            </w:r>
            <w:r>
              <w:rPr>
                <w:rFonts w:ascii="仿宋" w:hAnsi="仿宋" w:eastAsia="仿宋"/>
                <w:kern w:val="0"/>
                <w:szCs w:val="21"/>
              </w:rPr>
              <w:t>1-（排名-1）/符合条件的券商类报名机构总数</w:t>
            </w:r>
            <w:r>
              <w:rPr>
                <w:rFonts w:hint="eastAsia" w:ascii="仿宋" w:hAnsi="仿宋" w:eastAsia="仿宋" w:cs="仿宋_GB2312"/>
                <w:kern w:val="0"/>
                <w:szCs w:val="21"/>
              </w:rPr>
              <w:t>〕</w:t>
            </w:r>
            <w:r>
              <w:rPr>
                <w:rFonts w:hint="eastAsia" w:ascii="仿宋" w:hAnsi="仿宋" w:eastAsia="仿宋"/>
                <w:kern w:val="0"/>
                <w:szCs w:val="21"/>
              </w:rPr>
              <w:t>计算得分。</w:t>
            </w:r>
          </w:p>
        </w:tc>
      </w:tr>
      <w:tr>
        <w:tblPrEx>
          <w:tblLayout w:type="fixed"/>
          <w:tblCellMar>
            <w:top w:w="0" w:type="dxa"/>
            <w:left w:w="108" w:type="dxa"/>
            <w:bottom w:w="0" w:type="dxa"/>
            <w:right w:w="108" w:type="dxa"/>
          </w:tblCellMar>
        </w:tblPrEx>
        <w:trPr>
          <w:cantSplit/>
          <w:trHeight w:val="741"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lang w:bidi="ar"/>
              </w:rPr>
              <w:t>风险覆盖率</w:t>
            </w:r>
            <w:r>
              <w:rPr>
                <w:rFonts w:hint="eastAsia" w:ascii="仿宋" w:hAnsi="仿宋" w:eastAsia="仿宋"/>
                <w:kern w:val="0"/>
                <w:szCs w:val="21"/>
              </w:rPr>
              <w:t>（</w:t>
            </w:r>
            <w:r>
              <w:rPr>
                <w:rFonts w:ascii="仿宋" w:hAnsi="仿宋" w:eastAsia="仿宋"/>
                <w:kern w:val="0"/>
                <w:szCs w:val="21"/>
              </w:rPr>
              <w:t>6分）</w:t>
            </w:r>
          </w:p>
        </w:tc>
        <w:tc>
          <w:tcPr>
            <w:tcW w:w="5758" w:type="dxa"/>
            <w:tcBorders>
              <w:top w:val="single" w:color="000000" w:sz="4" w:space="0"/>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根据报名机构的风险覆盖率评分，从高到低排名，排名第</w:t>
            </w:r>
            <w:r>
              <w:rPr>
                <w:rFonts w:ascii="仿宋" w:hAnsi="仿宋" w:eastAsia="仿宋"/>
                <w:kern w:val="0"/>
                <w:szCs w:val="21"/>
              </w:rPr>
              <w:t>1的得满分，其余按照6*</w:t>
            </w:r>
            <w:r>
              <w:rPr>
                <w:rFonts w:hint="eastAsia" w:ascii="仿宋" w:hAnsi="仿宋" w:eastAsia="仿宋" w:cs="仿宋_GB2312"/>
                <w:kern w:val="0"/>
                <w:szCs w:val="21"/>
              </w:rPr>
              <w:t>〔</w:t>
            </w:r>
            <w:r>
              <w:rPr>
                <w:rFonts w:ascii="仿宋" w:hAnsi="仿宋" w:eastAsia="仿宋"/>
                <w:kern w:val="0"/>
                <w:szCs w:val="21"/>
              </w:rPr>
              <w:t>1-（排名-1）/符合条件的券商类报名机构总数</w:t>
            </w:r>
            <w:r>
              <w:rPr>
                <w:rFonts w:hint="eastAsia" w:ascii="仿宋" w:hAnsi="仿宋" w:eastAsia="仿宋" w:cs="仿宋_GB2312"/>
                <w:kern w:val="0"/>
                <w:szCs w:val="21"/>
              </w:rPr>
              <w:t>〕</w:t>
            </w:r>
            <w:r>
              <w:rPr>
                <w:rFonts w:hint="eastAsia" w:ascii="仿宋" w:hAnsi="仿宋" w:eastAsia="仿宋"/>
                <w:kern w:val="0"/>
                <w:szCs w:val="21"/>
              </w:rPr>
              <w:t>计算得分。</w:t>
            </w:r>
          </w:p>
        </w:tc>
      </w:tr>
      <w:tr>
        <w:tblPrEx>
          <w:tblLayout w:type="fixed"/>
          <w:tblCellMar>
            <w:top w:w="0" w:type="dxa"/>
            <w:left w:w="108" w:type="dxa"/>
            <w:bottom w:w="0" w:type="dxa"/>
            <w:right w:w="108" w:type="dxa"/>
          </w:tblCellMar>
        </w:tblPrEx>
        <w:trPr>
          <w:cantSplit/>
          <w:trHeight w:val="829" w:hRule="atLeast"/>
          <w:jc w:val="center"/>
        </w:trPr>
        <w:tc>
          <w:tcPr>
            <w:tcW w:w="115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其他因素（</w:t>
            </w:r>
            <w:r>
              <w:rPr>
                <w:rFonts w:ascii="仿宋" w:hAnsi="仿宋" w:eastAsia="仿宋"/>
                <w:kern w:val="0"/>
                <w:szCs w:val="21"/>
              </w:rPr>
              <w:t>12分）</w:t>
            </w:r>
          </w:p>
        </w:tc>
        <w:tc>
          <w:tcPr>
            <w:tcW w:w="220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kern w:val="0"/>
                <w:szCs w:val="21"/>
              </w:rPr>
            </w:pPr>
            <w:r>
              <w:rPr>
                <w:rFonts w:hint="eastAsia" w:ascii="仿宋" w:hAnsi="仿宋" w:eastAsia="仿宋"/>
                <w:kern w:val="0"/>
                <w:szCs w:val="21"/>
              </w:rPr>
              <w:t>发行场所获奖情况（</w:t>
            </w:r>
            <w:r>
              <w:rPr>
                <w:rFonts w:ascii="仿宋" w:hAnsi="仿宋" w:eastAsia="仿宋"/>
                <w:kern w:val="0"/>
                <w:szCs w:val="21"/>
              </w:rPr>
              <w:t>12分）</w:t>
            </w:r>
          </w:p>
        </w:tc>
        <w:tc>
          <w:tcPr>
            <w:tcW w:w="5758" w:type="dxa"/>
            <w:tcBorders>
              <w:top w:val="single" w:color="000000" w:sz="4" w:space="0"/>
              <w:left w:val="nil"/>
              <w:bottom w:val="single" w:color="000000" w:sz="4" w:space="0"/>
              <w:right w:val="single" w:color="000000" w:sz="4" w:space="0"/>
            </w:tcBorders>
            <w:vAlign w:val="center"/>
          </w:tcPr>
          <w:p>
            <w:pPr>
              <w:widowControl/>
              <w:snapToGrid w:val="0"/>
              <w:rPr>
                <w:rFonts w:ascii="仿宋" w:hAnsi="仿宋" w:eastAsia="仿宋"/>
                <w:kern w:val="0"/>
                <w:szCs w:val="21"/>
              </w:rPr>
            </w:pPr>
            <w:r>
              <w:rPr>
                <w:rFonts w:hint="eastAsia" w:ascii="仿宋" w:hAnsi="仿宋" w:eastAsia="仿宋"/>
                <w:kern w:val="0"/>
                <w:szCs w:val="21"/>
              </w:rPr>
              <w:t>由中央国债登记结算有限责任公司、上海证券交易所、深圳证券交易所对各报名机构上年度获奖情况进行评分，各发行场所获奖情况满分为</w:t>
            </w:r>
            <w:r>
              <w:rPr>
                <w:rFonts w:ascii="仿宋" w:hAnsi="仿宋" w:eastAsia="仿宋"/>
                <w:kern w:val="0"/>
                <w:szCs w:val="21"/>
              </w:rPr>
              <w:t>4分。</w:t>
            </w:r>
          </w:p>
        </w:tc>
      </w:tr>
    </w:tbl>
    <w:p>
      <w:pPr>
        <w:rPr>
          <w:rFonts w:ascii="Times New Roman" w:hAnsi="Times New Roman"/>
          <w:szCs w:val="24"/>
        </w:rPr>
        <w:sectPr>
          <w:headerReference r:id="rId3" w:type="default"/>
          <w:footerReference r:id="rId5" w:type="default"/>
          <w:headerReference r:id="rId4" w:type="even"/>
          <w:footerReference r:id="rId6" w:type="even"/>
          <w:pgSz w:w="11906" w:h="16838"/>
          <w:pgMar w:top="1990" w:right="1503" w:bottom="1588" w:left="1503" w:header="851" w:footer="1520" w:gutter="0"/>
          <w:cols w:space="720" w:num="1"/>
          <w:docGrid w:type="lines" w:linePitch="312" w:charSpace="0"/>
        </w:sectPr>
      </w:pPr>
    </w:p>
    <w:p>
      <w:pPr>
        <w:rPr>
          <w:rFonts w:ascii="Times New Roman" w:hAnsi="Times New Roman"/>
          <w:szCs w:val="24"/>
        </w:rPr>
      </w:pPr>
    </w:p>
    <w:p>
      <w:pPr>
        <w:rPr>
          <w:rFonts w:ascii="等线" w:hAnsi="等线" w:eastAsia="等线"/>
        </w:rPr>
      </w:pPr>
    </w:p>
    <w:p>
      <w:pPr>
        <w:spacing w:line="600" w:lineRule="exact"/>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sectPr>
          <w:pgSz w:w="11906" w:h="16838"/>
          <w:pgMar w:top="1990" w:right="1503" w:bottom="1588" w:left="1503" w:header="851" w:footer="1520" w:gutter="0"/>
          <w:cols w:space="720" w:num="1"/>
          <w:titlePg/>
          <w:docGrid w:type="lines" w:linePitch="312" w:charSpace="0"/>
        </w:sect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tbl>
      <w:tblPr>
        <w:tblStyle w:val="6"/>
        <w:tblW w:w="8843" w:type="dxa"/>
        <w:jc w:val="center"/>
        <w:tblInd w:w="0" w:type="dxa"/>
        <w:tblLayout w:type="fixed"/>
        <w:tblCellMar>
          <w:top w:w="0" w:type="dxa"/>
          <w:left w:w="0" w:type="dxa"/>
          <w:bottom w:w="0" w:type="dxa"/>
          <w:right w:w="0" w:type="dxa"/>
        </w:tblCellMar>
      </w:tblPr>
      <w:tblGrid>
        <w:gridCol w:w="4422"/>
        <w:gridCol w:w="4421"/>
      </w:tblGrid>
      <w:tr>
        <w:tblPrEx>
          <w:tblLayout w:type="fixed"/>
          <w:tblCellMar>
            <w:top w:w="0" w:type="dxa"/>
            <w:left w:w="0" w:type="dxa"/>
            <w:bottom w:w="0" w:type="dxa"/>
            <w:right w:w="0" w:type="dxa"/>
          </w:tblCellMar>
        </w:tblPrEx>
        <w:trPr>
          <w:trHeight w:val="680" w:hRule="exact"/>
          <w:jc w:val="center"/>
        </w:trPr>
        <w:tc>
          <w:tcPr>
            <w:tcW w:w="8843" w:type="dxa"/>
            <w:gridSpan w:val="2"/>
            <w:tcBorders>
              <w:top w:val="nil"/>
              <w:left w:val="nil"/>
              <w:bottom w:val="single" w:color="auto" w:sz="12" w:space="0"/>
              <w:right w:val="nil"/>
            </w:tcBorders>
            <w:vAlign w:val="center"/>
          </w:tcPr>
          <w:p>
            <w:pPr>
              <w:spacing w:line="576" w:lineRule="exact"/>
              <w:ind w:left="368" w:leftChars="175" w:right="315" w:rightChars="150"/>
              <w:jc w:val="left"/>
              <w:textAlignment w:val="center"/>
              <w:rPr>
                <w:rFonts w:ascii="仿宋" w:hAnsi="仿宋" w:eastAsia="仿宋"/>
                <w:sz w:val="28"/>
                <w:szCs w:val="32"/>
              </w:rPr>
            </w:pPr>
            <w:r>
              <w:rPr>
                <w:rFonts w:hint="eastAsia" w:ascii="黑体" w:hAnsi="黑体" w:eastAsia="黑体"/>
                <w:sz w:val="32"/>
                <w:szCs w:val="32"/>
              </w:rPr>
              <w:t>信息公开选项：</w:t>
            </w:r>
            <w:r>
              <w:rPr>
                <w:rFonts w:ascii="黑体" w:hAnsi="黑体" w:eastAsia="黑体"/>
                <w:sz w:val="32"/>
                <w:szCs w:val="32"/>
              </w:rPr>
              <w:fldChar w:fldCharType="begin"/>
            </w:r>
            <w:r>
              <w:rPr>
                <w:rFonts w:ascii="黑体" w:hAnsi="黑体" w:eastAsia="黑体"/>
                <w:sz w:val="32"/>
                <w:szCs w:val="32"/>
              </w:rPr>
              <w:instrText xml:space="preserve"> </w:instrText>
            </w:r>
            <w:r>
              <w:rPr>
                <w:rFonts w:hint="eastAsia" w:ascii="黑体" w:hAnsi="黑体" w:eastAsia="黑体"/>
                <w:sz w:val="32"/>
                <w:szCs w:val="32"/>
              </w:rPr>
              <w:instrText xml:space="preserve">DOCPROPERTY  信息公开选项  \* MERGEFORMAT</w:instrText>
            </w:r>
            <w:r>
              <w:rPr>
                <w:rFonts w:ascii="黑体" w:hAnsi="黑体" w:eastAsia="黑体"/>
                <w:sz w:val="32"/>
                <w:szCs w:val="32"/>
              </w:rPr>
              <w:instrText xml:space="preserve"> </w:instrText>
            </w:r>
            <w:r>
              <w:rPr>
                <w:rFonts w:ascii="黑体" w:hAnsi="黑体" w:eastAsia="黑体"/>
                <w:sz w:val="32"/>
                <w:szCs w:val="32"/>
              </w:rPr>
              <w:fldChar w:fldCharType="separate"/>
            </w:r>
            <w:r>
              <w:rPr>
                <w:rFonts w:hint="eastAsia" w:ascii="黑体" w:hAnsi="黑体" w:eastAsia="黑体"/>
                <w:sz w:val="32"/>
                <w:szCs w:val="32"/>
              </w:rPr>
              <w:t>主动公开</w:t>
            </w:r>
            <w:r>
              <w:rPr>
                <w:rFonts w:ascii="黑体" w:hAnsi="黑体" w:eastAsia="黑体"/>
                <w:sz w:val="32"/>
                <w:szCs w:val="32"/>
              </w:rPr>
              <w:fldChar w:fldCharType="end"/>
            </w:r>
          </w:p>
        </w:tc>
      </w:tr>
      <w:tr>
        <w:tblPrEx>
          <w:tblLayout w:type="fixed"/>
          <w:tblCellMar>
            <w:top w:w="0" w:type="dxa"/>
            <w:left w:w="0" w:type="dxa"/>
            <w:bottom w:w="0" w:type="dxa"/>
            <w:right w:w="0" w:type="dxa"/>
          </w:tblCellMar>
        </w:tblPrEx>
        <w:trPr>
          <w:trHeight w:val="680" w:hRule="exact"/>
          <w:jc w:val="center"/>
        </w:trPr>
        <w:tc>
          <w:tcPr>
            <w:tcW w:w="4422" w:type="dxa"/>
            <w:tcBorders>
              <w:top w:val="single" w:color="auto" w:sz="12" w:space="0"/>
              <w:left w:val="nil"/>
              <w:bottom w:val="single" w:color="auto" w:sz="12" w:space="0"/>
              <w:right w:val="nil"/>
            </w:tcBorders>
            <w:vAlign w:val="center"/>
          </w:tcPr>
          <w:p>
            <w:pPr>
              <w:spacing w:line="576" w:lineRule="exact"/>
              <w:ind w:left="368" w:leftChars="175"/>
              <w:textAlignment w:val="center"/>
              <w:rPr>
                <w:rFonts w:ascii="仿宋" w:hAnsi="仿宋" w:eastAsia="仿宋"/>
                <w:sz w:val="28"/>
                <w:szCs w:val="32"/>
              </w:rPr>
            </w:pPr>
            <w:r>
              <w:rPr>
                <w:rFonts w:hint="eastAsia" w:ascii="仿宋" w:hAnsi="仿宋" w:eastAsia="仿宋"/>
                <w:sz w:val="28"/>
                <w:szCs w:val="32"/>
              </w:rPr>
              <w:t>西藏自治区财政厅办公室</w:t>
            </w:r>
          </w:p>
        </w:tc>
        <w:tc>
          <w:tcPr>
            <w:tcW w:w="4421" w:type="dxa"/>
            <w:tcBorders>
              <w:top w:val="single" w:color="auto" w:sz="12" w:space="0"/>
              <w:left w:val="nil"/>
              <w:bottom w:val="single" w:color="auto" w:sz="12" w:space="0"/>
              <w:right w:val="nil"/>
            </w:tcBorders>
            <w:vAlign w:val="center"/>
          </w:tcPr>
          <w:p>
            <w:pPr>
              <w:spacing w:line="576" w:lineRule="exact"/>
              <w:ind w:right="368" w:rightChars="175"/>
              <w:jc w:val="right"/>
              <w:textAlignment w:val="center"/>
              <w:rPr>
                <w:rFonts w:ascii="仿宋" w:hAnsi="仿宋" w:eastAsia="仿宋"/>
                <w:sz w:val="28"/>
                <w:szCs w:val="32"/>
              </w:rPr>
            </w:pPr>
            <w:r>
              <w:rPr>
                <w:rFonts w:ascii="仿宋" w:hAnsi="仿宋" w:eastAsia="仿宋"/>
                <w:color w:val="000000"/>
                <w:sz w:val="28"/>
                <w:szCs w:val="28"/>
              </w:rPr>
              <w:fldChar w:fldCharType="begin"/>
            </w:r>
            <w:r>
              <w:rPr>
                <w:rFonts w:ascii="仿宋" w:hAnsi="仿宋" w:eastAsia="仿宋"/>
                <w:color w:val="000000"/>
                <w:sz w:val="28"/>
                <w:szCs w:val="28"/>
              </w:rPr>
              <w:instrText xml:space="preserve"> </w:instrText>
            </w:r>
            <w:r>
              <w:rPr>
                <w:rFonts w:hint="eastAsia" w:ascii="仿宋" w:hAnsi="仿宋" w:eastAsia="仿宋"/>
                <w:color w:val="000000"/>
                <w:sz w:val="28"/>
                <w:szCs w:val="28"/>
              </w:rPr>
              <w:instrText xml:space="preserve">DOCPROPERTY  印发日期  \* MERGEFORMAT</w:instrText>
            </w:r>
            <w:r>
              <w:rPr>
                <w:rFonts w:ascii="仿宋" w:hAnsi="仿宋" w:eastAsia="仿宋"/>
                <w:color w:val="000000"/>
                <w:sz w:val="28"/>
                <w:szCs w:val="28"/>
              </w:rPr>
              <w:instrText xml:space="preserve"> </w:instrText>
            </w:r>
            <w:r>
              <w:rPr>
                <w:rFonts w:ascii="仿宋" w:hAnsi="仿宋" w:eastAsia="仿宋"/>
                <w:color w:val="000000"/>
                <w:sz w:val="28"/>
                <w:szCs w:val="28"/>
              </w:rPr>
              <w:fldChar w:fldCharType="separate"/>
            </w:r>
            <w:r>
              <w:rPr>
                <w:rFonts w:ascii="仿宋" w:hAnsi="仿宋" w:eastAsia="仿宋"/>
                <w:color w:val="000000"/>
                <w:sz w:val="28"/>
                <w:szCs w:val="28"/>
              </w:rPr>
              <w:t>2020年4月30日</w:t>
            </w:r>
            <w:r>
              <w:rPr>
                <w:rFonts w:ascii="仿宋" w:hAnsi="仿宋" w:eastAsia="仿宋"/>
                <w:color w:val="000000"/>
                <w:sz w:val="28"/>
                <w:szCs w:val="28"/>
              </w:rPr>
              <w:fldChar w:fldCharType="end"/>
            </w:r>
            <w:r>
              <w:rPr>
                <w:rFonts w:hint="eastAsia" w:ascii="仿宋" w:hAnsi="仿宋" w:eastAsia="仿宋"/>
                <w:sz w:val="28"/>
                <w:szCs w:val="32"/>
              </w:rPr>
              <w:t>印发</w:t>
            </w:r>
          </w:p>
        </w:tc>
      </w:tr>
    </w:tbl>
    <w:p>
      <w:pPr>
        <w:spacing w:line="320" w:lineRule="exact"/>
        <w:ind w:firstLine="420" w:firstLineChars="200"/>
        <w:jc w:val="right"/>
        <w:textAlignment w:val="center"/>
        <w:rPr>
          <w:rFonts w:ascii="方正小标宋简体" w:hAnsi="宋体" w:eastAsia="方正小标宋简体"/>
          <w:sz w:val="44"/>
          <w:szCs w:val="44"/>
        </w:rPr>
      </w:pPr>
      <w:r>
        <w:pict>
          <v:shape id="_x0000_s1027" o:spid="_x0000_s1027" o:spt="75" type="#_x0000_t75" style="position:absolute;left:0pt;margin-left:299.05pt;margin-top:6.5pt;height:34.5pt;width:141pt;z-index:251658240;mso-width-relative:page;mso-height-relative:page;" filled="f" o:preferrelative="t" stroked="f" coordsize="21600,21600">
            <v:path/>
            <v:fill on="f" focussize="0,0"/>
            <v:stroke on="f" joinstyle="miter"/>
            <v:imagedata r:id="rId10" o:title="发文_藏财债〔2020〕31号"/>
            <o:lock v:ext="edit" aspectratio="t"/>
          </v:shape>
        </w:pict>
      </w:r>
    </w:p>
    <w:sectPr>
      <w:pgSz w:w="11906" w:h="16838"/>
      <w:pgMar w:top="1990" w:right="1503" w:bottom="1588" w:left="1503" w:header="851" w:footer="15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MS-Mincho,Bold">
    <w:altName w:val="Dotum"/>
    <w:panose1 w:val="00000000000000000000"/>
    <w:charset w:val="81"/>
    <w:family w:val="auto"/>
    <w:pitch w:val="default"/>
    <w:sig w:usb0="00000000" w:usb1="00000000" w:usb2="00000010" w:usb3="00000000" w:csb0="00080000" w:csb1="00000000"/>
  </w:font>
  <w:font w:name="等线">
    <w:altName w:val="Arial Unicode MS"/>
    <w:panose1 w:val="00000000000000000000"/>
    <w:charset w:val="86"/>
    <w:family w:val="auto"/>
    <w:pitch w:val="default"/>
    <w:sig w:usb0="00000000" w:usb1="00000000" w:usb2="00000016" w:usb3="00000000" w:csb0="0004000F" w:csb1="00000000"/>
  </w:font>
  <w:font w:name="PMingLiU,Bold">
    <w:altName w:val="PMingLiU"/>
    <w:panose1 w:val="00000000000000000000"/>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otum">
    <w:panose1 w:val="020B0600000101010101"/>
    <w:charset w:val="81"/>
    <w:family w:val="auto"/>
    <w:pitch w:val="default"/>
    <w:sig w:usb0="B00002AF" w:usb1="69D77CFB" w:usb2="00000030" w:usb3="00000000" w:csb0="4008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spacing w:line="220" w:lineRule="exact"/>
      <w:ind w:left="420" w:leftChars="200" w:right="420" w:rightChars="200"/>
      <w:jc w:val="right"/>
      <w:textAlignment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spacing w:line="220" w:lineRule="exact"/>
      <w:ind w:left="420" w:leftChars="200" w:right="420" w:rightChars="200"/>
      <w:textAlignment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documentProtection w:edit="readOnly" w:enforcement="1" w:cryptProviderType="rsaFull" w:cryptAlgorithmClass="hash" w:cryptAlgorithmType="typeAny" w:cryptAlgorithmSid="4" w:cryptSpinCount="0" w:hash="uPtYFs2A8jgYjyMf2toJw6TSdC0=" w:salt="67wtrxVIiykEC8A0wxZL3Q=="/>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2A65DA17-B78B-47CC-A0A6-394460232EBA}"/>
    <w:docVar w:name="DocumentName" w:val="关于印发西藏自治区政府债券承销团组建及管理办法的通知"/>
  </w:docVars>
  <w:rsids>
    <w:rsidRoot w:val="00172A27"/>
    <w:rsid w:val="00034103"/>
    <w:rsid w:val="00052FEC"/>
    <w:rsid w:val="00154A05"/>
    <w:rsid w:val="00172A27"/>
    <w:rsid w:val="001F2AD0"/>
    <w:rsid w:val="002472F9"/>
    <w:rsid w:val="002F3639"/>
    <w:rsid w:val="00307E62"/>
    <w:rsid w:val="00332A27"/>
    <w:rsid w:val="003C0F93"/>
    <w:rsid w:val="003F2FED"/>
    <w:rsid w:val="00453C9A"/>
    <w:rsid w:val="00457276"/>
    <w:rsid w:val="00536E5B"/>
    <w:rsid w:val="005F49C4"/>
    <w:rsid w:val="00637E34"/>
    <w:rsid w:val="006525C6"/>
    <w:rsid w:val="00695728"/>
    <w:rsid w:val="006F306F"/>
    <w:rsid w:val="007E6FFD"/>
    <w:rsid w:val="008012EC"/>
    <w:rsid w:val="009F4534"/>
    <w:rsid w:val="009F5C12"/>
    <w:rsid w:val="00A14527"/>
    <w:rsid w:val="00A466D9"/>
    <w:rsid w:val="00A86362"/>
    <w:rsid w:val="00A93652"/>
    <w:rsid w:val="00AC0E18"/>
    <w:rsid w:val="00C411BC"/>
    <w:rsid w:val="00C66696"/>
    <w:rsid w:val="00C8558C"/>
    <w:rsid w:val="00CE28BC"/>
    <w:rsid w:val="00CF5EC8"/>
    <w:rsid w:val="00D035D8"/>
    <w:rsid w:val="00DC2E94"/>
    <w:rsid w:val="00DE7083"/>
    <w:rsid w:val="00ED2DA0"/>
    <w:rsid w:val="00EF69F3"/>
    <w:rsid w:val="00F46CAB"/>
    <w:rsid w:val="00FC73AF"/>
    <w:rsid w:val="3483794F"/>
    <w:rsid w:val="571C1B0F"/>
    <w:rsid w:val="65DF1CC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character" w:customStyle="1" w:styleId="8">
    <w:name w:val="页脚 Char"/>
    <w:link w:val="3"/>
    <w:uiPriority w:val="0"/>
    <w:rPr>
      <w:sz w:val="18"/>
      <w:szCs w:val="18"/>
    </w:rPr>
  </w:style>
  <w:style w:type="character" w:customStyle="1" w:styleId="9">
    <w:name w:val="页眉 Char"/>
    <w:link w:val="4"/>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589</Words>
  <Characters>3360</Characters>
  <Lines>28</Lines>
  <Paragraphs>7</Paragraphs>
  <TotalTime>0</TotalTime>
  <ScaleCrop>false</ScaleCrop>
  <LinksUpToDate>false</LinksUpToDate>
  <CharactersWithSpaces>3942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2020-04-30T02:55:00Z</dcterms:created>
  <dc:creator>微软用户</dc:creator>
  <cp:lastModifiedBy>CN=秘书科/OU=办公室/OU=西藏自治区财政厅/O=TIBET</cp:lastModifiedBy>
  <cp:lastPrinted>2018-03-13T03:56:00Z</cp:lastPrinted>
  <dcterms:modified xsi:type="dcterms:W3CDTF">2020-04-30T03:13:13Z</dcterms:modified>
  <dc:title>_x0001_</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标题">
    <vt:lpwstr>西藏自治区财政厅关于印发《西藏自治区政府债券承销团组建及管理办法》的通知</vt:lpwstr>
  </property>
  <property fmtid="{D5CDD505-2E9C-101B-9397-08002B2CF9AE}" pid="3" name="发文编号">
    <vt:lpwstr>藏财债〔2020〕31号</vt:lpwstr>
  </property>
  <property fmtid="{D5CDD505-2E9C-101B-9397-08002B2CF9AE}" pid="4" name="正文部分">
    <vt:lpwstr>正文部分</vt:lpwstr>
  </property>
  <property fmtid="{D5CDD505-2E9C-101B-9397-08002B2CF9AE}" pid="5" name="主送单位">
    <vt:lpwstr>各金融机构</vt:lpwstr>
  </property>
  <property fmtid="{D5CDD505-2E9C-101B-9397-08002B2CF9AE}" pid="6" name="抄送单位">
    <vt:lpwstr>抄送单位</vt:lpwstr>
  </property>
  <property fmtid="{D5CDD505-2E9C-101B-9397-08002B2CF9AE}" pid="7" name="印发日期">
    <vt:lpwstr>2020年4月30日</vt:lpwstr>
  </property>
  <property fmtid="{D5CDD505-2E9C-101B-9397-08002B2CF9AE}" pid="8" name="信息公开选项">
    <vt:lpwstr>主动公开</vt:lpwstr>
  </property>
  <property fmtid="{D5CDD505-2E9C-101B-9397-08002B2CF9AE}" pid="9" name="签发人">
    <vt:lpwstr>尹李峰, 云丹</vt:lpwstr>
  </property>
  <property fmtid="{D5CDD505-2E9C-101B-9397-08002B2CF9AE}" pid="10" name="KSOProductBuildVer">
    <vt:lpwstr>2052-10.8.0.6058</vt:lpwstr>
  </property>
</Properties>
</file>