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30"/>
          <w:szCs w:val="30"/>
          <w:rFonts w:ascii="仿宋_GB2312" w:eastAsia="仿宋_GB2312" w:hAnsi="仿宋_GB2312" w:hint="default"/>
        </w:rPr>
        <w:autoSpaceDE w:val="1"/>
        <w:autoSpaceDN w:val="1"/>
      </w:pPr>
      <w:r>
        <w:rPr>
          <w:b w:val="1"/>
          <w:color w:val="auto"/>
          <w:position w:val="0"/>
          <w:sz w:val="30"/>
          <w:szCs w:val="30"/>
          <w:rFonts w:ascii="仿宋_GB2312" w:eastAsia="仿宋_GB2312" w:hAnsi="仿宋_GB2312" w:hint="default"/>
        </w:rPr>
        <w:t>附件16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auto"/>
          <w:position w:val="0"/>
          <w:sz w:val="32"/>
          <w:szCs w:val="32"/>
          <w:rFonts w:ascii="黑体" w:eastAsia="黑体" w:hAnsi="黑体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黑体" w:eastAsia="黑体" w:hAnsi="黑体" w:hint="default"/>
        </w:rPr>
        <w:t>地方政府债券债权托管应急申请书</w:t>
      </w:r>
    </w:p>
    <w:p>
      <w:pPr>
        <w:pStyle w:val="PO156"/>
        <w:numPr>
          <w:ilvl w:val="0"/>
          <w:numId w:val="0"/>
        </w:numPr>
        <w:jc w:val="center"/>
        <w:spacing w:lineRule="atLeast" w:line="300" w:before="0" w:after="0"/>
        <w:ind w:right="0" w:firstLine="0"/>
        <w:rPr>
          <w:b w:val="1"/>
          <w:color w:val="auto"/>
          <w:position w:val="0"/>
          <w:sz w:val="24"/>
          <w:szCs w:val="24"/>
          <w:rFonts w:ascii="黑体" w:eastAsia="黑体" w:hAnsi="黑体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黑体" w:eastAsia="黑体" w:hAnsi="黑体" w:hint="default"/>
        </w:rPr>
        <w:t>业务凭单号：</w:t>
      </w:r>
      <w:r>
        <w:rPr>
          <w:b w:val="1"/>
          <w:color w:val="auto"/>
          <w:position w:val="0"/>
          <w:sz w:val="24"/>
          <w:szCs w:val="24"/>
          <w:u w:val="single"/>
          <w:rFonts w:ascii="黑体" w:eastAsia="黑体" w:hAnsi="黑体" w:hint="default"/>
        </w:rPr>
        <w:t>A02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65"/>
        <w:rPr>
          <w:color w:val="auto"/>
          <w:position w:val="0"/>
          <w:sz w:val="24"/>
          <w:szCs w:val="24"/>
          <w:rFonts w:ascii="宋体" w:eastAsia="Calibri" w:hAnsi="Calibri" w:hint="default"/>
        </w:rPr>
        <w:autoSpaceDE w:val="1"/>
        <w:autoSpaceDN w:val="1"/>
      </w:pPr>
      <w:r>
        <w:rPr>
          <w:spacing w:val="-40"/>
          <w:b w:val="1"/>
          <w:color w:val="auto"/>
          <w:position w:val="0"/>
          <w:sz w:val="21"/>
          <w:szCs w:val="21"/>
          <w:u w:val="single"/>
          <w:rFonts w:ascii="Calibri" w:eastAsia="Calibri" w:hAnsi="Calibri" w:hint="default"/>
        </w:rPr>
        <w:t xml:space="preserve">                                                                                   </w:t>
      </w:r>
      <w:r>
        <w:rPr>
          <w:color w:val="auto"/>
          <w:position w:val="0"/>
          <w:sz w:val="21"/>
          <w:szCs w:val="21"/>
          <w:rFonts w:ascii="Calibri" w:eastAsia="Calibri" w:hAnsi="Calibri" w:hint="default"/>
        </w:rPr>
        <w:t xml:space="preserve"> 　</w:t>
      </w:r>
      <w:r>
        <w:rPr>
          <w:color w:val="auto"/>
          <w:position w:val="0"/>
          <w:sz w:val="24"/>
          <w:szCs w:val="24"/>
          <w:rFonts w:ascii="宋体" w:eastAsia="Calibri" w:hAnsi="Calibri" w:hint="default"/>
        </w:rPr>
        <w:t>：</w:t>
      </w:r>
    </w:p>
    <w:p>
      <w:pPr>
        <w:numPr>
          <w:ilvl w:val="0"/>
          <w:numId w:val="0"/>
        </w:numPr>
        <w:jc w:val="both"/>
        <w:spacing w:lineRule="auto" w:line="240" w:before="62" w:after="0"/>
        <w:ind w:right="0" w:firstLine="0"/>
        <w:rPr>
          <w:color w:val="auto"/>
          <w:position w:val="0"/>
          <w:sz w:val="21"/>
          <w:szCs w:val="21"/>
          <w:rFonts w:ascii="宋体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 xml:space="preserve">    </w:t>
      </w:r>
      <w:r>
        <w:rPr>
          <w:color w:val="auto"/>
          <w:position w:val="0"/>
          <w:sz w:val="24"/>
          <w:szCs w:val="24"/>
          <w:rFonts w:ascii="宋体" w:eastAsia="Calibri" w:hAnsi="Calibri" w:hint="default"/>
        </w:rPr>
        <w:t>由于财政部政府债券发行系统客户端出现故障，现以书面形式发送</w:t>
      </w:r>
      <w:r>
        <w:rPr>
          <w:color w:val="auto"/>
          <w:position w:val="0"/>
          <w:sz w:val="24"/>
          <w:szCs w:val="24"/>
          <w:u w:val="single"/>
          <w:rFonts w:ascii="宋体" w:eastAsia="宋体" w:hAnsi="宋体" w:hint="default"/>
        </w:rPr>
        <w:t xml:space="preserve">    </w:t>
      </w:r>
      <w:r>
        <w:rPr>
          <w:color w:val="auto"/>
          <w:position w:val="0"/>
          <w:sz w:val="24"/>
          <w:szCs w:val="24"/>
          <w:u w:val="single"/>
          <w:rFonts w:ascii="宋体" w:eastAsia="Calibri" w:hAnsi="Calibri" w:hint="default"/>
        </w:rPr>
        <w:t xml:space="preserve">     </w:t>
      </w:r>
      <w:r>
        <w:rPr>
          <w:color w:val="auto"/>
          <w:position w:val="0"/>
          <w:sz w:val="24"/>
          <w:szCs w:val="24"/>
          <w:u w:val="single"/>
          <w:rFonts w:ascii="宋体" w:eastAsia="宋体" w:hAnsi="宋体" w:hint="default"/>
        </w:rPr>
        <w:t xml:space="preserve">  </w:t>
      </w:r>
      <w:r>
        <w:rPr>
          <w:color w:val="auto"/>
          <w:position w:val="0"/>
          <w:sz w:val="24"/>
          <w:szCs w:val="24"/>
          <w:rFonts w:ascii="宋体" w:eastAsia="Calibri" w:hAnsi="Calibri" w:hint="default"/>
        </w:rPr>
        <w:t>（债券名称）发行债权托管应急申请书。我单位承诺：本债权托管应急申请书由</w:t>
      </w:r>
      <w:r>
        <w:rPr>
          <w:color w:val="auto"/>
          <w:position w:val="0"/>
          <w:sz w:val="24"/>
          <w:szCs w:val="24"/>
          <w:rFonts w:ascii="宋体" w:eastAsia="Calibri" w:hAnsi="Calibri" w:hint="default"/>
        </w:rPr>
        <w:t>我单位授权经办人填写，内容真实、准确、完整，具有与系统投标同等效力，我</w:t>
      </w:r>
      <w:r>
        <w:rPr>
          <w:color w:val="auto"/>
          <w:position w:val="0"/>
          <w:sz w:val="24"/>
          <w:szCs w:val="24"/>
          <w:rFonts w:ascii="宋体" w:eastAsia="Calibri" w:hAnsi="Calibri" w:hint="default"/>
        </w:rPr>
        <w:t>单位自愿承担应急投标所产生风险。</w:t>
      </w:r>
    </w:p>
    <w:p>
      <w:pPr>
        <w:numPr>
          <w:ilvl w:val="0"/>
          <w:numId w:val="0"/>
        </w:numPr>
        <w:jc w:val="both"/>
        <w:spacing w:lineRule="auto" w:line="240" w:before="62" w:after="0"/>
        <w:ind w:right="0" w:firstLine="2310"/>
        <w:rPr>
          <w:color w:val="auto"/>
          <w:position w:val="0"/>
          <w:sz w:val="21"/>
          <w:szCs w:val="21"/>
          <w:rFonts w:ascii="宋体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               </w:t>
      </w:r>
      <w:r>
        <w:rPr>
          <w:b w:val="1"/>
          <w:color w:val="auto"/>
          <w:position w:val="0"/>
          <w:sz w:val="21"/>
          <w:szCs w:val="21"/>
          <w:rFonts w:ascii="宋体" w:eastAsia="宋体" w:hAnsi="宋体" w:hint="default"/>
        </w:rPr>
        <w:t xml:space="preserve"> 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Calibri" w:hAnsi="Calibri" w:hint="default"/>
        </w:rPr>
        <w:t>投标方名称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: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1"/>
          <w:szCs w:val="21"/>
          <w:rFonts w:ascii="宋体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Calibri" w:hAnsi="Calibri" w:hint="default"/>
        </w:rPr>
        <w:t>自营托管账号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:</w:t>
      </w:r>
      <w:r>
        <w:rPr>
          <w:spacing w:val="-20"/>
          <w:color w:val="auto"/>
          <w:position w:val="0"/>
          <w:sz w:val="44"/>
          <w:szCs w:val="44"/>
          <w:rFonts w:ascii="宋体" w:eastAsia="Calibri" w:hAnsi="Calibri" w:hint="default"/>
        </w:rPr>
        <w:t>□□□□□□□□□□□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1"/>
          <w:szCs w:val="21"/>
          <w:rFonts w:ascii="宋体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宋体" w:eastAsia="Calibri" w:hAnsi="Calibri" w:hint="default"/>
        </w:rPr>
        <w:t>申请日期</w:t>
      </w:r>
      <w:r>
        <w:rPr>
          <w:b w:val="1"/>
          <w:color w:val="auto"/>
          <w:position w:val="0"/>
          <w:sz w:val="21"/>
          <w:szCs w:val="21"/>
          <w:rFonts w:ascii="宋体" w:eastAsia="宋体" w:hAnsi="宋体" w:hint="default"/>
        </w:rPr>
        <w:t>:</w:t>
      </w:r>
      <w:r>
        <w:rPr>
          <w:b w:val="1"/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</w:t>
      </w:r>
      <w:r>
        <w:rPr>
          <w:b w:val="1"/>
          <w:color w:val="auto"/>
          <w:position w:val="0"/>
          <w:sz w:val="21"/>
          <w:szCs w:val="21"/>
          <w:rFonts w:ascii="宋体" w:eastAsia="Calibri" w:hAnsi="Calibri" w:hint="default"/>
        </w:rPr>
        <w:t>年</w:t>
      </w:r>
      <w:r>
        <w:rPr>
          <w:b w:val="1"/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</w:t>
      </w:r>
      <w:r>
        <w:rPr>
          <w:b w:val="1"/>
          <w:color w:val="auto"/>
          <w:position w:val="0"/>
          <w:sz w:val="21"/>
          <w:szCs w:val="21"/>
          <w:rFonts w:ascii="宋体" w:eastAsia="Calibri" w:hAnsi="Calibri" w:hint="default"/>
        </w:rPr>
        <w:t>月</w:t>
      </w:r>
      <w:r>
        <w:rPr>
          <w:b w:val="1"/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</w:t>
      </w:r>
      <w:r>
        <w:rPr>
          <w:b w:val="1"/>
          <w:color w:val="auto"/>
          <w:position w:val="0"/>
          <w:sz w:val="21"/>
          <w:szCs w:val="21"/>
          <w:rFonts w:ascii="宋体" w:eastAsia="Calibri" w:hAnsi="Calibri" w:hint="default"/>
        </w:rPr>
        <w:t>日【要素</w:t>
      </w:r>
      <w:r>
        <w:rPr>
          <w:b w:val="1"/>
          <w:color w:val="auto"/>
          <w:position w:val="0"/>
          <w:sz w:val="21"/>
          <w:szCs w:val="21"/>
          <w:rFonts w:ascii="宋体" w:eastAsia="宋体" w:hAnsi="宋体" w:hint="default"/>
        </w:rPr>
        <w:t>1</w:t>
      </w:r>
      <w:r>
        <w:rPr>
          <w:b w:val="1"/>
          <w:color w:val="auto"/>
          <w:position w:val="0"/>
          <w:sz w:val="21"/>
          <w:szCs w:val="21"/>
          <w:rFonts w:ascii="宋体" w:eastAsia="Calibri" w:hAnsi="Calibri" w:hint="default"/>
        </w:rPr>
        <w:t>】</w:t>
      </w:r>
      <w:r>
        <w:rPr>
          <w:b w:val="1"/>
          <w:color w:val="auto"/>
          <w:position w:val="0"/>
          <w:sz w:val="21"/>
          <w:szCs w:val="21"/>
          <w:rFonts w:ascii="宋体" w:eastAsia="宋体" w:hAnsi="宋体" w:hint="default"/>
        </w:rPr>
        <w:t xml:space="preserve">  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1"/>
          <w:szCs w:val="21"/>
          <w:rFonts w:ascii="宋体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宋体" w:eastAsia="Calibri" w:hAnsi="Calibri" w:hint="default"/>
        </w:rPr>
        <w:t>债券代码</w:t>
      </w:r>
      <w:r>
        <w:rPr>
          <w:b w:val="1"/>
          <w:color w:val="auto"/>
          <w:position w:val="0"/>
          <w:sz w:val="21"/>
          <w:szCs w:val="21"/>
          <w:rFonts w:ascii="宋体" w:eastAsia="宋体" w:hAnsi="宋体" w:hint="default"/>
        </w:rPr>
        <w:t>:</w:t>
      </w:r>
      <w:r>
        <w:rPr>
          <w:b w:val="1"/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</w:t>
      </w:r>
      <w:r>
        <w:rPr>
          <w:b w:val="1"/>
          <w:color w:val="auto"/>
          <w:position w:val="0"/>
          <w:sz w:val="21"/>
          <w:szCs w:val="21"/>
          <w:rFonts w:ascii="宋体" w:eastAsia="Calibri" w:hAnsi="Calibri" w:hint="default"/>
        </w:rPr>
        <w:t>【要素</w:t>
      </w:r>
      <w:r>
        <w:rPr>
          <w:b w:val="1"/>
          <w:color w:val="auto"/>
          <w:position w:val="0"/>
          <w:sz w:val="21"/>
          <w:szCs w:val="21"/>
          <w:rFonts w:ascii="宋体" w:eastAsia="宋体" w:hAnsi="宋体" w:hint="default"/>
        </w:rPr>
        <w:t>2</w:t>
      </w:r>
      <w:r>
        <w:rPr>
          <w:b w:val="1"/>
          <w:color w:val="auto"/>
          <w:position w:val="0"/>
          <w:sz w:val="21"/>
          <w:szCs w:val="21"/>
          <w:rFonts w:ascii="宋体" w:eastAsia="Calibri" w:hAnsi="Calibri" w:hint="default"/>
        </w:rPr>
        <w:t>】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      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5988" w:type="dxa"/>
        <w:tblLook w:val="0004A0" w:firstRow="1" w:lastRow="0" w:firstColumn="1" w:lastColumn="0" w:noHBand="0" w:noVBand="1"/>
        <w:tblLayout w:type="fixed"/>
      </w:tblPr>
      <w:tblGrid>
        <w:gridCol w:w="2943"/>
        <w:gridCol w:w="3045"/>
      </w:tblGrid>
      <w:tr>
        <w:trPr>
          <w:hidden w:val="0"/>
        </w:trPr>
        <w:tc>
          <w:tcPr>
            <w:tcW w:type="dxa" w:w="2943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632"/>
              <w:rPr>
                <w:b w:val="1"/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托管机构</w:t>
            </w:r>
          </w:p>
        </w:tc>
        <w:tc>
          <w:tcPr>
            <w:tcW w:type="dxa" w:w="3045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债权托管面额（亿元）</w:t>
            </w:r>
          </w:p>
        </w:tc>
      </w:tr>
      <w:tr>
        <w:trPr>
          <w:hidden w:val="0"/>
        </w:trPr>
        <w:tc>
          <w:tcPr>
            <w:tcW w:type="dxa" w:w="2943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中央国债登记公司【要素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3</w:t>
            </w:r>
            <w:r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】</w:t>
            </w:r>
          </w:p>
        </w:tc>
        <w:tc>
          <w:tcPr>
            <w:tcW w:type="dxa" w:w="3045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autoSpaceDE w:val="1"/>
              <w:autoSpaceDN w:val="1"/>
            </w:pPr>
          </w:p>
        </w:tc>
      </w:tr>
      <w:tr>
        <w:trPr>
          <w:hidden w:val="0"/>
        </w:trPr>
        <w:tc>
          <w:tcPr>
            <w:tcW w:type="dxa" w:w="2943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证券登记公司（上海）</w:t>
            </w:r>
          </w:p>
        </w:tc>
        <w:tc>
          <w:tcPr>
            <w:tcW w:type="dxa" w:w="3045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autoSpaceDE w:val="1"/>
              <w:autoSpaceDN w:val="1"/>
            </w:pPr>
          </w:p>
        </w:tc>
      </w:tr>
      <w:tr>
        <w:trPr>
          <w:hidden w:val="0"/>
        </w:trPr>
        <w:tc>
          <w:tcPr>
            <w:tcW w:type="dxa" w:w="2943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证券登记公司（深圳）</w:t>
            </w:r>
          </w:p>
        </w:tc>
        <w:tc>
          <w:tcPr>
            <w:tcW w:type="dxa" w:w="3045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autoSpaceDE w:val="1"/>
              <w:autoSpaceDN w:val="1"/>
            </w:pPr>
          </w:p>
        </w:tc>
      </w:tr>
      <w:tr>
        <w:trPr>
          <w:hidden w:val="0"/>
        </w:trPr>
        <w:tc>
          <w:tcPr>
            <w:tcW w:type="dxa" w:w="2943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合计【要素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4</w:t>
            </w:r>
            <w:r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】</w:t>
            </w:r>
          </w:p>
        </w:tc>
        <w:tc>
          <w:tcPr>
            <w:tcW w:type="dxa" w:w="3045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autoSpaceDE w:val="1"/>
              <w:autoSpaceDN w:val="1"/>
            </w:pPr>
          </w:p>
        </w:tc>
      </w:tr>
    </w:tbl>
    <w:p>
      <w:pPr>
        <w:pStyle w:val="PO156"/>
        <w:numPr>
          <w:ilvl w:val="0"/>
          <w:numId w:val="0"/>
        </w:numPr>
        <w:jc w:val="left"/>
        <w:spacing w:lineRule="auto" w:line="240" w:before="62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宋体" w:eastAsia="宋体" w:hAnsi="宋体" w:hint="default"/>
        </w:rPr>
        <w:t>电子密押</w:t>
      </w:r>
      <w:r>
        <w:rPr>
          <w:spacing w:val="-40"/>
          <w:b w:val="1"/>
          <w:color w:val="auto"/>
          <w:position w:val="0"/>
          <w:sz w:val="21"/>
          <w:szCs w:val="21"/>
          <w:rFonts w:ascii="宋体" w:eastAsia="宋体" w:hAnsi="宋体" w:hint="default"/>
        </w:rPr>
        <w:t>：</w:t>
      </w:r>
      <w:r>
        <w:rPr>
          <w:spacing w:val="-40"/>
          <w:b w:val="1"/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       </w:t>
      </w:r>
      <w:r>
        <w:rPr>
          <w:spacing w:val="-40"/>
          <w:b w:val="1"/>
          <w:color w:val="auto"/>
          <w:position w:val="0"/>
          <w:sz w:val="21"/>
          <w:szCs w:val="21"/>
          <w:rFonts w:ascii="宋体" w:eastAsia="宋体" w:hAnsi="宋体" w:hint="default"/>
        </w:rPr>
        <w:t xml:space="preserve">            </w:t>
      </w:r>
      <w:r>
        <w:rPr>
          <w:spacing w:val="-40"/>
          <w:b w:val="1"/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       </w:t>
      </w:r>
      <w:r>
        <w:rPr>
          <w:spacing w:val="-40"/>
          <w:b w:val="1"/>
          <w:color w:val="auto"/>
          <w:position w:val="0"/>
          <w:sz w:val="21"/>
          <w:szCs w:val="21"/>
          <w:rFonts w:ascii="宋体" w:eastAsia="宋体" w:hAnsi="宋体" w:hint="default"/>
        </w:rPr>
        <w:t xml:space="preserve">          </w:t>
      </w:r>
      <w:r>
        <w:rPr>
          <w:spacing w:val="-40"/>
          <w:b w:val="1"/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       </w:t>
      </w:r>
      <w:r>
        <w:rPr>
          <w:spacing w:val="-40"/>
          <w:b w:val="1"/>
          <w:color w:val="auto"/>
          <w:position w:val="0"/>
          <w:sz w:val="21"/>
          <w:szCs w:val="21"/>
          <w:rFonts w:ascii="宋体" w:eastAsia="宋体" w:hAnsi="宋体" w:hint="default"/>
        </w:rPr>
        <w:t xml:space="preserve">           </w:t>
      </w:r>
      <w:r>
        <w:rPr>
          <w:spacing w:val="-40"/>
          <w:b w:val="1"/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       </w:t>
      </w:r>
      <w:r>
        <w:rPr>
          <w:spacing w:val="-40"/>
          <w:color w:val="auto"/>
          <w:position w:val="-6"/>
          <w:sz w:val="44"/>
          <w:szCs w:val="44"/>
          <w:rFonts w:ascii="宋体" w:eastAsia="宋体" w:hAnsi="宋体" w:hint="default"/>
        </w:rPr>
        <w:t xml:space="preserve"> </w:t>
      </w:r>
      <w:r>
        <w:rPr>
          <w:spacing w:val="-40"/>
          <w:b w:val="1"/>
          <w:color w:val="auto"/>
          <w:position w:val="0"/>
          <w:sz w:val="21"/>
          <w:szCs w:val="21"/>
          <w:rFonts w:ascii="宋体" w:eastAsia="宋体" w:hAnsi="宋体" w:hint="default"/>
        </w:rPr>
        <w:t xml:space="preserve">(  </w:t>
      </w:r>
      <w:r>
        <w:rPr>
          <w:b w:val="1"/>
          <w:color w:val="auto"/>
          <w:position w:val="0"/>
          <w:sz w:val="21"/>
          <w:szCs w:val="21"/>
          <w:rFonts w:ascii="宋体" w:eastAsia="宋体" w:hAnsi="宋体" w:hint="default"/>
        </w:rPr>
        <w:t>16位数字)</w:t>
      </w:r>
    </w:p>
    <w:p>
      <w:pPr>
        <w:pStyle w:val="PO156"/>
        <w:numPr>
          <w:ilvl w:val="0"/>
          <w:numId w:val="0"/>
        </w:numPr>
        <w:jc w:val="left"/>
        <w:spacing w:lineRule="auto" w:line="240" w:before="62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联系人：</w:t>
      </w:r>
      <w:r>
        <w:rPr>
          <w:spacing w:val="-40"/>
          <w:b w:val="1"/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                                       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 　　　　　　　　  </w:t>
      </w:r>
    </w:p>
    <w:p>
      <w:pPr>
        <w:pStyle w:val="PO156"/>
        <w:numPr>
          <w:ilvl w:val="0"/>
          <w:numId w:val="0"/>
        </w:numPr>
        <w:jc w:val="left"/>
        <w:spacing w:lineRule="auto" w:line="240" w:before="62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联系电话：</w:t>
      </w:r>
      <w:r>
        <w:rPr>
          <w:spacing w:val="-40"/>
          <w:b w:val="1"/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                                       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  　　　　　　　　　</w:t>
      </w:r>
    </w:p>
    <w:p>
      <w:pPr>
        <w:pStyle w:val="PO156"/>
        <w:numPr>
          <w:ilvl w:val="0"/>
          <w:numId w:val="0"/>
        </w:numPr>
        <w:jc w:val="center"/>
        <w:spacing w:lineRule="auto" w:line="240" w:before="62" w:after="0"/>
        <w:ind w:right="0" w:firstLine="0"/>
        <w:rPr>
          <w:b w:val="1"/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宋体" w:eastAsia="宋体" w:hAnsi="宋体" w:hint="default"/>
        </w:rPr>
        <w:t>单位印章</w:t>
      </w:r>
    </w:p>
    <w:p>
      <w:pPr>
        <w:pStyle w:val="PO156"/>
        <w:numPr>
          <w:ilvl w:val="0"/>
          <w:numId w:val="0"/>
        </w:numPr>
        <w:jc w:val="left"/>
        <w:spacing w:lineRule="auto" w:line="240" w:before="62" w:after="0"/>
        <w:ind w:right="0" w:firstLine="0"/>
        <w:rPr>
          <w:b w:val="1"/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宋体" w:eastAsia="宋体" w:hAnsi="宋体" w:hint="default"/>
        </w:rPr>
        <w:t>注意事项：</w:t>
      </w:r>
    </w:p>
    <w:p>
      <w:pPr>
        <w:pStyle w:val="PO156"/>
        <w:numPr>
          <w:ilvl w:val="0"/>
          <w:numId w:val="0"/>
        </w:numPr>
        <w:jc w:val="left"/>
        <w:spacing w:lineRule="atLeast" w:line="180" w:before="0" w:after="0"/>
        <w:ind w:left="420"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1、应急申请书填写须清晰，不得涂改。</w:t>
      </w:r>
    </w:p>
    <w:p>
      <w:pPr>
        <w:pStyle w:val="PO156"/>
        <w:numPr>
          <w:ilvl w:val="0"/>
          <w:numId w:val="0"/>
        </w:numPr>
        <w:jc w:val="left"/>
        <w:spacing w:lineRule="atLeast" w:line="180" w:before="0" w:after="0"/>
        <w:ind w:left="420"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2、本应急申请书进行电子密押计算时共有4项要素，其中要素1在电子密押器中已默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认显示，如与应急申请书不符时，请手工修正密押器的要素1；要素2-4按应急申请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书所填内容顺序输入密押器，输入内容与应急申请书填写内容必须完全一致。</w:t>
      </w:r>
    </w:p>
    <w:p>
      <w:pPr>
        <w:pStyle w:val="PO156"/>
        <w:numPr>
          <w:ilvl w:val="0"/>
          <w:numId w:val="0"/>
        </w:numPr>
        <w:jc w:val="left"/>
        <w:spacing w:lineRule="atLeast" w:line="180" w:before="0" w:after="0"/>
        <w:ind w:left="420"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3、仅公告本次发行所使用发行室电话</w:t>
      </w:r>
    </w:p>
    <w:p>
      <w:pPr>
        <w:pStyle w:val="PO156"/>
        <w:numPr>
          <w:ilvl w:val="0"/>
          <w:numId w:val="0"/>
        </w:numPr>
        <w:jc w:val="left"/>
        <w:spacing w:lineRule="atLeast" w:line="180" w:before="0" w:after="0"/>
        <w:ind w:left="420" w:right="0" w:firstLine="315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地方债发行室电话：010-88170535、0536、0537、0538   传真： 010-88170906</w:t>
      </w:r>
    </w:p>
    <w:p>
      <w:pPr>
        <w:pStyle w:val="PO156"/>
        <w:numPr>
          <w:ilvl w:val="0"/>
          <w:numId w:val="0"/>
        </w:numPr>
        <w:jc w:val="left"/>
        <w:spacing w:lineRule="atLeast" w:line="180" w:before="0" w:after="0"/>
        <w:ind w:left="420" w:right="0" w:firstLine="315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上海分公司发行室电话：010-88170051、0052、0053、0054   传真：010-88170966</w:t>
      </w:r>
    </w:p>
    <w:p>
      <w:pPr>
        <w:pStyle w:val="PO156"/>
        <w:numPr>
          <w:ilvl w:val="0"/>
          <w:numId w:val="0"/>
        </w:numPr>
        <w:jc w:val="left"/>
        <w:spacing w:lineRule="atLeast" w:line="180" w:before="0" w:after="0"/>
        <w:ind w:left="420" w:right="0" w:firstLine="315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深圳客服中心发行室电话：010-88170031、0032、0033、0034   传真：010-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88170960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汉仪楷体简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rFonts w:ascii="Calibri" w:eastAsia="Calibri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basedOn w:val="PO1"/>
    <w:next w:val="PO1"/>
    <w:link w:val="PO161"/>
    <w:qFormat/>
    <w:uiPriority w:val="7"/>
    <w:pPr>
      <w:autoSpaceDE w:val="1"/>
      <w:autoSpaceDN w:val="1"/>
      <w:keepLines/>
      <w:keepNext/>
      <w:widowControl/>
      <w:wordWrap/>
    </w:pPr>
    <w:rPr>
      <w:b/>
      <w:shd w:val="clear"/>
      <w:sz w:val="44"/>
      <w:szCs w:val="44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basedOn w:val="PO1"/>
    <w:next w:val="PO1"/>
    <w:link w:val="PO162"/>
    <w:qFormat/>
    <w:uiPriority w:val="9"/>
    <w:pPr>
      <w:autoSpaceDE w:val="1"/>
      <w:autoSpaceDN w:val="1"/>
      <w:keepLines/>
      <w:keepNext/>
      <w:widowControl/>
      <w:wordWrap/>
    </w:pPr>
    <w:rPr>
      <w:b/>
      <w:shd w:val="clear"/>
      <w:sz w:val="32"/>
      <w:szCs w:val="32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styleId="PO151" w:type="paragraph">
    <w:name w:val="annotation subject"/>
    <w:link w:val="PO169"/>
    <w:qFormat/>
    <w:uiPriority w:val="151"/>
    <w:unhideWhenUsed/>
    <w:rPr>
      <w:b/>
      <w:shd w:val="clear"/>
      <w:sz w:val="20"/>
      <w:szCs w:val="20"/>
      <w:w w:val="100"/>
    </w:rPr>
  </w:style>
  <w:style w:styleId="PO152" w:type="paragraph">
    <w:name w:val="annotation text"/>
    <w:basedOn w:val="PO1"/>
    <w:link w:val="PO168"/>
    <w:qFormat/>
    <w:uiPriority w:val="152"/>
    <w:unhideWhenUsed/>
    <w:pPr>
      <w:autoSpaceDE w:val="1"/>
      <w:autoSpaceDN w:val="1"/>
      <w:widowControl/>
      <w:wordWrap/>
    </w:pPr>
  </w:style>
  <w:style w:styleId="PO153" w:type="paragraph">
    <w:name w:val="Balloon Text"/>
    <w:basedOn w:val="PO1"/>
    <w:link w:val="PO170"/>
    <w:qFormat/>
    <w:uiPriority w:val="153"/>
    <w:unhideWhenUsed/>
    <w:rPr>
      <w:shd w:val="clear"/>
      <w:sz w:val="18"/>
      <w:szCs w:val="18"/>
      <w:w w:val="100"/>
    </w:rPr>
  </w:style>
  <w:style w:styleId="PO154" w:type="paragraph">
    <w:name w:val="footer"/>
    <w:basedOn w:val="PO1"/>
    <w:link w:val="PO160"/>
    <w:qFormat/>
    <w:uiPriority w:val="154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5" w:type="paragraph">
    <w:name w:val="header"/>
    <w:basedOn w:val="PO1"/>
    <w:link w:val="PO159"/>
    <w:qFormat/>
    <w:uiPriority w:val="155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6" w:type="paragraph">
    <w:name w:val="Normal (Web)"/>
    <w:basedOn w:val="PO1"/>
    <w:qFormat/>
    <w:uiPriority w:val="156"/>
    <w:unhideWhenUsed/>
    <w:pPr>
      <w:autoSpaceDE w:val="1"/>
      <w:autoSpaceDN w:val="1"/>
      <w:widowControl/>
      <w:wordWrap/>
    </w:pPr>
    <w:rPr>
      <w:rFonts w:ascii="宋体" w:eastAsia="宋体" w:hAnsi="宋体"/>
      <w:shd w:val="clear"/>
      <w:sz w:val="24"/>
      <w:szCs w:val="24"/>
      <w:w w:val="100"/>
    </w:rPr>
  </w:style>
  <w:style w:styleId="PO157" w:type="character">
    <w:name w:val="Hyperlink"/>
    <w:basedOn w:val="PO2"/>
    <w:qFormat/>
    <w:uiPriority w:val="157"/>
    <w:unhideWhenUsed/>
    <w:rPr>
      <w:color w:val="0000FF"/>
      <w:shd w:val="clear"/>
      <w:sz w:val="20"/>
      <w:szCs w:val="20"/>
      <w:u w:val="single"/>
      <w:w w:val="100"/>
    </w:rPr>
  </w:style>
  <w:style w:styleId="PO158" w:type="character">
    <w:name w:val="annotation reference"/>
    <w:basedOn w:val="PO2"/>
    <w:qFormat/>
    <w:uiPriority w:val="158"/>
    <w:unhideWhenUsed/>
    <w:rPr>
      <w:shd w:val="clear"/>
      <w:sz w:val="21"/>
      <w:szCs w:val="21"/>
      <w:w w:val="100"/>
    </w:rPr>
  </w:style>
  <w:style w:customStyle="1" w:styleId="PO159" w:type="character">
    <w:name w:val="页眉 Char"/>
    <w:basedOn w:val="PO2"/>
    <w:link w:val="PO155"/>
    <w:qFormat/>
    <w:uiPriority w:val="159"/>
    <w:semiHidden/>
    <w:rPr>
      <w:shd w:val="clear"/>
      <w:sz w:val="18"/>
      <w:szCs w:val="18"/>
      <w:w w:val="100"/>
    </w:rPr>
  </w:style>
  <w:style w:customStyle="1" w:styleId="PO160" w:type="character">
    <w:name w:val="页脚 Char"/>
    <w:basedOn w:val="PO2"/>
    <w:link w:val="PO154"/>
    <w:qFormat/>
    <w:uiPriority w:val="160"/>
    <w:rPr>
      <w:shd w:val="clear"/>
      <w:sz w:val="18"/>
      <w:szCs w:val="18"/>
      <w:w w:val="100"/>
    </w:rPr>
  </w:style>
  <w:style w:customStyle="1" w:styleId="PO161" w:type="character">
    <w:name w:val="标题 1 Char"/>
    <w:basedOn w:val="PO2"/>
    <w:link w:val="PO7"/>
    <w:qFormat/>
    <w:uiPriority w:val="161"/>
    <w:rPr>
      <w:rFonts w:ascii="Calibri" w:eastAsia="Times New Roman" w:hAnsi="Calibri"/>
      <w:b/>
      <w:shd w:val="clear"/>
      <w:sz w:val="44"/>
      <w:szCs w:val="44"/>
      <w:w w:val="100"/>
    </w:rPr>
  </w:style>
  <w:style w:customStyle="1" w:styleId="PO162" w:type="character">
    <w:name w:val="标题 3 Char"/>
    <w:basedOn w:val="PO2"/>
    <w:link w:val="PO9"/>
    <w:qFormat/>
    <w:uiPriority w:val="162"/>
    <w:rPr>
      <w:rFonts w:ascii="Calibri" w:eastAsia="Times New Roman" w:hAnsi="Calibri"/>
      <w:b/>
      <w:shd w:val="clear"/>
      <w:sz w:val="32"/>
      <w:szCs w:val="32"/>
      <w:w w:val="100"/>
    </w:rPr>
  </w:style>
  <w:style w:customStyle="1" w:styleId="PO163" w:type="character">
    <w:name w:val="批注框文本 Char"/>
    <w:basedOn w:val="PO2"/>
    <w:qFormat/>
    <w:uiPriority w:val="163"/>
    <w:rPr>
      <w:rFonts w:ascii="Calibri" w:eastAsia="Times New Roman" w:hAnsi="Calibri"/>
      <w:shd w:val="clear"/>
      <w:sz w:val="18"/>
      <w:szCs w:val="18"/>
      <w:w w:val="100"/>
    </w:rPr>
  </w:style>
  <w:style w:customStyle="1" w:styleId="PO164" w:type="character">
    <w:name w:val="批注主题 Char"/>
    <w:qFormat/>
    <w:uiPriority w:val="164"/>
    <w:rPr>
      <w:rFonts w:ascii="Calibri" w:eastAsia="Times New Roman" w:hAnsi="Calibri"/>
      <w:b/>
      <w:shd w:val="clear"/>
      <w:sz w:val="20"/>
      <w:szCs w:val="20"/>
      <w:w w:val="100"/>
    </w:rPr>
  </w:style>
  <w:style w:customStyle="1" w:styleId="PO165" w:type="character">
    <w:name w:val="批注文字 Char"/>
    <w:basedOn w:val="PO2"/>
    <w:qFormat/>
    <w:uiPriority w:val="165"/>
    <w:semiHidden/>
    <w:rPr>
      <w:rFonts w:ascii="Calibri" w:eastAsia="Times New Roman" w:hAnsi="Calibri"/>
      <w:shd w:val="clear"/>
      <w:sz w:val="20"/>
      <w:szCs w:val="20"/>
      <w:w w:val="100"/>
    </w:rPr>
  </w:style>
  <w:style w:customStyle="1" w:styleId="PO166" w:type="character">
    <w:name w:val="gz-nei-K Char"/>
    <w:basedOn w:val="PO2"/>
    <w:link w:val="PO167"/>
    <w:qFormat/>
    <w:uiPriority w:val="166"/>
    <w:rPr>
      <w:rFonts w:ascii="Times New Roman" w:eastAsia="Times New Roman" w:hAnsi="Times New Roman"/>
      <w:shd w:val="clear"/>
      <w:sz w:val="20"/>
      <w:szCs w:val="20"/>
      <w:w w:val="100"/>
    </w:rPr>
  </w:style>
  <w:style w:customStyle="1" w:styleId="PO167" w:type="paragraph">
    <w:name w:val="gz-nei-K"/>
    <w:basedOn w:val="PO1"/>
    <w:link w:val="PO166"/>
    <w:qFormat/>
    <w:uiPriority w:val="167"/>
    <w:pPr>
      <w:autoSpaceDE w:val="1"/>
      <w:autoSpaceDN w:val="1"/>
      <w:ind w:firstLine="200"/>
      <w:widowControl/>
      <w:wordWrap/>
    </w:pPr>
    <w:rPr>
      <w:rFonts w:ascii="Times New Roman" w:eastAsia="汉仪楷体简" w:hAnsi="Times New Roman"/>
      <w:shd w:val="clear"/>
      <w:sz w:val="20"/>
      <w:szCs w:val="20"/>
      <w:w w:val="100"/>
    </w:rPr>
  </w:style>
  <w:style w:customStyle="1" w:styleId="PO168" w:type="character">
    <w:name w:val="批注文字 Char1"/>
    <w:basedOn w:val="PO2"/>
    <w:link w:val="PO152"/>
    <w:qFormat/>
    <w:uiPriority w:val="168"/>
    <w:semiHidden/>
    <w:rPr>
      <w:rFonts w:ascii="Calibri" w:eastAsia="Times New Roman" w:hAnsi="Calibri"/>
      <w:shd w:val="clear"/>
      <w:sz w:val="20"/>
      <w:szCs w:val="20"/>
      <w:w w:val="100"/>
    </w:rPr>
  </w:style>
  <w:style w:customStyle="1" w:styleId="PO169" w:type="character">
    <w:name w:val="批注主题 Char1"/>
    <w:basedOn w:val="PO168"/>
    <w:link w:val="PO151"/>
    <w:qFormat/>
    <w:uiPriority w:val="169"/>
    <w:semiHidden/>
    <w:rPr>
      <w:rFonts w:ascii="Calibri" w:eastAsia="Times New Roman" w:hAnsi="Calibri"/>
      <w:b/>
      <w:shd w:val="clear"/>
      <w:sz w:val="20"/>
      <w:szCs w:val="20"/>
      <w:w w:val="100"/>
    </w:rPr>
  </w:style>
  <w:style w:customStyle="1" w:styleId="PO170" w:type="character">
    <w:name w:val="批注框文本 Char1"/>
    <w:basedOn w:val="PO2"/>
    <w:link w:val="PO153"/>
    <w:qFormat/>
    <w:uiPriority w:val="170"/>
    <w:semiHidden/>
    <w:rPr>
      <w:rFonts w:ascii="Calibri" w:eastAsia="Times New Roman" w:hAnsi="Calibri"/>
      <w:shd w:val="clear"/>
      <w:sz w:val="18"/>
      <w:szCs w:val="18"/>
      <w:w w:val="100"/>
    </w:rPr>
  </w:style>
  <w:style w:customStyle="1" w:styleId="PO171" w:type="paragraph">
    <w:name w:val="无间隔1"/>
    <w:qFormat/>
    <w:uiPriority w:val="171"/>
    <w:pPr>
      <w:autoSpaceDE w:val="1"/>
      <w:autoSpaceDN w:val="1"/>
      <w:jc w:val="both"/>
      <w:wordWrap/>
    </w:pPr>
    <w:rPr>
      <w:rFonts w:ascii="Calibri" w:eastAsia="黑体" w:hAnsi="Calibri"/>
      <w:shd w:val="clear"/>
      <w:sz w:val="21"/>
      <w:szCs w:val="21"/>
      <w:w w:val="100"/>
    </w:rPr>
  </w:style>
  <w:style w:customStyle="1" w:styleId="PO172" w:type="paragraph">
    <w:name w:val="_Style 1"/>
    <w:basedOn w:val="PO1"/>
    <w:qFormat/>
    <w:uiPriority w:val="172"/>
    <w:pPr>
      <w:autoSpaceDE w:val="1"/>
      <w:autoSpaceDN w:val="1"/>
      <w:ind w:firstLine="420"/>
      <w:widowControl/>
      <w:wordWrap/>
    </w:pPr>
  </w:style>
  <w:style w:customStyle="1" w:styleId="PO173" w:type="paragraph">
    <w:name w:val="列出段落2"/>
    <w:basedOn w:val="PO1"/>
    <w:qFormat/>
    <w:uiPriority w:val="173"/>
    <w:pPr>
      <w:autoSpaceDE w:val="1"/>
      <w:autoSpaceDN w:val="1"/>
      <w:ind w:firstLine="420"/>
      <w:widowControl/>
      <w:wordWrap/>
    </w:pPr>
    <w:rPr>
      <w:rFonts w:ascii="宋体" w:eastAsia="黑体" w:hAnsi="宋体"/>
      <w:shd w:val="clear"/>
      <w:sz w:val="20"/>
      <w:szCs w:val="20"/>
      <w:w w:val="100"/>
    </w:rPr>
  </w:style>
  <w:style w:customStyle="1" w:styleId="PO174" w:type="paragraph">
    <w:name w:val="列出段落1"/>
    <w:basedOn w:val="PO1"/>
    <w:qFormat/>
    <w:uiPriority w:val="174"/>
    <w:pPr>
      <w:autoSpaceDE w:val="1"/>
      <w:autoSpaceDN w:val="1"/>
      <w:ind w:firstLine="420"/>
      <w:widowControl/>
      <w:wordWrap/>
    </w:pPr>
  </w:style>
  <w:style w:customStyle="1" w:styleId="PO175" w:type="paragraph">
    <w:name w:val="修订1"/>
    <w:qFormat/>
    <w:uiPriority w:val="175"/>
    <w:semiHidden/>
    <w:rPr>
      <w:rFonts w:ascii="Calibri" w:eastAsia="Calibri" w:hAnsi="Calibri"/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1203</Characters>
  <CharactersWithSpaces>0</CharactersWithSpaces>
  <Company>Microsoft</Company>
  <DocSecurity>0</DocSecurity>
  <HyperlinksChanged>false</HyperlinksChanged>
  <Lines>8</Lines>
  <LinksUpToDate>false</LinksUpToDate>
  <Pages>1</Pages>
  <Paragraphs>2</Paragraphs>
  <Words>179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王桂</dc:creator>
  <cp:lastModifiedBy/>
  <dc:title>地方政府债券发行服务指南</dc:title>
  <dcterms:modified xsi:type="dcterms:W3CDTF">2020-02-26T02:25:00Z</dcterms:modified>
</cp:coreProperties>
</file>