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tLeast" w:line="560" w:before="0" w:after="0"/>
        <w:ind w:right="0" w:firstLine="0"/>
        <w:tabs>
          <w:tab w:val="left" w:pos="8222"/>
        </w:tabs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_GB2312" w:eastAsia="仿宋_GB2312" w:hAnsi="仿宋_GB2312" w:hint="default"/>
        </w:rPr>
        <w:t xml:space="preserve">附件15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黑体" w:eastAsia="黑体" w:hAnsi="黑体" w:hint="default"/>
        </w:rPr>
        <w:t>地方政府债券发行应急投标书</w:t>
      </w:r>
    </w:p>
    <w:p>
      <w:pPr>
        <w:pStyle w:val="PO156"/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24"/>
          <w:szCs w:val="24"/>
          <w:u w:val="single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黑体" w:eastAsia="黑体" w:hAnsi="黑体" w:hint="default"/>
        </w:rPr>
        <w:t>业务凭单号：</w:t>
      </w:r>
      <w:r>
        <w:rPr>
          <w:b w:val="1"/>
          <w:color w:val="auto"/>
          <w:position w:val="0"/>
          <w:sz w:val="24"/>
          <w:szCs w:val="24"/>
          <w:u w:val="single"/>
          <w:rFonts w:ascii="黑体" w:eastAsia="黑体" w:hAnsi="黑体" w:hint="default"/>
        </w:rPr>
        <w:t>A01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80"/>
        <w:rPr>
          <w:color w:val="auto"/>
          <w:position w:val="0"/>
          <w:sz w:val="24"/>
          <w:szCs w:val="24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由于财政部政府债券发行系统客户端出现故障，现以书面形式发送</w:t>
      </w:r>
      <w:r>
        <w:rPr>
          <w:color w:val="auto"/>
          <w:position w:val="0"/>
          <w:sz w:val="24"/>
          <w:szCs w:val="24"/>
          <w:u w:val="single"/>
          <w:rFonts w:ascii="宋体" w:eastAsia="宋体" w:hAnsi="宋体" w:hint="default"/>
        </w:rPr>
        <w:t xml:space="preserve">      </w:t>
      </w:r>
      <w:r>
        <w:rPr>
          <w:color w:val="auto"/>
          <w:position w:val="0"/>
          <w:sz w:val="24"/>
          <w:szCs w:val="24"/>
          <w:u w:val="single"/>
          <w:rFonts w:ascii="宋体" w:eastAsia="Calibri" w:hAnsi="Calibri" w:hint="default"/>
        </w:rPr>
        <w:t xml:space="preserve">   </w:t>
      </w:r>
      <w:r>
        <w:rPr>
          <w:color w:val="auto"/>
          <w:position w:val="0"/>
          <w:sz w:val="24"/>
          <w:szCs w:val="24"/>
          <w:u w:val="single"/>
          <w:rFonts w:ascii="宋体" w:eastAsia="Calibri" w:hAnsi="Calibri" w:hint="default"/>
        </w:rPr>
        <w:t>（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债券名称）发行应急投标书。我单位承诺：本应急投标书由我单位授权经办人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填写，内容真实、准确、完整，具有与系统投标同等效力，我单位自愿承担应急</w:t>
      </w:r>
      <w:r>
        <w:rPr>
          <w:color w:val="auto"/>
          <w:position w:val="0"/>
          <w:sz w:val="24"/>
          <w:szCs w:val="24"/>
          <w:rFonts w:ascii="宋体" w:eastAsia="Calibri" w:hAnsi="Calibri" w:hint="default"/>
        </w:rPr>
        <w:t>投标所产生风险。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Calibri" w:hAnsi="Calibri" w:hint="default"/>
        </w:rPr>
        <w:t>投标方名称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u w:val="single"/>
          <w:rFonts w:ascii="宋体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Calibri" w:hAnsi="Calibri" w:hint="default"/>
        </w:rPr>
        <w:t>自营托管账号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spacing w:val="-20"/>
          <w:color w:val="auto"/>
          <w:position w:val="0"/>
          <w:sz w:val="44"/>
          <w:szCs w:val="44"/>
          <w:rFonts w:ascii="宋体" w:eastAsia="Calibri" w:hAnsi="Calibri" w:hint="default"/>
        </w:rPr>
        <w:t>□□□□□□□□□□□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投标日期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年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月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日【要素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1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】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债券代码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:</w:t>
      </w: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【要素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2</w:t>
      </w:r>
      <w:r>
        <w:rPr>
          <w:b w:val="1"/>
          <w:color w:val="auto"/>
          <w:position w:val="0"/>
          <w:sz w:val="21"/>
          <w:szCs w:val="21"/>
          <w:rFonts w:ascii="宋体" w:eastAsia="Calibri" w:hAnsi="Calibri" w:hint="default"/>
        </w:rPr>
        <w:t>】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65" w:type="dxa"/>
        <w:tblLook w:val="0004A0" w:firstRow="1" w:lastRow="0" w:firstColumn="1" w:lastColumn="0" w:noHBand="0" w:noVBand="1"/>
        <w:tblLayout w:type="fixed"/>
      </w:tblPr>
      <w:tblGrid>
        <w:gridCol w:w="1890"/>
        <w:gridCol w:w="1890"/>
        <w:gridCol w:w="1922"/>
        <w:gridCol w:w="1963"/>
      </w:tblGrid>
      <w:tr>
        <w:trPr>
          <w:hidden w:val="0"/>
        </w:trPr>
        <w:tc>
          <w:tcPr>
            <w:tcW w:type="dxa" w:w="3780"/>
            <w:vAlign w:val="bottom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投标标位（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%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或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元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/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百元面值）</w:t>
            </w:r>
          </w:p>
        </w:tc>
        <w:tc>
          <w:tcPr>
            <w:tcW w:type="dxa" w:w="3885"/>
            <w:vAlign w:val="bottom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投标量（亿元）</w:t>
            </w: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1 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【要素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】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-325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投标量【要素</w:t>
            </w:r>
            <w:r>
              <w:rPr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4</w:t>
            </w:r>
            <w:r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】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-325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2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3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4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5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标位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6</w:t>
            </w:r>
          </w:p>
        </w:tc>
        <w:tc>
          <w:tcPr>
            <w:tcW w:type="dxa" w:w="189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922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投标量</w:t>
            </w:r>
          </w:p>
        </w:tc>
        <w:tc>
          <w:tcPr>
            <w:tcW w:type="dxa" w:w="1963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3780"/>
            <w:vAlign w:val="bottom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t>合计</w:t>
            </w:r>
          </w:p>
        </w:tc>
        <w:tc>
          <w:tcPr>
            <w:tcW w:type="dxa" w:w="3885"/>
            <w:vAlign w:val="bottom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宋体" w:eastAsia="Calibri" w:hAnsi="Calibri" w:hint="default"/>
              </w:rPr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left"/>
        <w:spacing w:lineRule="atLeast" w:line="200" w:before="62" w:afterAutospacing="1" w:after="280"/>
        <w:ind w:right="0" w:firstLine="204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（注：标位不够可自行添加）</w:t>
      </w:r>
    </w:p>
    <w:p>
      <w:pPr>
        <w:pStyle w:val="PO156"/>
        <w:numPr>
          <w:ilvl w:val="0"/>
          <w:numId w:val="0"/>
        </w:numPr>
        <w:jc w:val="left"/>
        <w:spacing w:lineRule="atLeast" w:line="200" w:before="62" w:afterAutospacing="1" w:after="28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电子密押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           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</w:t>
      </w:r>
      <w:r>
        <w:rPr>
          <w:spacing w:val="-40"/>
          <w:color w:val="auto"/>
          <w:position w:val="-6"/>
          <w:sz w:val="44"/>
          <w:szCs w:val="44"/>
          <w:rFonts w:ascii="宋体" w:eastAsia="宋体" w:hAnsi="宋体" w:hint="default"/>
        </w:rPr>
        <w:t xml:space="preserve"> </w:t>
      </w:r>
      <w:r>
        <w:rPr>
          <w:spacing w:val="-40"/>
          <w:b w:val="1"/>
          <w:color w:val="auto"/>
          <w:position w:val="0"/>
          <w:sz w:val="21"/>
          <w:szCs w:val="21"/>
          <w:rFonts w:ascii="宋体" w:eastAsia="宋体" w:hAnsi="宋体" w:hint="default"/>
        </w:rPr>
        <w:t xml:space="preserve">(  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16位数字)</w:t>
      </w:r>
    </w:p>
    <w:p>
      <w:pPr>
        <w:pStyle w:val="PO156"/>
        <w:numPr>
          <w:ilvl w:val="0"/>
          <w:numId w:val="0"/>
        </w:numPr>
        <w:jc w:val="left"/>
        <w:spacing w:lineRule="atLeast" w:line="200" w:before="62" w:afterAutospacing="1" w:after="28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联系人：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　　　　　　　　  联系电话：</w:t>
      </w:r>
      <w:r>
        <w:rPr>
          <w:spacing w:val="-40"/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　　　　　　　　　</w:t>
      </w:r>
    </w:p>
    <w:p>
      <w:pPr>
        <w:pStyle w:val="PO156"/>
        <w:numPr>
          <w:ilvl w:val="0"/>
          <w:numId w:val="0"/>
        </w:numPr>
        <w:jc w:val="center"/>
        <w:spacing w:lineRule="atLeast" w:line="200" w:before="62" w:afterAutospacing="1" w:after="280"/>
        <w:ind w:righ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单位印章</w:t>
      </w:r>
    </w:p>
    <w:p>
      <w:pPr>
        <w:pStyle w:val="PO156"/>
        <w:numPr>
          <w:ilvl w:val="0"/>
          <w:numId w:val="0"/>
        </w:numPr>
        <w:jc w:val="left"/>
        <w:spacing w:lineRule="atLeast" w:line="100" w:before="62" w:afterAutospacing="1" w:after="280"/>
        <w:ind w:right="0" w:firstLine="0"/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注意事项：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1、应急投标书填写须清晰，不得涂改。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2、本应急投标书进行电子密押计算时共有4项要素，其中要素1在电子密押器中已默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认显示，如与应急投标书不符时，请手工修正密押器的要素1；要素2-4按应急投标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书所填内容顺序输入密押器，输入内容与应急投标书填写内容必须完全一致。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3、仅公告本次发行所使用发行室电话</w:t>
      </w:r>
    </w:p>
    <w:p>
      <w:pPr>
        <w:pStyle w:val="PO156"/>
        <w:numPr>
          <w:ilvl w:val="0"/>
          <w:numId w:val="0"/>
        </w:numPr>
        <w:jc w:val="both"/>
        <w:spacing w:lineRule="auto" w:line="360" w:before="0" w:after="0"/>
        <w:ind w:right="0" w:firstLine="84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地方债发行室电话：010-88170535、0536、0537、0538   传真： 010-88170906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315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上海分公司发行室电话：010-88170051、0052、0053、0054   传真：010-88170966</w:t>
      </w:r>
    </w:p>
    <w:p>
      <w:pPr>
        <w:pStyle w:val="PO156"/>
        <w:numPr>
          <w:ilvl w:val="0"/>
          <w:numId w:val="0"/>
        </w:numPr>
        <w:jc w:val="left"/>
        <w:spacing w:lineRule="atLeast" w:line="180" w:before="0" w:after="0"/>
        <w:ind w:left="420" w:right="0" w:firstLine="315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深圳客服中心发行室电话：010-88170031、0032、0033、0034   传真：010-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88170960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汉仪楷体简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61"/>
    <w:qFormat/>
    <w:uiPriority w:val="7"/>
    <w:pPr>
      <w:autoSpaceDE w:val="1"/>
      <w:autoSpaceDN w:val="1"/>
      <w:keepLines/>
      <w:keepNext/>
      <w:widowControl/>
      <w:wordWrap/>
    </w:pPr>
    <w:rPr>
      <w:b/>
      <w:shd w:val="clear"/>
      <w:sz w:val="44"/>
      <w:szCs w:val="44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basedOn w:val="PO1"/>
    <w:next w:val="PO1"/>
    <w:link w:val="PO162"/>
    <w:qFormat/>
    <w:uiPriority w:val="9"/>
    <w:pPr>
      <w:autoSpaceDE w:val="1"/>
      <w:autoSpaceDN w:val="1"/>
      <w:keepLines/>
      <w:keepNext/>
      <w:widowControl/>
      <w:wordWrap/>
    </w:pPr>
    <w:rPr>
      <w:b/>
      <w:shd w:val="clear"/>
      <w:sz w:val="32"/>
      <w:szCs w:val="32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annotation subject"/>
    <w:link w:val="PO169"/>
    <w:qFormat/>
    <w:uiPriority w:val="151"/>
    <w:unhideWhenUsed/>
    <w:rPr>
      <w:b/>
      <w:shd w:val="clear"/>
      <w:sz w:val="20"/>
      <w:szCs w:val="20"/>
      <w:w w:val="100"/>
    </w:rPr>
  </w:style>
  <w:style w:styleId="PO152" w:type="paragraph">
    <w:name w:val="annotation text"/>
    <w:basedOn w:val="PO1"/>
    <w:link w:val="PO168"/>
    <w:qFormat/>
    <w:uiPriority w:val="152"/>
    <w:unhideWhenUsed/>
    <w:pPr>
      <w:autoSpaceDE w:val="1"/>
      <w:autoSpaceDN w:val="1"/>
      <w:widowControl/>
      <w:wordWrap/>
    </w:pPr>
  </w:style>
  <w:style w:styleId="PO153" w:type="paragraph">
    <w:name w:val="Balloon Text"/>
    <w:basedOn w:val="PO1"/>
    <w:link w:val="PO170"/>
    <w:qFormat/>
    <w:uiPriority w:val="153"/>
    <w:unhideWhenUsed/>
    <w:rPr>
      <w:shd w:val="clear"/>
      <w:sz w:val="18"/>
      <w:szCs w:val="18"/>
      <w:w w:val="100"/>
    </w:rPr>
  </w:style>
  <w:style w:styleId="PO154" w:type="paragraph">
    <w:name w:val="footer"/>
    <w:basedOn w:val="PO1"/>
    <w:link w:val="PO160"/>
    <w:qFormat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paragraph">
    <w:name w:val="header"/>
    <w:basedOn w:val="PO1"/>
    <w:link w:val="PO159"/>
    <w:qFormat/>
    <w:uiPriority w:val="155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Normal (Web)"/>
    <w:basedOn w:val="PO1"/>
    <w:qFormat/>
    <w:uiPriority w:val="156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7" w:type="character">
    <w:name w:val="Hyperlink"/>
    <w:basedOn w:val="PO2"/>
    <w:qFormat/>
    <w:uiPriority w:val="157"/>
    <w:unhideWhenUsed/>
    <w:rPr>
      <w:color w:val="0000FF"/>
      <w:shd w:val="clear"/>
      <w:sz w:val="20"/>
      <w:szCs w:val="20"/>
      <w:u w:val="single"/>
      <w:w w:val="100"/>
    </w:rPr>
  </w:style>
  <w:style w:styleId="PO158" w:type="character">
    <w:name w:val="annotation reference"/>
    <w:basedOn w:val="PO2"/>
    <w:qFormat/>
    <w:uiPriority w:val="158"/>
    <w:unhideWhenUsed/>
    <w:rPr>
      <w:shd w:val="clear"/>
      <w:sz w:val="21"/>
      <w:szCs w:val="21"/>
      <w:w w:val="100"/>
    </w:rPr>
  </w:style>
  <w:style w:customStyle="1" w:styleId="PO159" w:type="character">
    <w:name w:val="页眉 Char"/>
    <w:basedOn w:val="PO2"/>
    <w:link w:val="PO155"/>
    <w:qFormat/>
    <w:uiPriority w:val="159"/>
    <w:semiHidden/>
    <w:rPr>
      <w:shd w:val="clear"/>
      <w:sz w:val="18"/>
      <w:szCs w:val="18"/>
      <w:w w:val="100"/>
    </w:rPr>
  </w:style>
  <w:style w:customStyle="1" w:styleId="PO160" w:type="character">
    <w:name w:val="页脚 Char"/>
    <w:basedOn w:val="PO2"/>
    <w:link w:val="PO154"/>
    <w:qFormat/>
    <w:uiPriority w:val="160"/>
    <w:rPr>
      <w:shd w:val="clear"/>
      <w:sz w:val="18"/>
      <w:szCs w:val="18"/>
      <w:w w:val="100"/>
    </w:rPr>
  </w:style>
  <w:style w:customStyle="1" w:styleId="PO161" w:type="character">
    <w:name w:val="标题 1 Char"/>
    <w:basedOn w:val="PO2"/>
    <w:link w:val="PO7"/>
    <w:qFormat/>
    <w:uiPriority w:val="161"/>
    <w:rPr>
      <w:rFonts w:ascii="Calibri" w:eastAsia="Times New Roman" w:hAnsi="Calibri"/>
      <w:b/>
      <w:shd w:val="clear"/>
      <w:sz w:val="44"/>
      <w:szCs w:val="44"/>
      <w:w w:val="100"/>
    </w:rPr>
  </w:style>
  <w:style w:customStyle="1" w:styleId="PO162" w:type="character">
    <w:name w:val="标题 3 Char"/>
    <w:basedOn w:val="PO2"/>
    <w:link w:val="PO9"/>
    <w:qFormat/>
    <w:uiPriority w:val="162"/>
    <w:rPr>
      <w:rFonts w:ascii="Calibri" w:eastAsia="Times New Roman" w:hAnsi="Calibri"/>
      <w:b/>
      <w:shd w:val="clear"/>
      <w:sz w:val="32"/>
      <w:szCs w:val="32"/>
      <w:w w:val="100"/>
    </w:rPr>
  </w:style>
  <w:style w:customStyle="1" w:styleId="PO163" w:type="character">
    <w:name w:val="批注框文本 Char"/>
    <w:basedOn w:val="PO2"/>
    <w:qFormat/>
    <w:uiPriority w:val="163"/>
    <w:rPr>
      <w:rFonts w:ascii="Calibri" w:eastAsia="Times New Roman" w:hAnsi="Calibri"/>
      <w:shd w:val="clear"/>
      <w:sz w:val="18"/>
      <w:szCs w:val="18"/>
      <w:w w:val="100"/>
    </w:rPr>
  </w:style>
  <w:style w:customStyle="1" w:styleId="PO164" w:type="character">
    <w:name w:val="批注主题 Char"/>
    <w:qFormat/>
    <w:uiPriority w:val="164"/>
    <w:rPr>
      <w:rFonts w:ascii="Calibri" w:eastAsia="Times New Roman" w:hAnsi="Calibri"/>
      <w:b/>
      <w:shd w:val="clear"/>
      <w:sz w:val="20"/>
      <w:szCs w:val="20"/>
      <w:w w:val="100"/>
    </w:rPr>
  </w:style>
  <w:style w:customStyle="1" w:styleId="PO165" w:type="character">
    <w:name w:val="批注文字 Char"/>
    <w:basedOn w:val="PO2"/>
    <w:qFormat/>
    <w:uiPriority w:val="165"/>
    <w:semiHidden/>
    <w:rPr>
      <w:rFonts w:ascii="Calibri" w:eastAsia="Times New Roman" w:hAnsi="Calibri"/>
      <w:shd w:val="clear"/>
      <w:sz w:val="20"/>
      <w:szCs w:val="20"/>
      <w:w w:val="100"/>
    </w:rPr>
  </w:style>
  <w:style w:customStyle="1" w:styleId="PO166" w:type="character">
    <w:name w:val="gz-nei-K Char"/>
    <w:basedOn w:val="PO2"/>
    <w:link w:val="PO167"/>
    <w:qFormat/>
    <w:uiPriority w:val="166"/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67" w:type="paragraph">
    <w:name w:val="gz-nei-K"/>
    <w:basedOn w:val="PO1"/>
    <w:link w:val="PO166"/>
    <w:qFormat/>
    <w:uiPriority w:val="167"/>
    <w:pPr>
      <w:autoSpaceDE w:val="1"/>
      <w:autoSpaceDN w:val="1"/>
      <w:ind w:firstLine="200"/>
      <w:widowControl/>
      <w:wordWrap/>
    </w:pPr>
    <w:rPr>
      <w:rFonts w:ascii="Times New Roman" w:eastAsia="汉仪楷体简" w:hAnsi="Times New Roman"/>
      <w:shd w:val="clear"/>
      <w:sz w:val="20"/>
      <w:szCs w:val="20"/>
      <w:w w:val="100"/>
    </w:rPr>
  </w:style>
  <w:style w:customStyle="1" w:styleId="PO168" w:type="character">
    <w:name w:val="批注文字 Char1"/>
    <w:basedOn w:val="PO2"/>
    <w:link w:val="PO152"/>
    <w:qFormat/>
    <w:uiPriority w:val="168"/>
    <w:semiHidden/>
    <w:rPr>
      <w:rFonts w:ascii="Calibri" w:eastAsia="Times New Roman" w:hAnsi="Calibri"/>
      <w:shd w:val="clear"/>
      <w:sz w:val="20"/>
      <w:szCs w:val="20"/>
      <w:w w:val="100"/>
    </w:rPr>
  </w:style>
  <w:style w:customStyle="1" w:styleId="PO169" w:type="character">
    <w:name w:val="批注主题 Char1"/>
    <w:basedOn w:val="PO168"/>
    <w:link w:val="PO151"/>
    <w:qFormat/>
    <w:uiPriority w:val="169"/>
    <w:semiHidden/>
    <w:rPr>
      <w:rFonts w:ascii="Calibri" w:eastAsia="Times New Roman" w:hAnsi="Calibri"/>
      <w:b/>
      <w:shd w:val="clear"/>
      <w:sz w:val="20"/>
      <w:szCs w:val="20"/>
      <w:w w:val="100"/>
    </w:rPr>
  </w:style>
  <w:style w:customStyle="1" w:styleId="PO170" w:type="character">
    <w:name w:val="批注框文本 Char1"/>
    <w:basedOn w:val="PO2"/>
    <w:link w:val="PO153"/>
    <w:qFormat/>
    <w:uiPriority w:val="170"/>
    <w:semiHidden/>
    <w:rPr>
      <w:rFonts w:ascii="Calibri" w:eastAsia="Times New Roman" w:hAnsi="Calibri"/>
      <w:shd w:val="clear"/>
      <w:sz w:val="18"/>
      <w:szCs w:val="18"/>
      <w:w w:val="100"/>
    </w:rPr>
  </w:style>
  <w:style w:customStyle="1" w:styleId="PO171" w:type="paragraph">
    <w:name w:val="无间隔1"/>
    <w:qFormat/>
    <w:uiPriority w:val="171"/>
    <w:pPr>
      <w:autoSpaceDE w:val="1"/>
      <w:autoSpaceDN w:val="1"/>
      <w:jc w:val="both"/>
      <w:wordWrap/>
    </w:pPr>
    <w:rPr>
      <w:rFonts w:ascii="Calibri" w:eastAsia="黑体" w:hAnsi="Calibri"/>
      <w:shd w:val="clear"/>
      <w:sz w:val="21"/>
      <w:szCs w:val="21"/>
      <w:w w:val="100"/>
    </w:rPr>
  </w:style>
  <w:style w:customStyle="1" w:styleId="PO172" w:type="paragraph">
    <w:name w:val="_Style 1"/>
    <w:basedOn w:val="PO1"/>
    <w:qFormat/>
    <w:uiPriority w:val="172"/>
    <w:pPr>
      <w:autoSpaceDE w:val="1"/>
      <w:autoSpaceDN w:val="1"/>
      <w:ind w:firstLine="420"/>
      <w:widowControl/>
      <w:wordWrap/>
    </w:pPr>
  </w:style>
  <w:style w:customStyle="1" w:styleId="PO173" w:type="paragraph">
    <w:name w:val="列出段落2"/>
    <w:basedOn w:val="PO1"/>
    <w:qFormat/>
    <w:uiPriority w:val="173"/>
    <w:pPr>
      <w:autoSpaceDE w:val="1"/>
      <w:autoSpaceDN w:val="1"/>
      <w:ind w:firstLine="420"/>
      <w:widowControl/>
      <w:wordWrap/>
    </w:pPr>
    <w:rPr>
      <w:rFonts w:ascii="宋体" w:eastAsia="黑体" w:hAnsi="宋体"/>
      <w:shd w:val="clear"/>
      <w:sz w:val="20"/>
      <w:szCs w:val="20"/>
      <w:w w:val="100"/>
    </w:rPr>
  </w:style>
  <w:style w:customStyle="1" w:styleId="PO174" w:type="paragraph">
    <w:name w:val="列出段落1"/>
    <w:basedOn w:val="PO1"/>
    <w:qFormat/>
    <w:uiPriority w:val="174"/>
    <w:pPr>
      <w:autoSpaceDE w:val="1"/>
      <w:autoSpaceDN w:val="1"/>
      <w:ind w:firstLine="420"/>
      <w:widowControl/>
      <w:wordWrap/>
    </w:pPr>
  </w:style>
  <w:style w:customStyle="1" w:styleId="PO175" w:type="paragraph">
    <w:name w:val="修订1"/>
    <w:qFormat/>
    <w:uiPriority w:val="175"/>
    <w:semiHidden/>
    <w:rPr>
      <w:rFonts w:ascii="Calibri" w:eastAsia="Calibri" w:hAnsi="Calibri"/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1151</Characters>
  <CharactersWithSpaces>0</CharactersWithSpaces>
  <Company>Microsoft</Company>
  <DocSecurity>0</DocSecurity>
  <HyperlinksChanged>false</HyperlinksChanged>
  <Lines>8</Lines>
  <LinksUpToDate>false</LinksUpToDate>
  <Pages>1</Pages>
  <Paragraphs>2</Paragraphs>
  <Words>172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王桂</dc:creator>
  <cp:lastModifiedBy/>
  <dc:title>地方政府债券发行服务指南</dc:title>
  <dcterms:modified xsi:type="dcterms:W3CDTF">2020-02-26T02:23:00Z</dcterms:modified>
</cp:coreProperties>
</file>