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eastAsia="仿宋_GB2312"/>
          <w:b/>
          <w:sz w:val="36"/>
          <w:szCs w:val="36"/>
        </w:rPr>
      </w:pPr>
    </w:p>
    <w:p>
      <w:pPr>
        <w:ind w:firstLine="0" w:firstLineChars="0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2019年</w:t>
      </w:r>
      <w:r>
        <w:rPr>
          <w:rFonts w:hint="eastAsia" w:eastAsia="仿宋_GB2312"/>
          <w:b/>
          <w:sz w:val="36"/>
          <w:szCs w:val="36"/>
          <w:lang w:val="en-US" w:eastAsia="zh-CN"/>
        </w:rPr>
        <w:t>龙游县国有资产经营有限公司</w:t>
      </w:r>
    </w:p>
    <w:p>
      <w:pPr>
        <w:ind w:firstLine="0" w:firstLineChars="0"/>
        <w:jc w:val="center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公司债券调整</w:t>
      </w:r>
      <w:r>
        <w:rPr>
          <w:rFonts w:eastAsia="仿宋_GB2312"/>
          <w:b/>
          <w:sz w:val="36"/>
          <w:szCs w:val="36"/>
        </w:rPr>
        <w:t>申购</w:t>
      </w:r>
      <w:r>
        <w:rPr>
          <w:rFonts w:hint="eastAsia" w:eastAsia="仿宋_GB2312"/>
          <w:b/>
          <w:sz w:val="36"/>
          <w:szCs w:val="36"/>
        </w:rPr>
        <w:t>意向函</w:t>
      </w:r>
    </w:p>
    <w:p>
      <w:pPr>
        <w:pStyle w:val="9"/>
        <w:ind w:firstLine="442"/>
        <w:jc w:val="both"/>
        <w:rPr>
          <w:rFonts w:ascii="Times New Roman" w:hAnsi="Times New Roman" w:eastAsia="仿宋" w:cs="Times New Roman"/>
          <w:b/>
          <w:color w:val="auto"/>
          <w:sz w:val="22"/>
        </w:rPr>
      </w:pPr>
    </w:p>
    <w:p>
      <w:pPr>
        <w:pStyle w:val="9"/>
        <w:ind w:firstLine="442"/>
        <w:jc w:val="both"/>
        <w:rPr>
          <w:rFonts w:ascii="Times New Roman" w:hAnsi="Times New Roman" w:eastAsia="仿宋" w:cs="Times New Roman"/>
          <w:b/>
          <w:color w:val="auto"/>
          <w:sz w:val="22"/>
          <w:u w:val="single"/>
        </w:rPr>
      </w:pPr>
      <w:r>
        <w:rPr>
          <w:rFonts w:hint="eastAsia" w:ascii="Times New Roman" w:hAnsi="Times New Roman" w:eastAsia="仿宋" w:cs="Times New Roman"/>
          <w:b/>
          <w:color w:val="auto"/>
          <w:sz w:val="22"/>
        </w:rPr>
        <w:t>簿记管理人：</w:t>
      </w:r>
      <w:r>
        <w:rPr>
          <w:rFonts w:hint="eastAsia" w:ascii="Times New Roman" w:hAnsi="Times New Roman" w:eastAsia="仿宋" w:cs="Times New Roman"/>
          <w:b/>
          <w:color w:val="auto"/>
          <w:sz w:val="22"/>
          <w:u w:val="single"/>
        </w:rPr>
        <w:t>财达证券股份有限公司</w:t>
      </w:r>
    </w:p>
    <w:p>
      <w:pPr>
        <w:pStyle w:val="9"/>
        <w:ind w:firstLine="442" w:firstLineChars="200"/>
        <w:jc w:val="both"/>
        <w:rPr>
          <w:rFonts w:ascii="Times New Roman" w:hAnsi="Times New Roman" w:eastAsia="仿宋" w:cs="Times New Roman"/>
          <w:b/>
          <w:color w:val="auto"/>
          <w:sz w:val="22"/>
        </w:rPr>
      </w:pPr>
      <w:r>
        <w:rPr>
          <w:rFonts w:hint="eastAsia" w:ascii="Times New Roman" w:hAnsi="Times New Roman" w:eastAsia="仿宋" w:cs="Times New Roman"/>
          <w:b/>
          <w:color w:val="auto"/>
          <w:sz w:val="22"/>
        </w:rPr>
        <w:t>本公司在此确认，对我司已发出的《2019年</w:t>
      </w:r>
      <w:r>
        <w:rPr>
          <w:rFonts w:hint="eastAsia" w:ascii="Times New Roman" w:hAnsi="Times New Roman" w:eastAsia="仿宋" w:cs="Times New Roman"/>
          <w:b/>
          <w:color w:val="auto"/>
          <w:sz w:val="22"/>
          <w:lang w:val="en-US" w:eastAsia="zh-CN"/>
        </w:rPr>
        <w:t>龙游县国有资产经营有限公司</w:t>
      </w:r>
      <w:r>
        <w:rPr>
          <w:rFonts w:hint="eastAsia" w:ascii="Times New Roman" w:hAnsi="Times New Roman" w:eastAsia="仿宋" w:cs="Times New Roman"/>
          <w:b/>
          <w:color w:val="auto"/>
          <w:sz w:val="22"/>
        </w:rPr>
        <w:t>公司债券申购意向函》做出调整，调整内容如下：</w:t>
      </w:r>
    </w:p>
    <w:tbl>
      <w:tblPr>
        <w:tblStyle w:val="5"/>
        <w:tblW w:w="8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99"/>
        <w:gridCol w:w="1688"/>
        <w:gridCol w:w="198"/>
        <w:gridCol w:w="2095"/>
        <w:gridCol w:w="341"/>
        <w:gridCol w:w="115"/>
        <w:gridCol w:w="2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4" w:type="dxa"/>
            <w:gridSpan w:val="8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ascii="Times New Roman" w:hAnsi="Times New Roman" w:eastAsia="仿宋" w:cs="Times New Roman"/>
                <w:b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</w:rPr>
              <w:t>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0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机构名称</w:t>
            </w:r>
          </w:p>
        </w:tc>
        <w:tc>
          <w:tcPr>
            <w:tcW w:w="6966" w:type="dxa"/>
            <w:gridSpan w:val="6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0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营业执照注册号</w:t>
            </w:r>
          </w:p>
        </w:tc>
        <w:tc>
          <w:tcPr>
            <w:tcW w:w="6966" w:type="dxa"/>
            <w:gridSpan w:val="6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0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经办人姓名</w:t>
            </w:r>
          </w:p>
        </w:tc>
        <w:tc>
          <w:tcPr>
            <w:tcW w:w="168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634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经办人身份证号</w:t>
            </w:r>
          </w:p>
        </w:tc>
        <w:tc>
          <w:tcPr>
            <w:tcW w:w="264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0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经办人直机电话</w:t>
            </w:r>
          </w:p>
        </w:tc>
        <w:tc>
          <w:tcPr>
            <w:tcW w:w="168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634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经办人移动电话</w:t>
            </w:r>
          </w:p>
        </w:tc>
        <w:tc>
          <w:tcPr>
            <w:tcW w:w="264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08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传真号码</w:t>
            </w:r>
          </w:p>
        </w:tc>
        <w:tc>
          <w:tcPr>
            <w:tcW w:w="168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634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电子邮箱</w:t>
            </w:r>
          </w:p>
        </w:tc>
        <w:tc>
          <w:tcPr>
            <w:tcW w:w="2644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74" w:type="dxa"/>
            <w:gridSpan w:val="8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</w:rPr>
              <w:t>账户信息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596" w:type="dxa"/>
            <w:gridSpan w:val="3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中央国债登记公司的一级托管账户</w:t>
            </w:r>
          </w:p>
        </w:tc>
        <w:tc>
          <w:tcPr>
            <w:tcW w:w="2293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户名</w:t>
            </w:r>
          </w:p>
        </w:tc>
        <w:tc>
          <w:tcPr>
            <w:tcW w:w="2985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596" w:type="dxa"/>
            <w:gridSpan w:val="3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293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账号</w:t>
            </w:r>
          </w:p>
        </w:tc>
        <w:tc>
          <w:tcPr>
            <w:tcW w:w="2985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596" w:type="dxa"/>
            <w:gridSpan w:val="3"/>
            <w:vMerge w:val="restart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中国证券登记公司上海分公司的托管账户</w:t>
            </w:r>
          </w:p>
        </w:tc>
        <w:tc>
          <w:tcPr>
            <w:tcW w:w="2293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户名</w:t>
            </w:r>
          </w:p>
        </w:tc>
        <w:tc>
          <w:tcPr>
            <w:tcW w:w="2985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596" w:type="dxa"/>
            <w:gridSpan w:val="3"/>
            <w:vMerge w:val="continue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293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账号</w:t>
            </w:r>
          </w:p>
        </w:tc>
        <w:tc>
          <w:tcPr>
            <w:tcW w:w="2985" w:type="dxa"/>
            <w:gridSpan w:val="3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74" w:type="dxa"/>
            <w:gridSpan w:val="8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</w:rPr>
              <w:t>调整后的申购利率及申购金额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申购利率（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%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）</w:t>
            </w:r>
          </w:p>
        </w:tc>
        <w:tc>
          <w:tcPr>
            <w:tcW w:w="1985" w:type="dxa"/>
            <w:gridSpan w:val="3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申购金额（万元）</w:t>
            </w:r>
          </w:p>
        </w:tc>
        <w:tc>
          <w:tcPr>
            <w:tcW w:w="5080" w:type="dxa"/>
            <w:gridSpan w:val="4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托管场所选择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中央国债登记公司</w:t>
            </w:r>
          </w:p>
        </w:tc>
        <w:tc>
          <w:tcPr>
            <w:tcW w:w="2529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中国证券登记公司上海分公司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985" w:type="dxa"/>
            <w:gridSpan w:val="3"/>
            <w:tcBorders>
              <w:righ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29" w:type="dxa"/>
            <w:tcBorders>
              <w:lef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985" w:type="dxa"/>
            <w:gridSpan w:val="3"/>
            <w:tcBorders>
              <w:righ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29" w:type="dxa"/>
            <w:tcBorders>
              <w:lef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985" w:type="dxa"/>
            <w:gridSpan w:val="3"/>
            <w:tcBorders>
              <w:righ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29" w:type="dxa"/>
            <w:tcBorders>
              <w:lef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809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1985" w:type="dxa"/>
            <w:gridSpan w:val="3"/>
            <w:tcBorders>
              <w:righ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51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  <w:tc>
          <w:tcPr>
            <w:tcW w:w="2529" w:type="dxa"/>
            <w:tcBorders>
              <w:left w:val="single" w:color="auto" w:sz="2" w:space="0"/>
            </w:tcBorders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ind w:firstLine="0"/>
              <w:jc w:val="both"/>
              <w:textAlignment w:val="auto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74" w:type="dxa"/>
            <w:gridSpan w:val="8"/>
          </w:tcPr>
          <w:p>
            <w:pPr>
              <w:pStyle w:val="9"/>
              <w:ind w:firstLine="440"/>
              <w:jc w:val="both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1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、本期债券簿记建档上限为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lang w:val="en-US" w:eastAsia="zh-CN"/>
              </w:rPr>
              <w:t>7.20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%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；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2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、票面利率应在簿记建档利率区间内由低到高填写，最小变动单位为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0.01%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；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、每一申购利率对应的为单一申购金额。当最终确定的基本利率不低于某一申购利率时，投资者的最大获配量为低于该申购利率（包含此申购利率）的所有标位叠加量；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、每个申购利率上的申购金额不得少于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1,000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万元（含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1,000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万元），并且为1,000万元的整数倍，且不超过本期债券的发行总额（即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  <w:lang w:val="en-US" w:eastAsia="zh-CN"/>
              </w:rPr>
              <w:t>14.40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>亿元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874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pStyle w:val="9"/>
              <w:ind w:firstLine="442"/>
              <w:jc w:val="both"/>
              <w:rPr>
                <w:rFonts w:ascii="Times New Roman" w:hAnsi="Times New Roman" w:eastAsia="仿宋" w:cs="Times New Roman"/>
                <w:b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</w:rPr>
              <w:t>本单位已充分了解本次2019年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lang w:val="en-US" w:eastAsia="zh-CN"/>
              </w:rPr>
              <w:t>龙游县国有资产经营有限公司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</w:rPr>
              <w:t>公司债券发行有关内容和细节，在此做出与《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22"/>
              </w:rPr>
              <w:t>&lt;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</w:rPr>
              <w:t>2019年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  <w:lang w:val="en-US" w:eastAsia="zh-CN"/>
              </w:rPr>
              <w:t>龙游县国有资产经营有限公司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</w:rPr>
              <w:t>公司债券申购意向函</w:t>
            </w:r>
            <w:r>
              <w:rPr>
                <w:rFonts w:ascii="Times New Roman" w:hAnsi="Times New Roman" w:eastAsia="仿宋" w:cs="Times New Roman"/>
                <w:b/>
                <w:color w:val="auto"/>
                <w:sz w:val="22"/>
              </w:rPr>
              <w:t>&gt;</w:t>
            </w:r>
            <w:r>
              <w:rPr>
                <w:rFonts w:hint="eastAsia" w:ascii="Times New Roman" w:hAnsi="Times New Roman" w:eastAsia="仿宋" w:cs="Times New Roman"/>
                <w:b/>
                <w:color w:val="auto"/>
                <w:sz w:val="22"/>
              </w:rPr>
              <w:t>投资者的陈述、承诺和保证》相同的陈述、承诺和保证。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ind w:firstLine="440"/>
              <w:jc w:val="both"/>
              <w:rPr>
                <w:rFonts w:ascii="Times New Roman" w:hAnsi="Times New Roman" w:eastAsia="仿宋" w:cs="Times New Roman"/>
                <w:color w:val="auto"/>
                <w:sz w:val="22"/>
              </w:rPr>
            </w:pPr>
          </w:p>
          <w:p>
            <w:pPr>
              <w:pStyle w:val="9"/>
              <w:ind w:firstLine="440"/>
              <w:jc w:val="right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（单位盖章）</w:t>
            </w:r>
          </w:p>
          <w:p>
            <w:pPr>
              <w:pStyle w:val="9"/>
              <w:ind w:firstLine="440"/>
              <w:jc w:val="right"/>
              <w:rPr>
                <w:rFonts w:ascii="Times New Roman" w:hAnsi="Times New Roman" w:eastAsia="仿宋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年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月</w:t>
            </w:r>
            <w:r>
              <w:rPr>
                <w:rFonts w:ascii="Times New Roman" w:hAnsi="Times New Roman" w:eastAsia="仿宋" w:cs="Times New Roman"/>
                <w:color w:val="auto"/>
                <w:sz w:val="22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sz w:val="22"/>
              </w:rPr>
              <w:t>日</w:t>
            </w:r>
          </w:p>
        </w:tc>
      </w:tr>
    </w:tbl>
    <w:p>
      <w:pPr>
        <w:spacing w:line="240" w:lineRule="auto"/>
        <w:ind w:firstLine="0" w:firstLineChars="0"/>
        <w:rPr>
          <w:rFonts w:eastAsia="仿宋_GB2312"/>
          <w:b/>
          <w:sz w:val="36"/>
          <w:szCs w:val="36"/>
        </w:rPr>
      </w:pPr>
    </w:p>
    <w:p>
      <w:pPr>
        <w:ind w:firstLine="560"/>
        <w:rPr>
          <w:rFonts w:ascii="仿宋" w:hAnsi="仿宋"/>
        </w:rPr>
      </w:pPr>
    </w:p>
    <w:p>
      <w:pPr>
        <w:ind w:firstLine="560"/>
        <w:rPr>
          <w:rFonts w:ascii="仿宋" w:hAnsi="仿宋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0" w:h="16840"/>
      <w:pgMar w:top="1440" w:right="1800" w:bottom="1440" w:left="1800" w:header="0" w:footer="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3F"/>
    <w:rsid w:val="000500C7"/>
    <w:rsid w:val="000D44C2"/>
    <w:rsid w:val="000E65E9"/>
    <w:rsid w:val="00107396"/>
    <w:rsid w:val="00107BCC"/>
    <w:rsid w:val="00203155"/>
    <w:rsid w:val="002E1005"/>
    <w:rsid w:val="00331321"/>
    <w:rsid w:val="00361808"/>
    <w:rsid w:val="003F194C"/>
    <w:rsid w:val="003F5E57"/>
    <w:rsid w:val="00425660"/>
    <w:rsid w:val="00436964"/>
    <w:rsid w:val="004869DD"/>
    <w:rsid w:val="004A7C92"/>
    <w:rsid w:val="004C2466"/>
    <w:rsid w:val="004D161B"/>
    <w:rsid w:val="004D295D"/>
    <w:rsid w:val="004E648F"/>
    <w:rsid w:val="005010E6"/>
    <w:rsid w:val="005022EC"/>
    <w:rsid w:val="00521201"/>
    <w:rsid w:val="00561AEB"/>
    <w:rsid w:val="005C5AFC"/>
    <w:rsid w:val="00620ED5"/>
    <w:rsid w:val="006263E7"/>
    <w:rsid w:val="00633235"/>
    <w:rsid w:val="0064182D"/>
    <w:rsid w:val="006F3CB1"/>
    <w:rsid w:val="006F550C"/>
    <w:rsid w:val="00727FAC"/>
    <w:rsid w:val="0077398E"/>
    <w:rsid w:val="007A397A"/>
    <w:rsid w:val="007D5350"/>
    <w:rsid w:val="007F153F"/>
    <w:rsid w:val="00824316"/>
    <w:rsid w:val="008C25BE"/>
    <w:rsid w:val="009127D5"/>
    <w:rsid w:val="00974FA5"/>
    <w:rsid w:val="00A15953"/>
    <w:rsid w:val="00A8584C"/>
    <w:rsid w:val="00AA5E1A"/>
    <w:rsid w:val="00B22D90"/>
    <w:rsid w:val="00B7570C"/>
    <w:rsid w:val="00BE113F"/>
    <w:rsid w:val="00BF73BD"/>
    <w:rsid w:val="00BF793C"/>
    <w:rsid w:val="00C52E96"/>
    <w:rsid w:val="00C6514F"/>
    <w:rsid w:val="00C87596"/>
    <w:rsid w:val="00D32F91"/>
    <w:rsid w:val="00D41810"/>
    <w:rsid w:val="00D532DB"/>
    <w:rsid w:val="00D636D3"/>
    <w:rsid w:val="00D7068D"/>
    <w:rsid w:val="00D97C8D"/>
    <w:rsid w:val="00E15220"/>
    <w:rsid w:val="00E46F27"/>
    <w:rsid w:val="00E54734"/>
    <w:rsid w:val="00E57393"/>
    <w:rsid w:val="00EA1C19"/>
    <w:rsid w:val="00EE4DB6"/>
    <w:rsid w:val="00EF0880"/>
    <w:rsid w:val="00EF3898"/>
    <w:rsid w:val="00F06A81"/>
    <w:rsid w:val="00F1010E"/>
    <w:rsid w:val="00F17606"/>
    <w:rsid w:val="00F66435"/>
    <w:rsid w:val="00F702EF"/>
    <w:rsid w:val="1E026AD1"/>
    <w:rsid w:val="1F59580C"/>
    <w:rsid w:val="291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  <w:ind w:firstLine="462" w:firstLineChars="200"/>
      <w:jc w:val="both"/>
    </w:pPr>
    <w:rPr>
      <w:rFonts w:ascii="Times New Roman" w:hAnsi="Times New Roman" w:eastAsia="仿宋" w:cs="Arial"/>
      <w:kern w:val="0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2019-02-27T04:05:00Z</dcterms:created>
  <dc:creator>鹏飞 何</dc:creator>
  <cp:lastModifiedBy>潘星宇</cp:lastModifiedBy>
  <dcterms:modified xsi:type="dcterms:W3CDTF">2019-09-02T08:54:32Z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