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3F8FC"/>
        <w:tblCellMar>
          <w:left w:w="0" w:type="dxa"/>
          <w:right w:w="0" w:type="dxa"/>
        </w:tblCellMar>
        <w:tblLook w:val="04A0"/>
      </w:tblPr>
      <w:tblGrid>
        <w:gridCol w:w="8306"/>
      </w:tblGrid>
      <w:tr w:rsidR="00A978E1" w:rsidRPr="00A978E1" w:rsidTr="00A978E1">
        <w:trPr>
          <w:tblCellSpacing w:w="0" w:type="dxa"/>
        </w:trPr>
        <w:tc>
          <w:tcPr>
            <w:tcW w:w="0" w:type="auto"/>
            <w:shd w:val="clear" w:color="auto" w:fill="F3F8F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A978E1" w:rsidRPr="00A978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978E1" w:rsidRPr="00A978E1" w:rsidRDefault="00A978E1" w:rsidP="00A978E1">
                  <w:pPr>
                    <w:widowControl/>
                    <w:spacing w:line="585" w:lineRule="atLeast"/>
                    <w:jc w:val="center"/>
                    <w:rPr>
                      <w:rFonts w:ascii="Arial Black" w:eastAsia="宋体" w:hAnsi="Arial Black" w:cs="宋体"/>
                      <w:b/>
                      <w:bCs/>
                      <w:color w:val="0205FF"/>
                      <w:kern w:val="0"/>
                      <w:sz w:val="39"/>
                      <w:szCs w:val="39"/>
                    </w:rPr>
                  </w:pPr>
                  <w:r w:rsidRPr="00A978E1">
                    <w:rPr>
                      <w:rFonts w:ascii="Arial Black" w:eastAsia="宋体" w:hAnsi="Arial Black" w:cs="宋体"/>
                      <w:b/>
                      <w:bCs/>
                      <w:color w:val="0205FF"/>
                      <w:kern w:val="0"/>
                      <w:sz w:val="39"/>
                      <w:szCs w:val="39"/>
                    </w:rPr>
                    <w:t>国药集团融资租赁有限公司</w:t>
                  </w:r>
                  <w:r w:rsidRPr="00A978E1">
                    <w:rPr>
                      <w:rFonts w:ascii="Arial Black" w:eastAsia="宋体" w:hAnsi="Arial Black" w:cs="宋体"/>
                      <w:b/>
                      <w:bCs/>
                      <w:color w:val="0205FF"/>
                      <w:kern w:val="0"/>
                      <w:sz w:val="39"/>
                      <w:szCs w:val="39"/>
                    </w:rPr>
                    <w:t>2019</w:t>
                  </w:r>
                  <w:r w:rsidRPr="00A978E1">
                    <w:rPr>
                      <w:rFonts w:ascii="Arial Black" w:eastAsia="宋体" w:hAnsi="Arial Black" w:cs="宋体"/>
                      <w:b/>
                      <w:bCs/>
                      <w:color w:val="0205FF"/>
                      <w:kern w:val="0"/>
                      <w:sz w:val="39"/>
                      <w:szCs w:val="39"/>
                    </w:rPr>
                    <w:t>年公开发行公司债券（第二期）票面利率公告</w:t>
                  </w:r>
                </w:p>
              </w:tc>
            </w:tr>
            <w:tr w:rsidR="00A978E1" w:rsidRPr="00A978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978E1" w:rsidRPr="00A978E1" w:rsidRDefault="00A978E1" w:rsidP="00A978E1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A978E1" w:rsidRPr="00A978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978E1" w:rsidRPr="00A978E1" w:rsidRDefault="00A978E1" w:rsidP="00A978E1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/>
                      <w:color w:val="797873"/>
                      <w:kern w:val="0"/>
                      <w:szCs w:val="21"/>
                    </w:rPr>
                  </w:pPr>
                </w:p>
              </w:tc>
            </w:tr>
          </w:tbl>
          <w:p w:rsidR="00A978E1" w:rsidRPr="00A978E1" w:rsidRDefault="00A978E1" w:rsidP="00A978E1">
            <w:pPr>
              <w:widowControl/>
              <w:spacing w:before="150" w:after="15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A978E1" w:rsidRPr="00A978E1" w:rsidTr="00A978E1">
        <w:trPr>
          <w:tblCellSpacing w:w="0" w:type="dxa"/>
        </w:trPr>
        <w:tc>
          <w:tcPr>
            <w:tcW w:w="0" w:type="auto"/>
            <w:shd w:val="clear" w:color="auto" w:fill="F3F8FC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A978E1" w:rsidRPr="00A978E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A978E1" w:rsidRPr="00A978E1" w:rsidRDefault="00A978E1" w:rsidP="00A978E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978E1" w:rsidRPr="00A978E1" w:rsidRDefault="00A978E1" w:rsidP="00A978E1">
            <w:pPr>
              <w:widowControl/>
              <w:spacing w:before="150" w:after="15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A978E1" w:rsidRPr="00A978E1" w:rsidTr="00A978E1">
        <w:trPr>
          <w:tblCellSpacing w:w="0" w:type="dxa"/>
        </w:trPr>
        <w:tc>
          <w:tcPr>
            <w:tcW w:w="0" w:type="auto"/>
            <w:shd w:val="clear" w:color="auto" w:fill="F3F8FC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本公司及董事会全体成员保证公告内容的真实、准确和完整，对公告的虚假记载、误导性陈述或者重大遗漏负连带责任。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国药集团融资租赁有限公司（以下简称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发行人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）公开发行面值不超过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亿元的公司债券已获得中国证券监督管理委员会证监许可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[2019]307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号文件核准。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发行人和主承销商于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14:00--17:00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在网下向合格机构投资者进行了票面利率询价，根据网下向合格机构投资者询价簿记结果，经发行人和主承销商充分协商和审慎判断，最终确定本期债券票面利率为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6.60%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发行人将按上述票面利率于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-2019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日面向合格机构投资者网下发行，具体认购方法请参见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日刊登在《中国证券报》和上海证券交易所网站（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http://www.sse.com.cn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）上的《国药集团融资租赁有限公司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年公开发行公司债券（第二期）发行公告》。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特此公告。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发行人：国药集团融资租赁有限公司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主承销商（簿记管理人）：渤海证券股份有限公司</w:t>
            </w:r>
          </w:p>
          <w:p w:rsidR="00A978E1" w:rsidRPr="00A978E1" w:rsidRDefault="00A978E1" w:rsidP="00A978E1">
            <w:pPr>
              <w:widowControl/>
              <w:spacing w:before="100" w:beforeAutospacing="1" w:after="100" w:afterAutospacing="1"/>
              <w:ind w:firstLine="24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A978E1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</w:tr>
    </w:tbl>
    <w:p w:rsidR="003A0A61" w:rsidRDefault="003A0A61">
      <w:pPr>
        <w:rPr>
          <w:rFonts w:hint="eastAsia"/>
        </w:rPr>
      </w:pPr>
    </w:p>
    <w:sectPr w:rsidR="003A0A61" w:rsidSect="003A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8E1"/>
    <w:rsid w:val="003A0A61"/>
    <w:rsid w:val="00A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hujing2</dc:creator>
  <cp:lastModifiedBy>hujing2</cp:lastModifiedBy>
  <cp:revision>1</cp:revision>
  <dcterms:created xsi:type="dcterms:W3CDTF">2019-10-30T22:33:00Z</dcterms:created>
  <dcterms:modified xsi:type="dcterms:W3CDTF">2019-10-30T22:33:00Z</dcterms:modified>
</cp:coreProperties>
</file>